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E47E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3E2B25F">
      <w:pPr>
        <w:spacing w:line="540" w:lineRule="exact"/>
        <w:jc w:val="center"/>
        <w:rPr>
          <w:rFonts w:ascii="华文中宋" w:hAnsi="华文中宋" w:eastAsia="华文中宋" w:cs="宋体"/>
          <w:b/>
          <w:kern w:val="0"/>
          <w:sz w:val="52"/>
          <w:szCs w:val="52"/>
        </w:rPr>
      </w:pPr>
    </w:p>
    <w:p w14:paraId="45F76009">
      <w:pPr>
        <w:spacing w:line="540" w:lineRule="exact"/>
        <w:jc w:val="center"/>
        <w:rPr>
          <w:rFonts w:ascii="华文中宋" w:hAnsi="华文中宋" w:eastAsia="华文中宋" w:cs="宋体"/>
          <w:b/>
          <w:kern w:val="0"/>
          <w:sz w:val="52"/>
          <w:szCs w:val="52"/>
        </w:rPr>
      </w:pPr>
    </w:p>
    <w:p w14:paraId="73587C88">
      <w:pPr>
        <w:spacing w:line="540" w:lineRule="exact"/>
        <w:jc w:val="center"/>
        <w:rPr>
          <w:rFonts w:ascii="华文中宋" w:hAnsi="华文中宋" w:eastAsia="华文中宋" w:cs="宋体"/>
          <w:b/>
          <w:kern w:val="0"/>
          <w:sz w:val="52"/>
          <w:szCs w:val="52"/>
        </w:rPr>
      </w:pPr>
    </w:p>
    <w:p w14:paraId="403B4EC7">
      <w:pPr>
        <w:spacing w:line="540" w:lineRule="exact"/>
        <w:jc w:val="center"/>
        <w:rPr>
          <w:rFonts w:ascii="华文中宋" w:hAnsi="华文中宋" w:eastAsia="华文中宋" w:cs="宋体"/>
          <w:b/>
          <w:kern w:val="0"/>
          <w:sz w:val="52"/>
          <w:szCs w:val="52"/>
        </w:rPr>
      </w:pPr>
    </w:p>
    <w:p w14:paraId="27744B17">
      <w:pPr>
        <w:spacing w:line="540" w:lineRule="exact"/>
        <w:jc w:val="center"/>
        <w:rPr>
          <w:rFonts w:ascii="华文中宋" w:hAnsi="华文中宋" w:eastAsia="华文中宋" w:cs="宋体"/>
          <w:b/>
          <w:kern w:val="0"/>
          <w:sz w:val="52"/>
          <w:szCs w:val="52"/>
        </w:rPr>
      </w:pPr>
    </w:p>
    <w:p w14:paraId="02448FAF">
      <w:pPr>
        <w:spacing w:line="540" w:lineRule="exact"/>
        <w:jc w:val="center"/>
        <w:rPr>
          <w:rFonts w:ascii="华文中宋" w:hAnsi="华文中宋" w:eastAsia="华文中宋" w:cs="宋体"/>
          <w:b/>
          <w:kern w:val="0"/>
          <w:sz w:val="52"/>
          <w:szCs w:val="52"/>
        </w:rPr>
      </w:pPr>
    </w:p>
    <w:p w14:paraId="4C4CDBA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FC76BA5">
      <w:pPr>
        <w:spacing w:line="540" w:lineRule="exact"/>
        <w:jc w:val="center"/>
        <w:rPr>
          <w:rFonts w:ascii="华文中宋" w:hAnsi="华文中宋" w:eastAsia="华文中宋" w:cs="宋体"/>
          <w:b/>
          <w:kern w:val="0"/>
          <w:sz w:val="52"/>
          <w:szCs w:val="52"/>
        </w:rPr>
      </w:pPr>
    </w:p>
    <w:p w14:paraId="40148DA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1A95F4C">
      <w:pPr>
        <w:spacing w:line="540" w:lineRule="exact"/>
        <w:jc w:val="center"/>
        <w:rPr>
          <w:rFonts w:hAnsi="宋体" w:eastAsia="仿宋_GB2312" w:cs="宋体"/>
          <w:kern w:val="0"/>
          <w:sz w:val="30"/>
          <w:szCs w:val="30"/>
        </w:rPr>
      </w:pPr>
    </w:p>
    <w:p w14:paraId="1247ECA3">
      <w:pPr>
        <w:spacing w:line="540" w:lineRule="exact"/>
        <w:jc w:val="center"/>
        <w:rPr>
          <w:rFonts w:hAnsi="宋体" w:eastAsia="仿宋_GB2312" w:cs="宋体"/>
          <w:kern w:val="0"/>
          <w:sz w:val="30"/>
          <w:szCs w:val="30"/>
        </w:rPr>
      </w:pPr>
    </w:p>
    <w:p w14:paraId="022D9F86">
      <w:pPr>
        <w:spacing w:line="540" w:lineRule="exact"/>
        <w:jc w:val="center"/>
        <w:rPr>
          <w:rFonts w:hAnsi="宋体" w:eastAsia="仿宋_GB2312" w:cs="宋体"/>
          <w:kern w:val="0"/>
          <w:sz w:val="30"/>
          <w:szCs w:val="30"/>
        </w:rPr>
      </w:pPr>
    </w:p>
    <w:p w14:paraId="5721A490">
      <w:pPr>
        <w:spacing w:line="540" w:lineRule="exact"/>
        <w:jc w:val="center"/>
        <w:rPr>
          <w:rFonts w:hAnsi="宋体" w:eastAsia="仿宋_GB2312" w:cs="宋体"/>
          <w:kern w:val="0"/>
          <w:sz w:val="30"/>
          <w:szCs w:val="30"/>
        </w:rPr>
      </w:pPr>
    </w:p>
    <w:p w14:paraId="29BE1320">
      <w:pPr>
        <w:spacing w:line="540" w:lineRule="exact"/>
        <w:jc w:val="center"/>
        <w:rPr>
          <w:rFonts w:hAnsi="宋体" w:eastAsia="仿宋_GB2312" w:cs="宋体"/>
          <w:kern w:val="0"/>
          <w:sz w:val="30"/>
          <w:szCs w:val="30"/>
        </w:rPr>
      </w:pPr>
    </w:p>
    <w:p w14:paraId="3DDDA4C2">
      <w:pPr>
        <w:spacing w:line="540" w:lineRule="exact"/>
        <w:jc w:val="center"/>
        <w:rPr>
          <w:rFonts w:hAnsi="宋体" w:eastAsia="仿宋_GB2312" w:cs="宋体"/>
          <w:kern w:val="0"/>
          <w:sz w:val="30"/>
          <w:szCs w:val="30"/>
        </w:rPr>
      </w:pPr>
    </w:p>
    <w:p w14:paraId="14ABA7A5">
      <w:pPr>
        <w:spacing w:line="540" w:lineRule="exact"/>
        <w:rPr>
          <w:rFonts w:hAnsi="宋体" w:eastAsia="仿宋_GB2312" w:cs="宋体"/>
          <w:kern w:val="0"/>
          <w:sz w:val="30"/>
          <w:szCs w:val="30"/>
        </w:rPr>
      </w:pPr>
    </w:p>
    <w:p w14:paraId="1F42554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FCE9E2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中小企业欠款呼图壁大海子国家湿地公园2017年中央财政湿地保护与恢复项目</w:t>
      </w:r>
    </w:p>
    <w:p w14:paraId="2C07C48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呼图壁县湿地公园管理局</w:t>
      </w:r>
    </w:p>
    <w:p w14:paraId="7C81155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呼图壁县湿地公园管理局</w:t>
      </w:r>
    </w:p>
    <w:p w14:paraId="13F1007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宁为群</w:t>
      </w:r>
    </w:p>
    <w:p w14:paraId="3595A1E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3CA02DE0">
      <w:pPr>
        <w:spacing w:line="700" w:lineRule="exact"/>
        <w:ind w:firstLine="708" w:firstLineChars="236"/>
        <w:jc w:val="left"/>
        <w:rPr>
          <w:rFonts w:hAnsi="宋体" w:eastAsia="仿宋_GB2312" w:cs="宋体"/>
          <w:kern w:val="0"/>
          <w:sz w:val="30"/>
          <w:szCs w:val="30"/>
        </w:rPr>
      </w:pPr>
    </w:p>
    <w:p w14:paraId="46C64B6F">
      <w:pPr>
        <w:spacing w:line="540" w:lineRule="exact"/>
        <w:rPr>
          <w:rStyle w:val="18"/>
          <w:rFonts w:ascii="黑体" w:hAnsi="黑体" w:eastAsia="黑体"/>
          <w:b w:val="0"/>
          <w:spacing w:val="-4"/>
          <w:sz w:val="32"/>
          <w:szCs w:val="32"/>
        </w:rPr>
      </w:pPr>
    </w:p>
    <w:p w14:paraId="7E21B80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169E680">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4EACC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昌州财预[2023]70号文件精神，明确强调“坚持保护优先，科学恢复”的原则开展相关工作。湿地作为地球上重要的生态系统，具有涵养水源、净化水质、调节气候、维护生物多样性等诸多关键生态功能，其保护与恢复工作对于区域生态安全、经济社会可持续发展具有不可替代的作用。本项目的实施不仅关注当前湿地生态问题的解决，更注重湿地生态系统的长期稳定和可持续发展。通过标识标牌建设、围栏建设和瞭望塔建设等综合措施的实施，将有效改善湿地生态环境，保护湿地生物多样性，提升湿地的生态服务功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从社会效益来看，项目的实施将提高公众对湿地保护的认识和参与度，促进生态文化的传播和普及，增强全社会的生态保护意识。同时，湿地生态环境的改善也将为周边居民提供更好的生态产品和服务，如清洁的空气、水源和优美的自然景观，提高居民的生活质量，促进区域经济社会的协调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(1)项目名称:呼图壁大海子国家湿地公园2017年中央财政湿地保护与恢复项目(以下简称“该项目”或“项目”)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(2)项目主要内容:湿地保护工程是2017 年中央财政湿地保护与恢复项目的核心内容之一，瞭望塔建设、围栏建设、标识标牌建设、植被恢复等，通过这些工程的实施，有效改善了湿地的生态环境，保护了湿地生物多样性。目前，湿地保护工程已基本完成，但仍有一些工程款项，如植被种植费用、生态修复材料采购费用、标识标牌建设部分部分费用等尚未支付。本次将对这些未支付的湿地保护工程款项进行结算，确保工程建设方的合法权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实施主体:呼图壁大海子国家湿地公园管理局实施时间:本项目实施周期为2024年1月-2024年12月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自2017年12月启动，经过充分的前期准备与招投标程序，确定了实施团队。随后，项目按计划有序实施，重点聚焦湿地多样性保护，通过一系列工程措施促进生态修复。经过近六年的努力，项目于2023年12月顺利完成验收，各项指标均达到预期。项目成功实现了人与自然和谐共存的目标，有效保护了湿地生态系统，为后续可持续发展奠定了坚实基础。但仍有一些工程款项，如植被种植费用、生态修复材料采购费用、标识标牌建设部分费用等尚未支付。本次将对这些未支付的湿地保护工程款项进行结算，确保工程建设方的合法权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项目实施主体为呼图壁大海子国家湿地公园管理局，主要职贵为:①贯彻执行国家和区、州、县有关湿地保护的法律法规和方针政策。②参与制定本行政区域内湿地保护规划，划定本行政区域内重要湿并向社会公示。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③承担湿地公园的建设、管理、科学监测及经营活动等行政辅助工作。④承担调查湿地公园的自然资源、建立档案、组织开展环境监测、保护湿地公园内的自然环境和自然资源等工作。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⑤组织或协助有关部门开展湿地的科学研究工作。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⑥开展湿地保护的宣传教育活动。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⑦在加强湿地保护的前提下,合理利用湿地资源,组织开展生态旅游经营利用等活动。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⑧承担对湿地内栖息的候鸟及其它野生动植物实施保护和必要的救助等工作，开展野生动物源疫病监测与防治。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⑨完成县林业和草原综合行政执法大队交办的其他任务。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(2)机构设置情况:呼图壁大海子国家湿地公园管理局无下属单位及下设机构或科室，现有人员情况:事业编制人数为8人，实有在职人数8人，其中事业在职8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27万元，资金来源为根据昌州财预[2023]70号文件，下达2017年中央财政湿地保护与恢复项目资金，其中:财政资金27万元，其他资金0万元，2024年实际收到预算资金27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27万元，预算执行率100%，项目资金主要用于支付2017年中央财政湿地保护与恢复项目费用27万元。如植被种植费用4万元、生态修复材料采购费用8.6万元、标识标牌建设部分部分费用14.4万元等尚未支付。本次将对这些未支付的湿地保护工程款项进行结算，确保工程建设方的合法权益。</w:t>
      </w:r>
    </w:p>
    <w:p w14:paraId="31B2D32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47E8E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湿地作为“地球之肾”，在涵养水源、调节气候、维护生物多样性等方面发挥着不可替代的重要作用。然而，当前湿地面临着面积萎缩、生态功能退化、生物多样性减少等诸多严峻挑战。为积极响应国家生态文明建设号召，加强湿地保护与恢复工作，特开展本湿地保护与恢复项目。本项目旨在规范湿地公园科学建设与发展，推动湿地保护、科普教育等多元化活动开展，营造人与自然和谐共生的优美环境，切实提高公众湿地保护意识，促进湿地保护与合理利用的协调发展，实现生态效益、社会效益与经济效益的有机统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“湿地修复工程数”指标，预期指标值为“大于等于1个”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“湿地修复合格率”指标，预期指标值为“等于100%”;③时效指标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“项目完成及时率”指标，预期指标值为“等于100%”;(2)项目成本指标指标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“欠款赔付费用”指标，预期指标值为“小于等于2.25万元/月”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“提升本地生态恢复”指标，预期指标值为“有效提升”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“提高社会公众的环保意识”指标，预期指标值为“有效提高”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“湿地生态恢复满意度”指标，预期指标值为“大于等于100%”</w:t>
      </w:r>
    </w:p>
    <w:p w14:paraId="44DC6FE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E2C090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E7B062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此次我单位根据《财政支出绩效评价管理暂行办法》(财预(2020)10号)文件要求实施评价工作，本次评价对象为2017年中央财政湿地保护与恢复项目，评价核心为项目资金、项目产出、项目效益。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(5)项目合同、项目总体规划、项目验收报告、项目评价调查问卷。</w:t>
      </w:r>
    </w:p>
    <w:p w14:paraId="1FFAA48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D17F2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(2)统筹兼顾。单位自评、部门评价和财政评价应职贵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国绕项目总体绩效目标，将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07E688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EA038F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宁为群(评价小组组长):主要负责项目策划和监督，全面负责项目绩效评价办稿的最终质量，对评估人员出具的最终报告质量进行复核，确保评估结果的客观性;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贺思琴(评价小组组员):主要负责资料的收集，取证、数据统计分析;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bookmarkStart w:id="0" w:name="_GoBack"/>
      <w:bookmarkEnd w:id="0"/>
      <w:r>
        <w:rPr>
          <w:rStyle w:val="18"/>
          <w:rFonts w:hint="eastAsia" w:ascii="楷体" w:hAnsi="楷体" w:eastAsia="楷体"/>
          <w:b w:val="0"/>
          <w:bCs w:val="0"/>
          <w:spacing w:val="-4"/>
          <w:sz w:val="32"/>
          <w:szCs w:val="32"/>
        </w:rPr>
        <w:t>努尔哈毕(评价小组组员):主要负责主要负责项目报告的制定，指标的研判，数据分析及报告撰写。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2025年3月2日-3月17日，评价工作进入实施阶段。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湿地周边农场主。我们根据绩效评价目标和绩效指标体系，设计满意度调查问卷进行问卷调查，其中20受益对象共选取样本5人，共发放问卷5份，最终收回5份。(该项目周边收益人数总共为5户农户，按每户一人发放问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2025年3月17日-3月21日，评价小组按照绩效评价的原则和规范对取得的资料进行审查核实，对采集的数据进行分析，按照绩效评价指标评分表逐项进行打分、分析、汇总各方评价结果，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D18CBC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0F6083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在呼图壁大海子国家湿地公园主入口大门处树立去区碑1座、在湿地公园主要道路相交处树立界碑5座，界桩50根，设立各类标识牌39个，在湿地公园外围区域拉设草原围栏网10公里，建设高钢制瞭望塔1座，进行芦苇红柳种植等植被恢复;通过这些项目的精心实施，我们成功完成了湿地的保护与恢复产出目标，有效提升了湿地生态系统的稳定性和多样性，发挥了显著的生态、社会和经济效益。湿地生态环境得到明显改善，野生动植物种群数量显著增加，促进了人与自然和谐共生。然而，在实施过程中也存在一些不足:如项目进展初期存在部分工作衔接不畅、部分区域保护措施落实不到位等问题，影响了项目的整体推进效率。针对这些问题，我们将认真总结经验教训，进一步加强项目管理和协调配合，确保后续工作更加顺利高效地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424571C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269AD6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A275D0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 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新疆呼图壁大海子国家湿地公园总体规划》的总体部署，依据《中央财政林业补助资金管理办法》(财农【2014】9号)《新疆维吾尔自治区中央财政林业补助资金管理实施细则》(新财农【2014】216号)和国家及自治区湿地建设的相关要求，以“保护优先、科学修复、适度开发、合理利用、持续发展”为原则，符合国家法律法规国民经济发展规划和相关政策;本项目立项符合自治区林业厅发展计划和资金管理处《关于尽快上报2017年中央财政林业专项资金申请的通知》中:“湿地保护与恢复”内容，符合行业发展规划和政策要求;本项目立项符合《呼图壁县湿地公园管理局配置内设机构和人员编制规定》中职责范围中的“贯彻落实国家和区、州县有关湿地保护的法律法规和方针政策开展湿地保护的宣传教育活动”，属于我单位履职所需;根据《财政资金直接支付申请书》，本项目资金性质为“公共财政预算”功能分类为“湿地保护与恢复”经济分类为“资本性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中央财政林业补助资金管理办法》(财农【2014】9号)、《新疆维吾尔自治区中央财政林业补助资金管理实施细则》(新财农【2014】216号)文件要求，我单位上报《关于上报昌吉州2017年第二批中央林业改革发展资金(湿地补助)建设实施方案的请示》(昌州林字【2017】383号)，经昌吉州发展和改革委员会审核，下发《关于对新疆呼图壁大海子国家湿地公园2017年中央财政湿地补助(保护与恢复项目)实施方案的批复》(新林计字(2018)127号)批复文件，本项目正式设立。经查看，该项目立项过程产生的相关文件，符合相关要求。本项目为基础建设类项目，属于经常性项目，不涉及事前绩效评估和风险评估，已委托新疆林科院园林绿化规划工程设计所编制《新疆呼图壁大海子国家湿地公园2017年中央财政湿地保护与恢复项目实施方案》。综上所述，本指标满分为3.00分，根据评分标准得3.00分，本项目立项程序规范。2.绩效目标情况分析(1)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湿地作为“地球之肾”在涵养水源、调节气候、维护生物多样性等方面发挥着不可替代的重要作用。然而，当前湿地面临着面积萎缩、生态功能退化、生物多样性减少等诸多严峻挑战。为积极响应国家生态文明建设号召，加强湿地保护与恢复工作，特开展本湿地保护与恢复项目。本项目旨在规范湿地公园科学建设与发展，推动湿地保护、科普教育等多元化活动开展，营造人与自然和谐共生的优美环境，切实提高公众湿地保护意识，促进湿地保护与合理利用的协调发展，实现生态效益、社会效益与经济效益的有机统一”;本项目实际工作内容为:湿地保护工程:绩效目标与实际工作内容一致，两者具有相关性;本项目预算申请资金27万元,预算确定资金量与实际工作任务相匹配。本项目按照绩效目标完成了数量指标、质量指标、时效指标、成本指标，有效保障了湿地保护与恢复工作的顺利进行，提升了湿地生态系统的稳定性和多样性,促进了湿地资源的可持续利用,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预算申请内容为在呼图壁大海子国家湿地公园主入口大门处树立去区碑1座、在湿地公园主要道路相交处树立界碑5座，界50根，设立各类标识牌39个，在湿地公园外围区域拉设草原围栏网10公里，建设高钢制瞭望塔1座，进行芦苇红柳种植等植被恢复;，预算申请与《关于对新疆大海子国家湿地公园2017年中央财政湿地补助(保护与恢复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27万元，我单位在预算申请中严格按照标准和数量进行核算，其中:单位标准为27万元，数量为3，(一)树立去区碑1座、在湿地公园主要道路相交处树立界碑5座，界50根，设立各类标识牌39个，(二)在湿地公园外围区域拉设草原围栏网10公里，(三)建设高钢制瞭望塔1座，进行芦苇红柳种植等植被恢复;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拨付2017年第二批中央林业改革发展资金的通知》昌州财农(2017)83号和《新疆呼图壁大海子国家湿地公园2017年中央财政湿地保护与恢复项目实施方案》为依据进行资金分配，预算资金分配依据充分。根据《关于拨付2017年第二批中央林业改革发展资金的通知》昌州财农(2017)83号，文件显示，本项目实际到位资金27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195889A">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4A9CC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本项目预算资金为27万元，其中:本级财政安排资金27万元，其他资金0万元，实际到位资金27万元，资金到位率100.00%。得分4分。综上所述，本指标满分为4.00分，根据评分标准得4分，本项目资金分配合理。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本项目实际支出资金27万元，预算执行率=100.00%，得分5分。综上所述，本指标满分为5.00分，根据评分标准得5分，本项目资金分配合理。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湿地公园管理局资金管理办法》《呼图壁县财政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湿地公园管理局资金管理办法》《呼图壁县湿地公园管理局收支业务管理制度》《呼图壁县湿地公园管理局政府采购业务管理制度》《呼图壁县湿地公园管理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包括合同书、验收报告、技术鉴定等资料齐全并及时进行了归档。项目资金支出严格按照自治区、地区、县以及本单位资金管理办法执行，项目启动实施后，为了加快本项目的实施，成立了湿地保护与恢复项目工作领导小组，由局长宁为群任组长，负责项目的组织工作;努尔哈毕任副组长，负责项目的实施工作;组员包括:贺思琴和王小萍，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综上所述，本指标满分为4.00分，根据评分标准得4.0分，本项目建立制度执行有效。</w:t>
      </w:r>
    </w:p>
    <w:p w14:paraId="1DA9FFE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8A4B0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项目产出类指标由3个二级指标和3个三级指标构成，权重分20.0分，实际得分 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“湿地修复工程数”指标:预期指标值为“&gt;=1个”，实际完成指标值为“1个”，指标完成率为 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综上所述，本指标满分为7分，根据评分标准得7分。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“湿地修复合格率”指标:预期指标值为“&gt;=100%”实际完成指标值为“100%”，指标完成率为100.0%。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 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“欠款赔付费用”指标:预期指标值为“&lt;=2.25万元/月””，实际完成指标值为“=2.25万元/月”，指标完成率为100.0%。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869281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DB456D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项目效益类指标由2个二级指标和3个三级指标构成，权重分30.0实际得分 30.0分。分，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“提升本地生态恢复”指标:预期指标值为“有效提升”，实际完成指标值为“达到预期指标”，指标完成率为 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综上所述，本指标满分为11.0分，根据评分标准得11.0分。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“提高公众的环保意识”指标:预期指标值为“有效提高”实际完成指标值为“达到预期指标”，指标完成率为100.0%。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综上所述，本指标满分为9分，根据评分标准得9分。3.生态效益完成情况分析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E21C7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“湿地生态恢复满意度”指标:预期指标值为“&gt;=100%”，实际完成指标值为“100%”，指标完成率为 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1F802D12">
      <w:pPr>
        <w:spacing w:line="540" w:lineRule="exact"/>
        <w:ind w:firstLine="567"/>
        <w:rPr>
          <w:rStyle w:val="18"/>
          <w:rFonts w:hint="eastAsia" w:ascii="楷体" w:hAnsi="楷体" w:eastAsia="楷体"/>
          <w:b w:val="0"/>
          <w:bCs w:val="0"/>
          <w:spacing w:val="-4"/>
          <w:sz w:val="32"/>
          <w:szCs w:val="32"/>
        </w:rPr>
      </w:pPr>
    </w:p>
    <w:p w14:paraId="2B0F7771">
      <w:pPr>
        <w:spacing w:line="540" w:lineRule="exact"/>
        <w:ind w:firstLine="567"/>
        <w:rPr>
          <w:rStyle w:val="18"/>
          <w:rFonts w:ascii="楷体" w:hAnsi="楷体" w:eastAsia="楷体"/>
          <w:spacing w:val="-4"/>
          <w:sz w:val="32"/>
          <w:szCs w:val="32"/>
        </w:rPr>
      </w:pPr>
    </w:p>
    <w:p w14:paraId="4F38FC0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AF47EF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湿地公园湿地保护和恢复项目，在区碑、界碑、界桩、围栏等关键设施的建设中，积累了丰富的实践经验。注重前期调研，精准划定湿地保护边界，确保每一处设施都能精准定位,有效防止非法侵占。在材料选择上，优先采用环保、耐用的材质，既保护了湿地环境，又保证了设施的长久使用。施工过程中，严格执行生态保护措施，减少施工对湿地生态的干扰，同时加强监管，确保工程质量。此外，项目还注重社区参与，通过宣传教育，提升公众对湿地保护的认识和支持，形成了良好的社会氛围。这些经验表明，湿地公园湿地保护和恢复项目，需要精准规划、环保选材、科学施工与社区参与相结合，才能有效保护湿地资源，促进生态恢复，实现人与自然的和谐共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1.设施维护与管理存在短板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表现:尽管在区碑、界碑、界桩、围栏等关键设施建设上投入了大量精力，但后续的维护与管理未能跟上。部分界碑、界桩出现字迹模糊、损坏甚至丢失的情况，围栏也存在生锈、倒塌等问题，未能及时修复和更换，影响了设施对湿地保护边界的有效标识和保护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一是缺乏专门的维护管理团队和资金保障。项目实施后，没有明确专门的部门或人员负责设施的长期维护，且维护资金未纳入常态化预算，导致维护工作难以持续开展。二是管理机制不健全，没有建立完善的设施巡查、维护和更新制度，对设施的损坏情况不能及时发现和处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2.科学施工对生态干扰控制仍有不足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表现:尽管施工过程中严格执行了生态保护措施，但在一些特殊区域和复杂施工环节，仍对湿地生态造成了一定程度的干扰。例如，在围栏建设过程中，大型施工机械的碾压导致部分湿地植被受损，影响了湿地生态系统的稳定性。·原因分析:一是施工方案的科学性和针对性不够。在制定施工方案时，对湿地生态环境的复杂性和敏感性认识不足，没有充分考虑不同区域的生态特点，导致施工措施不够完善。二是施工人员的生态保护意识和技能水平有待提高。部分施工人员缺乏生态保护的专业知识和经验，在施工过程中未能严格按照生态保护要求进行操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区参与的深度和广度不够·问题表现:虽然项目注重社区参与，通过宣传教育提升了公众对湿地保护的认识和支持，但社区参与的深度和广度还不够。社区居民在湿地保护和恢复项目中的参与大多停留在表面，如参加一些科普活动，缺乏实质性的参与机会和决策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一是项目方与社区居民的沟通渠道不够畅通。在项目规划和实施过程中，没有充分征求社区居民的意见和建议，导致居民对项目的了解不够深入，参与积极性不高。二是缺乏有效的社区参与机制和平台。没有建立专门的社区参与组织或机构，居民缺乏参与项目决策和管理的渠道，无法真正发挥其在湿地保护中的作用，</w:t>
      </w:r>
    </w:p>
    <w:p w14:paraId="739D865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8E187E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湿地公园湿地保护和恢复项目，在区碑、界碑、界桩、围栏等关键设施的建设过程中，存在的一些主要问题。首先，部分区域地形复杂，给设施定位和施工带来困难，尤其是在沼泽、水域等区域，需采用特殊技术和设备，增加了施工难度和成本。其次，湿地生态系统敏感，施工活动容易对其造成干扰，如土壤压实、植被破坏等，影响湿地生态恢复。再者，设施的日常维护和监管也是一大挑战，由于湿地环境复杂，维护成本高，且需长期监管，防止设施损坏和非法侵占。</w:t>
      </w:r>
    </w:p>
    <w:p w14:paraId="2BB75C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3BD1D0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E74FD54">
      <w:pPr>
        <w:spacing w:line="540" w:lineRule="exact"/>
        <w:ind w:firstLine="567"/>
        <w:rPr>
          <w:rStyle w:val="18"/>
          <w:rFonts w:ascii="仿宋" w:hAnsi="仿宋" w:eastAsia="仿宋"/>
          <w:b w:val="0"/>
          <w:spacing w:val="-4"/>
          <w:sz w:val="32"/>
          <w:szCs w:val="32"/>
        </w:rPr>
      </w:pPr>
    </w:p>
    <w:p w14:paraId="4C3450D1">
      <w:pPr>
        <w:spacing w:line="540" w:lineRule="exact"/>
        <w:ind w:firstLine="567"/>
        <w:rPr>
          <w:rStyle w:val="18"/>
          <w:rFonts w:ascii="仿宋" w:hAnsi="仿宋" w:eastAsia="仿宋"/>
          <w:b w:val="0"/>
          <w:spacing w:val="-4"/>
          <w:sz w:val="32"/>
          <w:szCs w:val="32"/>
        </w:rPr>
      </w:pPr>
    </w:p>
    <w:p w14:paraId="605C442A">
      <w:pPr>
        <w:spacing w:line="540" w:lineRule="exact"/>
        <w:ind w:firstLine="567"/>
        <w:rPr>
          <w:rStyle w:val="18"/>
          <w:rFonts w:ascii="仿宋" w:hAnsi="仿宋" w:eastAsia="仿宋"/>
          <w:b w:val="0"/>
          <w:spacing w:val="-4"/>
          <w:sz w:val="32"/>
          <w:szCs w:val="32"/>
        </w:rPr>
      </w:pPr>
    </w:p>
    <w:p w14:paraId="4DDB8D5D">
      <w:pPr>
        <w:spacing w:line="540" w:lineRule="exact"/>
        <w:ind w:firstLine="567"/>
        <w:rPr>
          <w:rStyle w:val="18"/>
          <w:rFonts w:ascii="仿宋" w:hAnsi="仿宋" w:eastAsia="仿宋"/>
          <w:b w:val="0"/>
          <w:spacing w:val="-4"/>
          <w:sz w:val="32"/>
          <w:szCs w:val="32"/>
        </w:rPr>
      </w:pPr>
    </w:p>
    <w:p w14:paraId="17A4F99E">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A1E6141">
        <w:pPr>
          <w:pStyle w:val="12"/>
          <w:jc w:val="center"/>
        </w:pPr>
        <w:r>
          <w:fldChar w:fldCharType="begin"/>
        </w:r>
        <w:r>
          <w:instrText xml:space="preserve">PAGE   \* MERGEFORMAT</w:instrText>
        </w:r>
        <w:r>
          <w:fldChar w:fldCharType="separate"/>
        </w:r>
        <w:r>
          <w:rPr>
            <w:lang w:val="zh-CN"/>
          </w:rPr>
          <w:t>2</w:t>
        </w:r>
        <w:r>
          <w:fldChar w:fldCharType="end"/>
        </w:r>
      </w:p>
    </w:sdtContent>
  </w:sdt>
  <w:p w14:paraId="6E67942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1741AC7"/>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11408</Words>
  <Characters>12061</Characters>
  <Lines>4</Lines>
  <Paragraphs>1</Paragraphs>
  <TotalTime>11</TotalTime>
  <ScaleCrop>false</ScaleCrop>
  <LinksUpToDate>false</LinksUpToDate>
  <CharactersWithSpaces>12083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2025-08-11T12:12:06Z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