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C3F9C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8594676">
      <w:pPr>
        <w:spacing w:line="540" w:lineRule="exact"/>
        <w:jc w:val="center"/>
        <w:rPr>
          <w:rFonts w:ascii="华文中宋" w:hAnsi="华文中宋" w:eastAsia="华文中宋" w:cs="宋体"/>
          <w:b/>
          <w:kern w:val="0"/>
          <w:sz w:val="52"/>
          <w:szCs w:val="52"/>
        </w:rPr>
      </w:pPr>
    </w:p>
    <w:p w14:paraId="6A3D4266">
      <w:pPr>
        <w:spacing w:line="540" w:lineRule="exact"/>
        <w:jc w:val="center"/>
        <w:rPr>
          <w:rFonts w:ascii="华文中宋" w:hAnsi="华文中宋" w:eastAsia="华文中宋" w:cs="宋体"/>
          <w:b/>
          <w:kern w:val="0"/>
          <w:sz w:val="52"/>
          <w:szCs w:val="52"/>
        </w:rPr>
      </w:pPr>
    </w:p>
    <w:p w14:paraId="0C9CAF78">
      <w:pPr>
        <w:spacing w:line="540" w:lineRule="exact"/>
        <w:jc w:val="center"/>
        <w:rPr>
          <w:rFonts w:ascii="华文中宋" w:hAnsi="华文中宋" w:eastAsia="华文中宋" w:cs="宋体"/>
          <w:b/>
          <w:kern w:val="0"/>
          <w:sz w:val="52"/>
          <w:szCs w:val="52"/>
        </w:rPr>
      </w:pPr>
    </w:p>
    <w:p w14:paraId="79049B9B">
      <w:pPr>
        <w:spacing w:line="540" w:lineRule="exact"/>
        <w:jc w:val="center"/>
        <w:rPr>
          <w:rFonts w:ascii="华文中宋" w:hAnsi="华文中宋" w:eastAsia="华文中宋" w:cs="宋体"/>
          <w:b/>
          <w:kern w:val="0"/>
          <w:sz w:val="52"/>
          <w:szCs w:val="52"/>
        </w:rPr>
      </w:pPr>
    </w:p>
    <w:p w14:paraId="24F9B7E0">
      <w:pPr>
        <w:spacing w:line="540" w:lineRule="exact"/>
        <w:jc w:val="center"/>
        <w:rPr>
          <w:rFonts w:ascii="华文中宋" w:hAnsi="华文中宋" w:eastAsia="华文中宋" w:cs="宋体"/>
          <w:b/>
          <w:kern w:val="0"/>
          <w:sz w:val="52"/>
          <w:szCs w:val="52"/>
        </w:rPr>
      </w:pPr>
    </w:p>
    <w:p w14:paraId="2CD86BF4">
      <w:pPr>
        <w:spacing w:line="540" w:lineRule="exact"/>
        <w:jc w:val="center"/>
        <w:rPr>
          <w:rFonts w:ascii="华文中宋" w:hAnsi="华文中宋" w:eastAsia="华文中宋" w:cs="宋体"/>
          <w:b/>
          <w:kern w:val="0"/>
          <w:sz w:val="52"/>
          <w:szCs w:val="52"/>
        </w:rPr>
      </w:pPr>
    </w:p>
    <w:p w14:paraId="670993F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58E60E3">
      <w:pPr>
        <w:spacing w:line="540" w:lineRule="exact"/>
        <w:jc w:val="center"/>
        <w:rPr>
          <w:rFonts w:ascii="华文中宋" w:hAnsi="华文中宋" w:eastAsia="华文中宋" w:cs="宋体"/>
          <w:b/>
          <w:kern w:val="0"/>
          <w:sz w:val="52"/>
          <w:szCs w:val="52"/>
        </w:rPr>
      </w:pPr>
    </w:p>
    <w:p w14:paraId="4D9BDB5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BA0A505">
      <w:pPr>
        <w:spacing w:line="540" w:lineRule="exact"/>
        <w:jc w:val="center"/>
        <w:rPr>
          <w:rFonts w:hAnsi="宋体" w:eastAsia="仿宋_GB2312" w:cs="宋体"/>
          <w:kern w:val="0"/>
          <w:sz w:val="30"/>
          <w:szCs w:val="30"/>
        </w:rPr>
      </w:pPr>
    </w:p>
    <w:p w14:paraId="257B50D4">
      <w:pPr>
        <w:spacing w:line="540" w:lineRule="exact"/>
        <w:jc w:val="center"/>
        <w:rPr>
          <w:rFonts w:hAnsi="宋体" w:eastAsia="仿宋_GB2312" w:cs="宋体"/>
          <w:kern w:val="0"/>
          <w:sz w:val="30"/>
          <w:szCs w:val="30"/>
        </w:rPr>
      </w:pPr>
    </w:p>
    <w:p w14:paraId="7224DDD6">
      <w:pPr>
        <w:spacing w:line="540" w:lineRule="exact"/>
        <w:jc w:val="center"/>
        <w:rPr>
          <w:rFonts w:hAnsi="宋体" w:eastAsia="仿宋_GB2312" w:cs="宋体"/>
          <w:kern w:val="0"/>
          <w:sz w:val="30"/>
          <w:szCs w:val="30"/>
        </w:rPr>
      </w:pPr>
    </w:p>
    <w:p w14:paraId="3534EDA0">
      <w:pPr>
        <w:spacing w:line="540" w:lineRule="exact"/>
        <w:jc w:val="center"/>
        <w:rPr>
          <w:rFonts w:hAnsi="宋体" w:eastAsia="仿宋_GB2312" w:cs="宋体"/>
          <w:kern w:val="0"/>
          <w:sz w:val="30"/>
          <w:szCs w:val="30"/>
        </w:rPr>
      </w:pPr>
    </w:p>
    <w:p w14:paraId="20C01EC6">
      <w:pPr>
        <w:spacing w:line="540" w:lineRule="exact"/>
        <w:jc w:val="center"/>
        <w:rPr>
          <w:rFonts w:hAnsi="宋体" w:eastAsia="仿宋_GB2312" w:cs="宋体"/>
          <w:kern w:val="0"/>
          <w:sz w:val="30"/>
          <w:szCs w:val="30"/>
        </w:rPr>
      </w:pPr>
    </w:p>
    <w:p w14:paraId="29147CDA">
      <w:pPr>
        <w:spacing w:line="540" w:lineRule="exact"/>
        <w:jc w:val="center"/>
        <w:rPr>
          <w:rFonts w:hAnsi="宋体" w:eastAsia="仿宋_GB2312" w:cs="宋体"/>
          <w:kern w:val="0"/>
          <w:sz w:val="30"/>
          <w:szCs w:val="30"/>
        </w:rPr>
      </w:pPr>
    </w:p>
    <w:p w14:paraId="2EB2E74F">
      <w:pPr>
        <w:spacing w:line="540" w:lineRule="exact"/>
        <w:rPr>
          <w:rFonts w:hAnsi="宋体" w:eastAsia="仿宋_GB2312" w:cs="宋体"/>
          <w:kern w:val="0"/>
          <w:sz w:val="30"/>
          <w:szCs w:val="30"/>
        </w:rPr>
      </w:pPr>
    </w:p>
    <w:p w14:paraId="79A0EBB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9B3CEB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2024年中央重大传染病预防经费</w:t>
      </w:r>
    </w:p>
    <w:p w14:paraId="77E2407C">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呼图壁县疾病预防控制中心（呼图壁县卫生监督所）</w:t>
      </w:r>
    </w:p>
    <w:p w14:paraId="3806E79C">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呼图壁县疾病预防控制中心（呼图壁县卫生监督所）</w:t>
      </w:r>
    </w:p>
    <w:p w14:paraId="1C2F9F3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贾春花</w:t>
      </w:r>
    </w:p>
    <w:p w14:paraId="565EA9FA">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47330E5D">
      <w:pPr>
        <w:spacing w:line="700" w:lineRule="exact"/>
        <w:ind w:firstLine="708" w:firstLineChars="236"/>
        <w:jc w:val="left"/>
        <w:rPr>
          <w:rFonts w:hAnsi="宋体" w:eastAsia="仿宋_GB2312" w:cs="宋体"/>
          <w:kern w:val="0"/>
          <w:sz w:val="30"/>
          <w:szCs w:val="30"/>
        </w:rPr>
      </w:pPr>
    </w:p>
    <w:p w14:paraId="2EF7AF97">
      <w:pPr>
        <w:spacing w:line="540" w:lineRule="exact"/>
        <w:rPr>
          <w:rStyle w:val="18"/>
          <w:rFonts w:ascii="黑体" w:hAnsi="黑体" w:eastAsia="黑体"/>
          <w:b w:val="0"/>
          <w:spacing w:val="-4"/>
          <w:sz w:val="32"/>
          <w:szCs w:val="32"/>
        </w:rPr>
      </w:pPr>
    </w:p>
    <w:p w14:paraId="283FF7F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DC1E415">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E58B61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社【2023】78号文件,《关于提前下达2024年重大传染病防控经费预算的通知》（新财社【2023】218号），下达重大传染病防控经费项目项目资金119.83万元，项目资金主要用于呼图壁县疾病预防控制中心实施扩大国家免疫规划，艾滋病、结核病、血吸虫与包虫病、精神卫生和慢性非传染性疾病防治，重点传染病及健康危害因素检测等工作，用于重大传染病实验耗材以及相关办公经费支出。加强疾病预防控制机构能力建设，贯彻落实预防为主和以基层为重点的卫生健康工作方针，加强县级疾控机构能力建设，完善公共生实验室服务体系，提升疾控机构实验室装备水平，提高人员队伍能力，全面提升疾控中心在疾病监测预警防范，健康危害因素分析评价中方面的综合能力，有效控制传染病的暴发流行，有效处置突发公共卫生事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（1）项目名称：2024年中央重大传染病</w:t>
      </w:r>
      <w:r>
        <w:rPr>
          <w:rStyle w:val="18"/>
          <w:rFonts w:hint="eastAsia" w:ascii="楷体" w:hAnsi="楷体" w:eastAsia="楷体"/>
          <w:b w:val="0"/>
          <w:bCs w:val="0"/>
          <w:spacing w:val="-4"/>
          <w:sz w:val="32"/>
          <w:szCs w:val="32"/>
          <w:lang w:val="en-US" w:eastAsia="zh-CN"/>
        </w:rPr>
        <w:t>预防</w:t>
      </w:r>
      <w:r>
        <w:rPr>
          <w:rStyle w:val="18"/>
          <w:rFonts w:hint="eastAsia" w:ascii="楷体" w:hAnsi="楷体" w:eastAsia="楷体"/>
          <w:b w:val="0"/>
          <w:bCs w:val="0"/>
          <w:spacing w:val="-4"/>
          <w:sz w:val="32"/>
          <w:szCs w:val="32"/>
        </w:rPr>
        <w:t>经费项目（以下简称“该项目”或“项目”）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（2）项目主要内容：项目资金主要用于2024年重大传染病项目工作经费支出，主要用于呼图壁县疾病预防控制中心重大传染病的相关实验耗材以及相关办公经费支出等费用的支出。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实施主体：呼图壁县疾病预防控制中心。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自2024年3月开始，呼图壁县疾病预防控制中心工作人员已完成精神卫生宣传普及5次，覆盖社区和学校群体，重点普及心理健康知识及政策支持。2024年6月，利用中央资金完成重大传染病实验室检测试剂及耗材采购（如核酸检测试剂盒、生物安全设备等），强化了病原体检测能力。截至12月底，累计为495人次的严重精神障碍患者提供防治服务，包括用药指导、个性化治疗，确保服务精准覆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实施该项目，显著提升公众心理健康知识知晓率，患者社会接纳度提高；实验室耗材的及时补充保障了传染病监测的时效性，2024年区域内无重大疫情暴发；系统化管理服务使患者规范服药率提升至85%。项目的分阶段实施为基层公共卫生网络建设提供了可复制的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呼图壁县疾病预防控制中心是为人民身体健康提供防疫保障，进行疾病监测、疾病预防与控制、卫生监督与监测、突发卫生事件处理、卫生宣传与健康教育为宗旨。是属于执行政府会计制度的一级预算单位，确保我县无重大传染疫情爆发和扩散蔓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疾病预防控制中心无下属预算单位，下设11个科室。分别是：综合科、卫生应急与传染病预防控制科、结核病预防控制科、性病艾滋病预防控制科、免疫规划科、慢性病预防控制科、地方病预防控制科、职业卫生科、质量管理与健康教育科、检验科、综合监督执法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呼图壁县疾病预防控制中心单位人员总数54名，其中：在职29名，退休25名，离休0名。实有人员54人。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本项目预算安排总额为119.83万元，资金来源为上级财政资金，其中：财政资金119.83万元，其他资金0万元，2024年实际收到预算资金119.83万元，预算资金到位率为100%。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119.83万元，预算执行率100%。本项目资金主要用于支付免疫规划8.5万元、结核病防治9.2万元、艾滋病综合防治14.2万元、慢病综合防控26.83万元、包虫病防治27.5万元、重大疾病监测33.6万元。</w:t>
      </w:r>
    </w:p>
    <w:p w14:paraId="575D526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3BEB06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强化精神卫生防治体系和服务能力建设，有效提升区域精神障碍患者规范化管理水平。以完成700人次患者防治服务为核心，落实用药指导、个性化治疗等干预措施，推动精神卫生疾病防治率达到80%以上，降低患者肇事肇祸风险；同时依托5次专题宣教活动普及心理健康知识，提升公众对精神疾病的认知度及社会接纳度，减少歧视现象。项目旨在构建“预防-干预-管理”全链条服务模式，优化基层精神卫生资源配置，完善社区随访和多部门协作机制，确保中央补助资金精准覆盖重点人群，助力实现公共卫生服务均等化和健康中国建设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“精神卫生防治人数”指标，预期指标值为“大于等于700人次”；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“精神卫生宣教次数”指标，预期指标值为“大于等于5次”；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“精神卫生疾病防治率”指标，预期指标值为“大于等于80%”；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“项目执行及时率”指标，预期指标值为“等于100%”；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“城乡卫生差距”指标，预期指标值为“有效缩小”；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74D02AD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7BC59F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E0DD8E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此次我单位根据《财政支出绩效评价管理暂行办法》（财预〔2020〕10号）文件要求实施评价工作，本次评价对象为2024年中央重大公共卫生服务补助项目，评价核心为项目资金、项目产出、项目效益。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（5）《中央财政公共卫生服务补助资金管理办法》；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（6）《关于做好2024年基本公共卫生服务工作的通知》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（7）《新疆2024年重大传染病防控专项实施方案》</w:t>
      </w:r>
    </w:p>
    <w:p w14:paraId="2C9123E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4508B9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指标评价法、过程跟踪评价法、成本效益分析法、满意度调查法对项目进行评价，旨在通过综合分析影响绩效目标实现、实施效果的内外部因素，从而评价本项目绩效。三级指标分析环节：定量指标评价法、过程跟踪评价法、成本效益分析法、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定量指标评价法：通过设定可量化的数值指标（如精神卫生疾病防治率、宣教活动覆盖率、资金支出率等），直接衡量项目执行效果。例如，通过对比实际完成人数与目标人数的比例，评估服务目标达成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（2）过程跟踪评价法：通过动态监控项目实施流程的规范性，如资金拨付程序、耗材采购合规性、服务记录的完整性等，确保各环节符合政策要求。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（3）成本效益分析法：结合项目投入成本（如中央补助资金、地方配套资金）与产出效益（如传染病监测时效性提升、患者肇事肇祸风险降低等），评估资金使用的经济性和社会效益。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（4）满意度调查法：通过问卷调查或访谈，收集服务对象（如患者、家属）和公众对心理健康知识普及、医疗服务质量等的满意度数据，衡量社会接受度和服务可及性。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6019ED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95CB4E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贾春花（评价小组组长）：主要负责项目策划和监督，全面负责项目绩效评价办稿的最终质量，对评估人员出具的最终报告质量进行复核，确保评估结果的客观性；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都明理（评价小组组员）：主要负责资料的收集，取证、数据统计分析；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刘姗姗（评价小组组员）：主要负责主要负责项目报告的制定，指标的研判，数据分析及报告撰写。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全县人民群众。我们根据绩效评价目标和绩效指标体系，设计满意度调查问卷进行问卷调查，其中缩小城乡卫生差距受益对象共选取样本35人，共发放问卷35份，最终收回31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CBBA8A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231240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495人次患者防治服务，精神卫生疾病防治率达到80%以上，5次专题宣教活动产出目标，发挥了构建“预防-干预-管理”全链条服务模式，优化基层精神卫生资源配置，完善社区随访和多部门协作机制，确保中央补助资金精准覆盖重点人群，助力实现公共卫生服务均等化和健康中国建设目标，有效缩小城乡卫生差距效益。但在实施过程中也存在一些不足：基础数据统计不及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此次绩效评价通过绩效评价小组论证的评价指标体系及评分标准，采用因素分析法和比较法对本项目绩效进行客观评价，本项目共设置三级指标数量18个，实现三级指标数量17个，总体完成率为</w:t>
      </w:r>
      <w:r>
        <w:rPr>
          <w:rStyle w:val="18"/>
          <w:rFonts w:hint="eastAsia" w:ascii="楷体" w:hAnsi="楷体" w:eastAsia="楷体"/>
          <w:b w:val="0"/>
          <w:bCs w:val="0"/>
          <w:spacing w:val="-4"/>
          <w:sz w:val="32"/>
          <w:szCs w:val="32"/>
          <w:lang w:val="en-US" w:eastAsia="zh-CN"/>
        </w:rPr>
        <w:t>100.00</w:t>
      </w:r>
      <w:r>
        <w:rPr>
          <w:rStyle w:val="18"/>
          <w:rFonts w:hint="eastAsia" w:ascii="楷体" w:hAnsi="楷体" w:eastAsia="楷体"/>
          <w:b w:val="0"/>
          <w:bCs w:val="0"/>
          <w:spacing w:val="-4"/>
          <w:sz w:val="32"/>
          <w:szCs w:val="32"/>
        </w:rPr>
        <w:t>%。最终评分结果：总分为</w:t>
      </w:r>
      <w:r>
        <w:rPr>
          <w:rStyle w:val="18"/>
          <w:rFonts w:hint="eastAsia" w:ascii="楷体" w:hAnsi="楷体" w:eastAsia="楷体"/>
          <w:b w:val="0"/>
          <w:bCs w:val="0"/>
          <w:spacing w:val="-4"/>
          <w:sz w:val="32"/>
          <w:szCs w:val="32"/>
          <w:lang w:val="en-US" w:eastAsia="zh-CN"/>
        </w:rPr>
        <w:t>92.48</w:t>
      </w:r>
      <w:r>
        <w:rPr>
          <w:rStyle w:val="18"/>
          <w:rFonts w:hint="eastAsia" w:ascii="楷体" w:hAnsi="楷体" w:eastAsia="楷体"/>
          <w:b w:val="0"/>
          <w:bCs w:val="0"/>
          <w:spacing w:val="-4"/>
          <w:sz w:val="32"/>
          <w:szCs w:val="32"/>
        </w:rPr>
        <w:t>分，绩效评级为“优秀”。综合评价结论如下：</w:t>
      </w:r>
      <w:bookmarkStart w:id="0" w:name="_GoBack"/>
      <w:bookmarkEnd w:id="0"/>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项目产出类指标共设置5个，满分指标4个，得分率97.05%；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项目效益类指标共设置1个，满分指标1个，得分率100%。</w:t>
      </w:r>
    </w:p>
    <w:p w14:paraId="38DED7BC">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EC2237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AB889DF">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卫健委颁发的《中华人民共和国传染病防治法》中：“疾控中心对传染病监测、预警、防控的职责直接基于该法要求，项目资金用于传染病应急物资储备、重点传染病（如艾滋病、结核病）防治等，符合法律对“预防为主”的防控策略规定”，符合国家法律法规、国民经济发展规划和相关政策；本项目立项符合《“十四五”公共卫生体系建设规划》中：“加强传染病监测网络、提升基层疾控能力，项目资金用于实验室检测能力提升、职业卫生监测等”内容，符合行业发展规划和政策要求；本项目立项符合《呼图壁县疾病预防控制中心单位配置内设机构和人员编制规定》中职责范围中的“承担疫情及健康相关因素信息管理，开展疾病监测，收集、报告、分析和评价疾病与健康危害因素等公共卫生信息”，属于我单位履职所需；根据《财政资金直接支付申请书》，本项目资金性质为“公共财政预算”功能分类为“重大公共卫生服务”经济分类为“商品和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提前下达2024年重大传染病补助资金预算的通知》(昌州财社〔2023〕78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2024年中央重大传染病防控经费项目拟投入119.83万元用于提升疾病预防控制能力，强化基层疾控机构在传染病监测、慢性病管理、实验室检测等领域的硬件与软件建设，重点支持艾滋病、结核病、精神卫生等重大疾病防控体系建设，强化公共卫生应急响应，资金专项用于社区健康讲座、新媒体科普内容制作、重点人群健康干预等，目标覆盖老年群体、学生及慢性病患者；本项目实际工作内容为：截止到2024年12月31日，已完成精神卫生防治人数495人，完成精神卫生宣教5次，精神卫生疾病防治率100%，项目执行及时率100%，通过提升疾病预防控制能力，强化基层疾控机构在传染病监测、慢性病管理、实验室检测等领域的硬件与软件建设，重点支持艾滋病、结核病、精神卫生等重大疾病防控体系建设，强化公共卫生应急响应；绩效目标与实际工作内容一致，两者具有相关性;本项目预算申请资金119.83万元，预算确定资金量与实际工作任务相匹配。本项目按照绩效目标完成了数量指标、质量指标、时效指标、成本指标，有效提高居民健康素养，通过健康教育与科普宣传，提升公众对重大传染病、慢性病防治的认知度和主动参与度，有效强化公共卫生应急响应。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本项目预算编制根据历年工作情况与人员变动计算得出，即预算编制较科学且经过论证；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重大传染病补助资金，项目实际内容为呼图壁县疾病预防控制中心重大传染病的相关实验耗材以及相关办公经费支出等费用的支出，预算申请与《2024年中央重大传染病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119.83万元，我单位在预算申请中严格按照分项成本进行核算，其中：免疫规划8.5万元、结核病防治9.2万元、艾滋病综合防治14.2万元、慢病综合防控26.83万元、包虫病防治27.5万元、重大疾病监测33.6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中央重大传染病补助资金项目的请示》和《2024年中央重大传染病补助资金项目实施方案》为依据进行资金分配，预算资金分配依据充分。根据《2024年中央重大传染病补助资金项目下达文件》文件显示，本项目实际到位资金119.83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329F0A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FEEAB3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119.83万元，其中：本级财政安排资金119.83万元，其他资金0万元，实际到位资金119.83万元，资金到位率=（实际到位资金/预算资金）×100.00%=（119.83/119.83）*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本项目实际支出资金119.83万元，预算执行率=（实际支出资金/实际到位资金）×100.00%=（119.83/119.83）*100.00%=100%。得分=预算执行率*分值=100%*5=5分。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疾病预防控制中心单位资金管理办法》《呼图壁县疾病预防控制中心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疾病预防控制中心资金管理办法》《呼图壁县疾病预防控制中心收支业务管理制度》《呼图壁县疾病预防控制中心政府采购业务管理制度》《呼图壁县疾病预防控制中心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设备验收报告、试剂耗材出入库记录资料齐全并及时进行了归档。项目资金支出严格按照自治区、地区、市以及本单位资金管理办法执行，项目启动实施后，为了加快本项目的实施，成立了2024年中央重大传染病补助资金项目工作领导小组，由疾控中心主任贾春花任组长，负责项目的组织工作；胡虹梅任副组长，负责项目的实施工作；组员包括：都明理和刘姗姗，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552B8BA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C08814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项目产出类指标由3个二级指标和5个三级指标构成，权重分20.0分，实际得分19.4分。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“精神卫生防治人数”指标：预期指标值为“≥700人次”，实际完成指标值为“=495人次”，指标完成率为70.71%。（偏差率为29.29%，偏差原因主要为：人口迁移。）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综上所述，本指标满分为2分，根据评分标准得1.41分。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“精神卫生宣教次数”指标：预期指标值为“≥5次”，实际完成指标值为“=5次”，指标完成率为100%。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“精神卫生疾病防治率”指标：预期指标值为“≥80%”，实际完成指标值为“=89.29%”，指标完成率为100.0%。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“项目执行及时率”指标：预期指标值为“=100%”，实际完成指标值为“=100%”，指标完成率为100%。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37B2EB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79912B4">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“城乡卫生差距”指标：预期指标值为“有效缩小”，实际完成指标值为“达到预期指标”，指标完成率为100.0%。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综上所述，本指标满分为30分，根据评分标准得30分。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3375FC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3094960">
      <w:pPr>
        <w:spacing w:line="540" w:lineRule="exact"/>
        <w:ind w:firstLine="567"/>
        <w:rPr>
          <w:rStyle w:val="18"/>
          <w:rFonts w:hint="eastAsia" w:ascii="楷体" w:hAnsi="楷体" w:eastAsia="楷体"/>
          <w:b w:val="0"/>
          <w:bCs w:val="0"/>
          <w:spacing w:val="-4"/>
          <w:sz w:val="32"/>
          <w:szCs w:val="32"/>
        </w:rPr>
      </w:pPr>
    </w:p>
    <w:p w14:paraId="6F5D8B96">
      <w:pPr>
        <w:spacing w:line="540" w:lineRule="exact"/>
        <w:ind w:firstLine="567"/>
        <w:rPr>
          <w:rStyle w:val="18"/>
          <w:rFonts w:ascii="楷体" w:hAnsi="楷体" w:eastAsia="楷体"/>
          <w:spacing w:val="-4"/>
          <w:sz w:val="32"/>
          <w:szCs w:val="32"/>
        </w:rPr>
      </w:pPr>
    </w:p>
    <w:p w14:paraId="775481E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6D896C4">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项目组织方面，以统筹协调机制为核心，构建“部门联动+专业支撑”的组织架构。通过成立专项领导小组，整合疾控、医疗、社区等多方资源，明确职责分工并建立定期会商制度，确保精神卫生宣传、传染病防控等重点任务有序推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注重流程规范化和动态化监测。一方面，严格遵循《中央财政公共卫生服务补助资金管理办法》要求，制定标准化服务流程，涵盖耗材采购、健康宣教、患者管理等环节，确保服务规范性和可追溯性；另一方面，依托信息化平台开展数据质量监测和阶段性评估，结合《国家基本公共卫生服务规范（第三版）》要求，及时优化资源配置和服务模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方面，突出“专款专用+绩效导向”原则。严格执行《中央财政专项资金管理办法》，将资金分配与区域疾病负担、服务人口等核心因素挂钩，优先保障传染病实验室能力建设、精神卫生防治等刚性需求。同时，通过事前绩效评估和成本效益分析，强化资金使用全流程监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县域内精神疾病人员数不准确，导致目标绩效没有完成。</w:t>
      </w:r>
    </w:p>
    <w:p w14:paraId="5D0FE3F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71175F38">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科学编制预算，提高预算与目标匹配度：科学的预算编制应该保证预算和目标在质和量上相匹配，即一方面预算应该根据目标来编制，保证每一个目标的实现均有相应的预算安排，另一方面应在合理测算工作量的基础上保证预算编制的准确性。根据呼图壁县实际患者管理情况，与业务科室沟通后设定相关阈值。</w:t>
      </w:r>
    </w:p>
    <w:p w14:paraId="5C20FAF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51803E3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72EE22AE">
      <w:pPr>
        <w:spacing w:line="540" w:lineRule="exact"/>
        <w:ind w:firstLine="567"/>
        <w:rPr>
          <w:rStyle w:val="18"/>
          <w:rFonts w:ascii="仿宋" w:hAnsi="仿宋" w:eastAsia="仿宋"/>
          <w:b w:val="0"/>
          <w:spacing w:val="-4"/>
          <w:sz w:val="32"/>
          <w:szCs w:val="32"/>
        </w:rPr>
      </w:pPr>
    </w:p>
    <w:p w14:paraId="1C890EA3">
      <w:pPr>
        <w:spacing w:line="540" w:lineRule="exact"/>
        <w:ind w:firstLine="567"/>
        <w:rPr>
          <w:rStyle w:val="18"/>
          <w:rFonts w:ascii="仿宋" w:hAnsi="仿宋" w:eastAsia="仿宋"/>
          <w:b w:val="0"/>
          <w:spacing w:val="-4"/>
          <w:sz w:val="32"/>
          <w:szCs w:val="32"/>
        </w:rPr>
      </w:pPr>
    </w:p>
    <w:p w14:paraId="67A2A837">
      <w:pPr>
        <w:spacing w:line="540" w:lineRule="exact"/>
        <w:ind w:firstLine="567"/>
        <w:rPr>
          <w:rStyle w:val="18"/>
          <w:rFonts w:ascii="仿宋" w:hAnsi="仿宋" w:eastAsia="仿宋"/>
          <w:b w:val="0"/>
          <w:spacing w:val="-4"/>
          <w:sz w:val="32"/>
          <w:szCs w:val="32"/>
        </w:rPr>
      </w:pPr>
    </w:p>
    <w:p w14:paraId="5D0454B9">
      <w:pPr>
        <w:spacing w:line="540" w:lineRule="exact"/>
        <w:ind w:firstLine="567"/>
        <w:rPr>
          <w:rStyle w:val="18"/>
          <w:rFonts w:ascii="仿宋" w:hAnsi="仿宋" w:eastAsia="仿宋"/>
          <w:b w:val="0"/>
          <w:spacing w:val="-4"/>
          <w:sz w:val="32"/>
          <w:szCs w:val="32"/>
        </w:rPr>
      </w:pPr>
    </w:p>
    <w:p w14:paraId="4B0DE765">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8B0C9B9">
        <w:pPr>
          <w:pStyle w:val="12"/>
          <w:jc w:val="center"/>
        </w:pPr>
        <w:r>
          <w:fldChar w:fldCharType="begin"/>
        </w:r>
        <w:r>
          <w:instrText xml:space="preserve">PAGE   \* MERGEFORMAT</w:instrText>
        </w:r>
        <w:r>
          <w:fldChar w:fldCharType="separate"/>
        </w:r>
        <w:r>
          <w:rPr>
            <w:lang w:val="zh-CN"/>
          </w:rPr>
          <w:t>2</w:t>
        </w:r>
        <w:r>
          <w:fldChar w:fldCharType="end"/>
        </w:r>
      </w:p>
    </w:sdtContent>
  </w:sdt>
  <w:p w14:paraId="6B514B1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050F0E"/>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10451</Words>
  <Characters>11092</Characters>
  <Lines>4</Lines>
  <Paragraphs>1</Paragraphs>
  <TotalTime>11</TotalTime>
  <ScaleCrop>false</ScaleCrop>
  <LinksUpToDate>false</LinksUpToDate>
  <CharactersWithSpaces>11109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2025-08-12T07:08:30Z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