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1551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D775173">
      <w:pPr>
        <w:spacing w:line="540" w:lineRule="exact"/>
        <w:jc w:val="center"/>
        <w:rPr>
          <w:rFonts w:ascii="华文中宋" w:hAnsi="华文中宋" w:eastAsia="华文中宋" w:cs="宋体"/>
          <w:b/>
          <w:kern w:val="0"/>
          <w:sz w:val="52"/>
          <w:szCs w:val="52"/>
        </w:rPr>
      </w:pPr>
    </w:p>
    <w:p w14:paraId="40844064">
      <w:pPr>
        <w:spacing w:line="540" w:lineRule="exact"/>
        <w:jc w:val="center"/>
        <w:rPr>
          <w:rFonts w:ascii="华文中宋" w:hAnsi="华文中宋" w:eastAsia="华文中宋" w:cs="宋体"/>
          <w:b/>
          <w:kern w:val="0"/>
          <w:sz w:val="52"/>
          <w:szCs w:val="52"/>
        </w:rPr>
      </w:pPr>
    </w:p>
    <w:p w14:paraId="3E62688C">
      <w:pPr>
        <w:spacing w:line="540" w:lineRule="exact"/>
        <w:jc w:val="center"/>
        <w:rPr>
          <w:rFonts w:ascii="华文中宋" w:hAnsi="华文中宋" w:eastAsia="华文中宋" w:cs="宋体"/>
          <w:b/>
          <w:kern w:val="0"/>
          <w:sz w:val="52"/>
          <w:szCs w:val="52"/>
        </w:rPr>
      </w:pPr>
    </w:p>
    <w:p w14:paraId="774671C8">
      <w:pPr>
        <w:spacing w:line="540" w:lineRule="exact"/>
        <w:jc w:val="center"/>
        <w:rPr>
          <w:rFonts w:ascii="华文中宋" w:hAnsi="华文中宋" w:eastAsia="华文中宋" w:cs="宋体"/>
          <w:b/>
          <w:kern w:val="0"/>
          <w:sz w:val="52"/>
          <w:szCs w:val="52"/>
        </w:rPr>
      </w:pPr>
    </w:p>
    <w:p w14:paraId="75705685">
      <w:pPr>
        <w:spacing w:line="540" w:lineRule="exact"/>
        <w:jc w:val="center"/>
        <w:rPr>
          <w:rFonts w:ascii="华文中宋" w:hAnsi="华文中宋" w:eastAsia="华文中宋" w:cs="宋体"/>
          <w:b/>
          <w:kern w:val="0"/>
          <w:sz w:val="52"/>
          <w:szCs w:val="52"/>
        </w:rPr>
      </w:pPr>
    </w:p>
    <w:p w14:paraId="3578E062">
      <w:pPr>
        <w:spacing w:line="540" w:lineRule="exact"/>
        <w:jc w:val="center"/>
        <w:rPr>
          <w:rFonts w:ascii="华文中宋" w:hAnsi="华文中宋" w:eastAsia="华文中宋" w:cs="宋体"/>
          <w:b/>
          <w:kern w:val="0"/>
          <w:sz w:val="52"/>
          <w:szCs w:val="52"/>
        </w:rPr>
      </w:pPr>
    </w:p>
    <w:p w14:paraId="3AF1B9F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3D3BE91">
      <w:pPr>
        <w:spacing w:line="540" w:lineRule="exact"/>
        <w:jc w:val="center"/>
        <w:rPr>
          <w:rFonts w:ascii="华文中宋" w:hAnsi="华文中宋" w:eastAsia="华文中宋" w:cs="宋体"/>
          <w:b/>
          <w:kern w:val="0"/>
          <w:sz w:val="52"/>
          <w:szCs w:val="52"/>
        </w:rPr>
      </w:pPr>
    </w:p>
    <w:p w14:paraId="07FB9D3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8CE059D">
      <w:pPr>
        <w:spacing w:line="540" w:lineRule="exact"/>
        <w:jc w:val="center"/>
        <w:rPr>
          <w:rFonts w:hAnsi="宋体" w:eastAsia="仿宋_GB2312" w:cs="宋体"/>
          <w:kern w:val="0"/>
          <w:sz w:val="30"/>
          <w:szCs w:val="30"/>
        </w:rPr>
      </w:pPr>
    </w:p>
    <w:p w14:paraId="431BE888">
      <w:pPr>
        <w:spacing w:line="540" w:lineRule="exact"/>
        <w:jc w:val="center"/>
        <w:rPr>
          <w:rFonts w:hAnsi="宋体" w:eastAsia="仿宋_GB2312" w:cs="宋体"/>
          <w:kern w:val="0"/>
          <w:sz w:val="30"/>
          <w:szCs w:val="30"/>
        </w:rPr>
      </w:pPr>
    </w:p>
    <w:p w14:paraId="56C68857">
      <w:pPr>
        <w:spacing w:line="540" w:lineRule="exact"/>
        <w:jc w:val="center"/>
        <w:rPr>
          <w:rFonts w:hAnsi="宋体" w:eastAsia="仿宋_GB2312" w:cs="宋体"/>
          <w:kern w:val="0"/>
          <w:sz w:val="30"/>
          <w:szCs w:val="30"/>
        </w:rPr>
      </w:pPr>
    </w:p>
    <w:p w14:paraId="0B9547AC">
      <w:pPr>
        <w:spacing w:line="540" w:lineRule="exact"/>
        <w:jc w:val="center"/>
        <w:rPr>
          <w:rFonts w:hAnsi="宋体" w:eastAsia="仿宋_GB2312" w:cs="宋体"/>
          <w:kern w:val="0"/>
          <w:sz w:val="30"/>
          <w:szCs w:val="30"/>
        </w:rPr>
      </w:pPr>
    </w:p>
    <w:p w14:paraId="0B103319">
      <w:pPr>
        <w:spacing w:line="540" w:lineRule="exact"/>
        <w:jc w:val="center"/>
        <w:rPr>
          <w:rFonts w:hAnsi="宋体" w:eastAsia="仿宋_GB2312" w:cs="宋体"/>
          <w:kern w:val="0"/>
          <w:sz w:val="30"/>
          <w:szCs w:val="30"/>
        </w:rPr>
      </w:pPr>
    </w:p>
    <w:p w14:paraId="3FC512AE">
      <w:pPr>
        <w:spacing w:line="540" w:lineRule="exact"/>
        <w:jc w:val="center"/>
        <w:rPr>
          <w:rFonts w:hAnsi="宋体" w:eastAsia="仿宋_GB2312" w:cs="宋体"/>
          <w:kern w:val="0"/>
          <w:sz w:val="30"/>
          <w:szCs w:val="30"/>
        </w:rPr>
      </w:pPr>
    </w:p>
    <w:p w14:paraId="3D19ADB0">
      <w:pPr>
        <w:spacing w:line="540" w:lineRule="exact"/>
        <w:rPr>
          <w:rFonts w:hAnsi="宋体" w:eastAsia="仿宋_GB2312" w:cs="宋体"/>
          <w:kern w:val="0"/>
          <w:sz w:val="30"/>
          <w:szCs w:val="30"/>
        </w:rPr>
      </w:pPr>
    </w:p>
    <w:p w14:paraId="3027184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4B2114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呼图壁县第一中学新校区绿化（二期）</w:t>
      </w:r>
    </w:p>
    <w:p w14:paraId="43C6661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呼图壁县第一中学</w:t>
      </w:r>
    </w:p>
    <w:p w14:paraId="3C81684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呼图壁县第一中学</w:t>
      </w:r>
    </w:p>
    <w:p w14:paraId="56F9C31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张世新</w:t>
      </w:r>
    </w:p>
    <w:p w14:paraId="1F4E220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2025年03月11日</w:t>
      </w:r>
    </w:p>
    <w:p w14:paraId="4EA11D5B">
      <w:pPr>
        <w:spacing w:line="700" w:lineRule="exact"/>
        <w:ind w:firstLine="708" w:firstLineChars="236"/>
        <w:jc w:val="left"/>
        <w:rPr>
          <w:rFonts w:hAnsi="宋体" w:eastAsia="仿宋_GB2312" w:cs="宋体"/>
          <w:kern w:val="0"/>
          <w:sz w:val="30"/>
          <w:szCs w:val="30"/>
        </w:rPr>
      </w:pPr>
    </w:p>
    <w:p w14:paraId="00697C22">
      <w:pPr>
        <w:spacing w:line="540" w:lineRule="exact"/>
        <w:rPr>
          <w:rStyle w:val="18"/>
          <w:rFonts w:ascii="黑体" w:hAnsi="黑体" w:eastAsia="黑体"/>
          <w:b w:val="0"/>
          <w:spacing w:val="-4"/>
          <w:sz w:val="32"/>
          <w:szCs w:val="32"/>
        </w:rPr>
      </w:pPr>
    </w:p>
    <w:p w14:paraId="3C666BC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D479DD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A7D44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按照县委、</w:t>
      </w:r>
      <w:r>
        <w:rPr>
          <w:rStyle w:val="18"/>
          <w:rFonts w:hint="eastAsia" w:ascii="楷体" w:hAnsi="楷体" w:eastAsia="楷体"/>
          <w:b w:val="0"/>
          <w:bCs w:val="0"/>
          <w:spacing w:val="-4"/>
          <w:sz w:val="32"/>
          <w:szCs w:val="32"/>
          <w:lang w:val="en-US" w:eastAsia="zh-CN"/>
        </w:rPr>
        <w:t>县</w:t>
      </w:r>
      <w:r>
        <w:rPr>
          <w:rStyle w:val="18"/>
          <w:rFonts w:hint="eastAsia" w:ascii="楷体" w:hAnsi="楷体" w:eastAsia="楷体"/>
          <w:b w:val="0"/>
          <w:bCs w:val="0"/>
          <w:spacing w:val="-4"/>
          <w:sz w:val="32"/>
          <w:szCs w:val="32"/>
        </w:rPr>
        <w:t>政府及教育局党组统一安排，县一中整体搬迁至新校区，为使新校区有一个良好的育人环境，根据县委、</w:t>
      </w:r>
      <w:r>
        <w:rPr>
          <w:rStyle w:val="18"/>
          <w:rFonts w:hint="eastAsia" w:ascii="楷体" w:hAnsi="楷体" w:eastAsia="楷体"/>
          <w:b w:val="0"/>
          <w:bCs w:val="0"/>
          <w:spacing w:val="-4"/>
          <w:sz w:val="32"/>
          <w:szCs w:val="32"/>
          <w:lang w:val="en-US" w:eastAsia="zh-CN"/>
        </w:rPr>
        <w:t>县</w:t>
      </w:r>
      <w:r>
        <w:rPr>
          <w:rStyle w:val="18"/>
          <w:rFonts w:hint="eastAsia" w:ascii="楷体" w:hAnsi="楷体" w:eastAsia="楷体"/>
          <w:b w:val="0"/>
          <w:bCs w:val="0"/>
          <w:spacing w:val="-4"/>
          <w:sz w:val="32"/>
          <w:szCs w:val="32"/>
        </w:rPr>
        <w:t>政府及教育局相关会议精神，按照2022年秋季新校区绿化设计，先行将乔木栽植完毕，2024年春季栽植灌木及花卉，有序推进新校区绿化工作。为贯彻落实国家生态文明建设战略及新疆维吾尔自治区“生态立县”发展要求，呼图壁县持续推进绿</w:t>
      </w:r>
      <w:bookmarkStart w:id="0" w:name="_GoBack"/>
      <w:bookmarkEnd w:id="0"/>
      <w:r>
        <w:rPr>
          <w:rStyle w:val="18"/>
          <w:rFonts w:hint="eastAsia" w:ascii="楷体" w:hAnsi="楷体" w:eastAsia="楷体"/>
          <w:b w:val="0"/>
          <w:bCs w:val="0"/>
          <w:spacing w:val="-4"/>
          <w:sz w:val="32"/>
          <w:szCs w:val="32"/>
        </w:rPr>
        <w:t>色校园建设，着力提升教育环境品质。呼图壁县第一中学新校区作为全县教育现代化重点工程，一期建设已建成教学楼、运动场等主体设施并完成基础绿化，但现有绿化覆盖率、生态功能与校园文化融合度仍有提升空间，当前，新校区一期绿化面积占比仅为25%，低于《绿色校园评价标准》中30%的基础指标，且存在功能单一、景观层次不足等问题。现有植被以单一乔木为主，缺乏休憩空间、雨水花园等生态设施，未能充分满足师生教学、活动及生态教育需求。随着学校招生规模扩大，师生对校园环境品质、生态服务功能提出更高要求。二期项目紧密围绕“生态育人”理念，规划新增绿化面积。通过引入乡土植物群落、建设海绵校园设施、植入文化景观节点，实现绿化覆盖率提升至35%，形成“四季有景、功能复合”的生态校园体系。项目建成后将显著改善校园微气候，同步构建劳动教育实践基地和生物教学观察点，助力“双减”政策下的素质教育发展，推动全县教育设施与生态建设协同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（1）项目名称：呼图壁县第一中学校园绿化（二期）（以下简称“该项目”或“项目”）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为确保项目的顺利实施，学校积极对接新疆农业大学农林学院，按照“四季有绿、三季有花、桃李芬芳”的总体原则对新校区近五万平米绿化景观进行了全盘规划设计，计划今年秋季栽种乔木803棵。委托招标代理机构呼图壁县锦华建业工程项目管理有限公司进行招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实施主体：呼图壁县第一中学。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4月种植了20棵胡杨、5棵小叶白蜡、441棵大叶白蜡、160棵复叶槭等多种树木，共计783颗，2024年10月对其失活的树木进行了补植，2024年11月，补植活动结束后，确保树木全部存活后我们安排了资金支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一中学主要职能是，实施高中学历教育，促进基础教育发展，高中学历教育（相关社会服务）。在教育教学工作中贯彻落实上级关于教育工作的法律、法规，把教学工作放在首位，一切经费为教学服务，保障完成年度教育教学计划，推进教育均衡发展和促进教育公平。全面实施素质教育，提高师生整体素质，推动学校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呼图壁县第一中学单位机构设置：无下属预算单位，内设10个科室，分别是：办公室，德育处，教务处，工会，综合科，财务科和高一年级部，高二年级部，高三年级部。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本项目预算安排总额为175.71万元，资金来源为财政拨款，其中：财政资金175.71万元，其他资金0万元，2024年实际收到预算资金175.71万元，预算资金到位率为100%。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截至2024年12月31日，本项目实际支付资金175.71万元，预算执行率100%。本项目资金主要用于支付购买树苗费用70万元、养护费用105.71万元。</w:t>
      </w:r>
    </w:p>
    <w:p w14:paraId="5E80AE9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35DF63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一中学新校区绿化（二期）项目以打造生态化、可持续的校园环境为核心目标，通过科学规划与精准实施，高质量完成783棵树木的种植任务，实现树木成活率100%，全面优化校园生态景观布局。项目旨在构建绿色低碳的校园生态系统，提升师生学习生活品质，强化环境育人功能，通过乔木、灌木的合理搭配形成多层次绿化格局，既改善区域微气候、降低噪音污染，又为师生提供亲近自然的休憩空间，同时以高标准养护管理体系确保树木长效生长，树立校园绿化示范标杆，助力生态文明理念融入教育教学全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“树木种植数量”指标，预期指标值为“&gt;=803棵”；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“种植树木成活率”指标，预期指标值为“&gt;=100%”；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“树木种植及时率”指标，预期指标值为“&gt;=100%”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“购买树苗费用”指标，预期指标值为“≤70万元”；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“后期养护费”指标，预期指标值为“≤105.71万元”；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“种植树木环保水平”指标，预期指标值为“环保”；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“教职工满意度”指标，预期指标值为“&gt;=95%”。</w:t>
      </w:r>
    </w:p>
    <w:p w14:paraId="12C00B5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1A628C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9067A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此次我单位根据《财政支出绩效评价管理暂行办法》（财预〔2020〕10号）文件要求实施评价工作，本次评价对象为呼图壁县第一中学校园绿化（二期）项目，评价核心为项目资金、项目产出、项目效益。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(5)《绿色校园建设评价标准》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(6)《关于全面加强新时代大中小学劳动教育的意见》</w:t>
      </w:r>
    </w:p>
    <w:p w14:paraId="02F1947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C48C77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p>
    <w:p w14:paraId="5272471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D2A84C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张世新（评价小组组长）：主要负责项目策划和监督，全面负责项目绩效评价办稿的最终质量，对评估人员出具的最终报告质量进行复核，确保评估结果的客观性；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杨春年（评价小组组员）：主要负责资料的收集，取证、数据统计分析；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马克（评价小组组员）：主要负责项目报告的制定，指标的研判，数据分析及报告撰写。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学生、教职工及家长。我们根据绩效评价目标和绩效指标体系，设计满意度调查问卷进行问卷调查，其中学生受益对象共选取样本980人，共发放问卷980份，最终收回975份；教职工受益对象共选取样本240人，共发放问卷240份，最终收回240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0E2AF9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69C0DE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783棵树木的种植任务，对其失活的树木进行了补植，实现树木成活率100%，全面优化校园生态景观布局。同时以高标准养护管理体系确保树木长效生长，树立校园绿化示范标杆，改善了区域微气候、降低了噪音污染。但在实施过程中也存在一些不足：树木失活率高，补植不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w:t>
      </w:r>
      <w:r>
        <w:rPr>
          <w:rStyle w:val="18"/>
          <w:rFonts w:hint="eastAsia" w:ascii="楷体" w:hAnsi="楷体" w:eastAsia="楷体"/>
          <w:b w:val="0"/>
          <w:bCs w:val="0"/>
          <w:spacing w:val="-4"/>
          <w:sz w:val="32"/>
          <w:szCs w:val="32"/>
          <w:lang w:val="en-US" w:eastAsia="zh-CN"/>
        </w:rPr>
        <w:t>100.00</w:t>
      </w:r>
      <w:r>
        <w:rPr>
          <w:rStyle w:val="18"/>
          <w:rFonts w:hint="eastAsia" w:ascii="楷体" w:hAnsi="楷体" w:eastAsia="楷体"/>
          <w:b w:val="0"/>
          <w:bCs w:val="0"/>
          <w:spacing w:val="-4"/>
          <w:sz w:val="32"/>
          <w:szCs w:val="32"/>
        </w:rPr>
        <w:t>%。最终评分结果：总分为99.</w:t>
      </w:r>
      <w:r>
        <w:rPr>
          <w:rStyle w:val="18"/>
          <w:rFonts w:hint="eastAsia" w:ascii="楷体" w:hAnsi="楷体" w:eastAsia="楷体"/>
          <w:b w:val="0"/>
          <w:bCs w:val="0"/>
          <w:spacing w:val="-4"/>
          <w:sz w:val="32"/>
          <w:szCs w:val="32"/>
          <w:lang w:val="en-US" w:eastAsia="zh-CN"/>
        </w:rPr>
        <w:t>07</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项目产出类指标共设置3个，满分指标2个，得分率97.5%；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35A9F77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3CA21B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ABA55A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新疆维吾尔自治区义务教育学校标准化建设标准》（新教基〔2018〕12号）中：“要求绿化工程与教学功能融合度、环境育人成效等特色指标；”；本项目立项符合《全国中小学校园绿化建设标准》中：“明确校园绿化覆盖率、植物配置科学性、生态功能等核心指标”内容，符合行业发展规划和政策要求；本项目立项符合《呼图壁县第一中学单位配置内设机构和人员编制规定》中职责范围中的“在教育教学工作中贯彻落实上级关于教育工作的法律、法规，把教学工作放在首位”，属于我单位履职所需；根据《财政资金直接支付申请书》，本项目资金性质为“公共财政预算”功能分类为“公共教育”经济分类为“维护维修”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通过科学规划完成783棵树木的高质量种植并确保100%成活率，全面优化校园生态景观布局。项目致力于打造绿色低碳校园生态，提升师生学习生活品质，强化环境育人功能，通过多层次绿化格局改善微气候、降低噪音，提供自然休憩空间，”；本项目实际工作内容为：“2024年4月种植了20棵胡杨、5棵小叶白蜡、441棵大叶白蜡、160棵复叶槭等多种树木，共计783颗，2024年10月对其失活的树木进行了补植。”；绩效目标与实际工作内容一致，两者具有相关性;本项目预算申请资金175.71万元，预算确定资金量与实际工作任务相匹配。本项目按照绩效目标完成了数量指标、质量指标、时效指标、成本指标，改善了区域微气候、降低了噪音污染，又为师生提供了亲近自然的休憩空间。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87.50%，量化率达70%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本项目预算编制通过公开招标得出，即预算编制较科学且经过论证；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为在呼图壁县第一中学校园内种植树木，提高绿化面积，改善空气质量，为学校师生提供一个休息空间，特申请175.71万元用于树木的种植，项目实际内容为2024年4月种植了20棵胡杨、5棵小叶白蜡、441棵大叶白蜡、160棵复叶槭等多种树木，共计783颗，2024年10月对其失活的树木进行了补植。预算申请与《呼图壁县第一中学新校区绿化（二期）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175.71万元，我单位在预算申请中严格按照分项成本进行核算，其中：购买树苗费用70万元、养护费用105.71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呼图壁县第一中学新校区绿化（二期）资金的请示》和《呼图壁县第一中学新校区绿化（二期）项目实施方案》为依据进行资金分配，预算资金分配依据充分。根据《关于拨付2024年呼图壁县第一中学新校区绿化经费批复》文件显示，本项目实际到位资金175.71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D8C76D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CC9572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175.71万元，其中：本级财政安排资金175.71万元，其他资金0万元，实际到位资金175.71万元，资金到位率=（实际到位资金/预算资金）×100.00%=（175.71/175.71）*100.00%=100.00%。得分=资金到位率*分值=100.00%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本项目实际支出资金175.71万元，预算执行率=（实际支出资金/实际到位资金）×100.00%=（175.71/175.71）*100.00%=100.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0%。得分=预算执行率*分值=100.00%*5=5分。。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财政局单位资金管理办法》《呼图壁县财政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第一中学资金管理办法》《呼图壁县第一中学收支业务管理制度》《呼图壁县第一中学政府采购业务管理制度》《呼图壁县第一中学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等资料齐全并及时进行了归档。项目资金支出严格按照自治区、地区、市以及本单位资金管理办法执行，项目启动实施后，为了加快本项目的实施，成立了呼图壁县第一中学新校区绿化（二期）项目工作领导小组，由党组书记陈哲任组长，负责项目的组织工作；叶玉燕任副组长，负责项目的实施工作；组员包括：张世新和臧双辉、杨春年，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66826B5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95DCBF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项目数量类指标由3个二级指标和3个三级指标构成，权重分20.0分，实际得分19.75分。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“树木种植数量”指标：预期指标值为“&gt;=803棵”，实际完成指标值为“=783棵”，指标完成率为97.51%。偏差率为2.49%，偏差原因主要为：为绿化效果，变更种植树苗种类与数量。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综上所述，本指标满分为4分，根据评分标准得3.75分。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“种植树木成活率”指标：预期指标值为“&gt;=100%”，实际完成指标值为“=100%”，指标完成率为100%。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“树木种植及时率”指标：预期指标值为“&gt;=100%”，实际完成指标值为“=100%”，指标完成率为100%。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“购买树苗费用”指标：预期指标值为“&lt;=70万元”，实际完成指标值为“=70万元”，指标完成率为100%。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“后期养护费”指标：预期指标值为“&lt;=105.71万元”，实际完成指标值为“=105.71万元”，指标完成率为100%。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2E4B1F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352602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“种植树木环保水平”指标：预期指标值为“环保”，实际完成指标值为“达到预期指标”，指标完成率为100%。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p>
    <w:p w14:paraId="4810E5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“学生满意度”指标：预期指标值为“&gt;=95%”，实际完成指标值为“=96.77%”，指标完成率为100%。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“教职工满意度”指标：预期指标值为“&gt;=95%”，实际完成指标值为“=96.77%”，指标完成率为100%。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p>
    <w:p w14:paraId="1AFBB34D">
      <w:pPr>
        <w:spacing w:line="540" w:lineRule="exact"/>
        <w:ind w:firstLine="567"/>
        <w:rPr>
          <w:rStyle w:val="18"/>
          <w:rFonts w:hint="eastAsia" w:ascii="楷体" w:hAnsi="楷体" w:eastAsia="楷体"/>
          <w:b w:val="0"/>
          <w:bCs w:val="0"/>
          <w:spacing w:val="-4"/>
          <w:sz w:val="32"/>
          <w:szCs w:val="32"/>
        </w:rPr>
      </w:pPr>
    </w:p>
    <w:p w14:paraId="67463F84">
      <w:pPr>
        <w:spacing w:line="540" w:lineRule="exact"/>
        <w:ind w:firstLine="567"/>
        <w:rPr>
          <w:rStyle w:val="18"/>
          <w:rFonts w:ascii="楷体" w:hAnsi="楷体" w:eastAsia="楷体"/>
          <w:spacing w:val="-4"/>
          <w:sz w:val="32"/>
          <w:szCs w:val="32"/>
        </w:rPr>
      </w:pPr>
    </w:p>
    <w:p w14:paraId="70566BA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ABC28D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项目组织经验：在项目组织方面，呼图壁县第一中学构建了高效的多部门协同机制，统筹教育、环保、财政等相关部门形成联动合力。通过成立专项工作领导小组，明确职责分工与节点任务，建立定期会商与问题协调机制，确保跨领域资源整合与信息共享。同时，注重引入专业团队参与规划与实施，保障项目推进的系统性与专业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经验：项目管理层面，学校创新采用全过程管理模式，从规划设计到施工落地再到养护管理，形成闭环管理体系。通过科学制定技术标准与施工规范，严把苗木选种、土壤改良、种植工艺等关键环节质量关，并依托智能化监测手段实时跟踪树木生长状态。注重风险预判与动态调整，建立应急预案应对极端天气及病虫害等潜在问题，确保工程进度与质量双达标。此外，强化成果转化意识，将绿化工程与课程开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经验：资金管理方面，学校严格执行专款专用原则，建立分级审批与动态监管制度，确保资金流向透明可控。通过细化预算科目、规范支付流程，实现成本精准核算与支出合规性管理。创新采用“绩效挂钩”机制，将资金拨付与阶段性成果验收直接关联，倒逼实施效率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1.后期管护不足：部分区域草坪退化、树木枯死，因缺乏专业绿化人员和专项维护资金。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2.植物多样性有限：过度依赖少数树种，抗病虫害能力弱，因前期规划对生态多样性考虑不足。季节性景观单调：秋冬绿化效果差，因未合理配置常绿与季相植物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4.种植树木数量没有完成：主要原因是计划种植803棵，实际种植783棵，为绿化效果，变更种植树苗种类与数量。</w:t>
      </w:r>
    </w:p>
    <w:p w14:paraId="755EB4C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E26A57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1.健全管护机制：设立绿化专项经费，聘请专业人员或外包养护，定期修剪、补植。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2.优化植物配置：增加常绿树种（如云杉）和观花植物，延长景观周期。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3.做好前期规划，引入第三方提前对校园环境绿化面积进行设计，做好临时性变动发生的应急方案。</w:t>
      </w:r>
    </w:p>
    <w:p w14:paraId="70A6BED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484494B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6A80DD6">
      <w:pPr>
        <w:spacing w:line="540" w:lineRule="exact"/>
        <w:ind w:firstLine="567"/>
        <w:rPr>
          <w:rStyle w:val="18"/>
          <w:rFonts w:ascii="仿宋" w:hAnsi="仿宋" w:eastAsia="仿宋"/>
          <w:b w:val="0"/>
          <w:spacing w:val="-4"/>
          <w:sz w:val="32"/>
          <w:szCs w:val="32"/>
        </w:rPr>
      </w:pPr>
    </w:p>
    <w:p w14:paraId="0462E9AC">
      <w:pPr>
        <w:spacing w:line="540" w:lineRule="exact"/>
        <w:ind w:firstLine="567"/>
        <w:rPr>
          <w:rStyle w:val="18"/>
          <w:rFonts w:ascii="仿宋" w:hAnsi="仿宋" w:eastAsia="仿宋"/>
          <w:b w:val="0"/>
          <w:spacing w:val="-4"/>
          <w:sz w:val="32"/>
          <w:szCs w:val="32"/>
        </w:rPr>
      </w:pPr>
    </w:p>
    <w:p w14:paraId="02F1DEAE">
      <w:pPr>
        <w:spacing w:line="540" w:lineRule="exact"/>
        <w:ind w:firstLine="567"/>
        <w:rPr>
          <w:rStyle w:val="18"/>
          <w:rFonts w:ascii="仿宋" w:hAnsi="仿宋" w:eastAsia="仿宋"/>
          <w:b w:val="0"/>
          <w:spacing w:val="-4"/>
          <w:sz w:val="32"/>
          <w:szCs w:val="32"/>
        </w:rPr>
      </w:pPr>
    </w:p>
    <w:p w14:paraId="62F76045">
      <w:pPr>
        <w:spacing w:line="540" w:lineRule="exact"/>
        <w:ind w:firstLine="567"/>
        <w:rPr>
          <w:rStyle w:val="18"/>
          <w:rFonts w:ascii="仿宋" w:hAnsi="仿宋" w:eastAsia="仿宋"/>
          <w:b w:val="0"/>
          <w:spacing w:val="-4"/>
          <w:sz w:val="32"/>
          <w:szCs w:val="32"/>
        </w:rPr>
      </w:pPr>
    </w:p>
    <w:p w14:paraId="3A0CFC8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9B67DD5">
        <w:pPr>
          <w:pStyle w:val="12"/>
          <w:jc w:val="center"/>
        </w:pPr>
        <w:r>
          <w:fldChar w:fldCharType="begin"/>
        </w:r>
        <w:r>
          <w:instrText xml:space="preserve">PAGE   \* MERGEFORMAT</w:instrText>
        </w:r>
        <w:r>
          <w:fldChar w:fldCharType="separate"/>
        </w:r>
        <w:r>
          <w:rPr>
            <w:lang w:val="zh-CN"/>
          </w:rPr>
          <w:t>2</w:t>
        </w:r>
        <w:r>
          <w:fldChar w:fldCharType="end"/>
        </w:r>
      </w:p>
    </w:sdtContent>
  </w:sdt>
  <w:p w14:paraId="06F253B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4881C83"/>
    <w:rsid w:val="751642C7"/>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9937</Words>
  <Characters>10621</Characters>
  <Lines>4</Lines>
  <Paragraphs>1</Paragraphs>
  <TotalTime>9</TotalTime>
  <ScaleCrop>false</ScaleCrop>
  <LinksUpToDate>false</LinksUpToDate>
  <CharactersWithSpaces>10637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2025-09-22T08:37:12Z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