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E91546">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1DAEFACF">
      <w:pPr>
        <w:spacing w:line="540" w:lineRule="exact"/>
        <w:jc w:val="center"/>
        <w:rPr>
          <w:rFonts w:ascii="华文中宋" w:hAnsi="华文中宋" w:eastAsia="华文中宋" w:cs="宋体"/>
          <w:b/>
          <w:kern w:val="0"/>
          <w:sz w:val="52"/>
          <w:szCs w:val="52"/>
        </w:rPr>
      </w:pPr>
    </w:p>
    <w:p w14:paraId="757F1251">
      <w:pPr>
        <w:spacing w:line="540" w:lineRule="exact"/>
        <w:jc w:val="center"/>
        <w:rPr>
          <w:rFonts w:ascii="华文中宋" w:hAnsi="华文中宋" w:eastAsia="华文中宋" w:cs="宋体"/>
          <w:b/>
          <w:kern w:val="0"/>
          <w:sz w:val="52"/>
          <w:szCs w:val="52"/>
        </w:rPr>
      </w:pPr>
    </w:p>
    <w:p w14:paraId="736CD439">
      <w:pPr>
        <w:spacing w:line="540" w:lineRule="exact"/>
        <w:jc w:val="center"/>
        <w:rPr>
          <w:rFonts w:ascii="华文中宋" w:hAnsi="华文中宋" w:eastAsia="华文中宋" w:cs="宋体"/>
          <w:b/>
          <w:kern w:val="0"/>
          <w:sz w:val="52"/>
          <w:szCs w:val="52"/>
        </w:rPr>
      </w:pPr>
    </w:p>
    <w:p w14:paraId="45AC1922">
      <w:pPr>
        <w:spacing w:line="540" w:lineRule="exact"/>
        <w:jc w:val="center"/>
        <w:rPr>
          <w:rFonts w:ascii="华文中宋" w:hAnsi="华文中宋" w:eastAsia="华文中宋" w:cs="宋体"/>
          <w:b/>
          <w:kern w:val="0"/>
          <w:sz w:val="52"/>
          <w:szCs w:val="52"/>
        </w:rPr>
      </w:pPr>
    </w:p>
    <w:p w14:paraId="2EFB8462">
      <w:pPr>
        <w:spacing w:line="540" w:lineRule="exact"/>
        <w:jc w:val="center"/>
        <w:rPr>
          <w:rFonts w:ascii="华文中宋" w:hAnsi="华文中宋" w:eastAsia="华文中宋" w:cs="宋体"/>
          <w:b/>
          <w:kern w:val="0"/>
          <w:sz w:val="52"/>
          <w:szCs w:val="52"/>
        </w:rPr>
      </w:pPr>
    </w:p>
    <w:p w14:paraId="391B7A85">
      <w:pPr>
        <w:spacing w:line="540" w:lineRule="exact"/>
        <w:jc w:val="center"/>
        <w:rPr>
          <w:rFonts w:ascii="华文中宋" w:hAnsi="华文中宋" w:eastAsia="华文中宋" w:cs="宋体"/>
          <w:b/>
          <w:kern w:val="0"/>
          <w:sz w:val="52"/>
          <w:szCs w:val="52"/>
        </w:rPr>
      </w:pPr>
    </w:p>
    <w:p w14:paraId="26C65957">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170C6468">
      <w:pPr>
        <w:spacing w:line="540" w:lineRule="exact"/>
        <w:jc w:val="center"/>
        <w:rPr>
          <w:rFonts w:ascii="华文中宋" w:hAnsi="华文中宋" w:eastAsia="华文中宋" w:cs="宋体"/>
          <w:b/>
          <w:kern w:val="0"/>
          <w:sz w:val="52"/>
          <w:szCs w:val="52"/>
        </w:rPr>
      </w:pPr>
    </w:p>
    <w:p w14:paraId="46CDE419">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1A3A5E0A">
      <w:pPr>
        <w:spacing w:line="540" w:lineRule="exact"/>
        <w:jc w:val="center"/>
        <w:rPr>
          <w:rFonts w:hAnsi="宋体" w:eastAsia="仿宋_GB2312" w:cs="宋体"/>
          <w:kern w:val="0"/>
          <w:sz w:val="30"/>
          <w:szCs w:val="30"/>
        </w:rPr>
      </w:pPr>
    </w:p>
    <w:p w14:paraId="20A00AF3">
      <w:pPr>
        <w:spacing w:line="540" w:lineRule="exact"/>
        <w:jc w:val="center"/>
        <w:rPr>
          <w:rFonts w:hAnsi="宋体" w:eastAsia="仿宋_GB2312" w:cs="宋体"/>
          <w:kern w:val="0"/>
          <w:sz w:val="30"/>
          <w:szCs w:val="30"/>
        </w:rPr>
      </w:pPr>
    </w:p>
    <w:p w14:paraId="591A7E5D">
      <w:pPr>
        <w:spacing w:line="540" w:lineRule="exact"/>
        <w:jc w:val="center"/>
        <w:rPr>
          <w:rFonts w:hAnsi="宋体" w:eastAsia="仿宋_GB2312" w:cs="宋体"/>
          <w:kern w:val="0"/>
          <w:sz w:val="30"/>
          <w:szCs w:val="30"/>
        </w:rPr>
      </w:pPr>
    </w:p>
    <w:p w14:paraId="3A37EAB7">
      <w:pPr>
        <w:spacing w:line="540" w:lineRule="exact"/>
        <w:jc w:val="center"/>
        <w:rPr>
          <w:rFonts w:hAnsi="宋体" w:eastAsia="仿宋_GB2312" w:cs="宋体"/>
          <w:kern w:val="0"/>
          <w:sz w:val="30"/>
          <w:szCs w:val="30"/>
        </w:rPr>
      </w:pPr>
    </w:p>
    <w:p w14:paraId="7539B0F4">
      <w:pPr>
        <w:spacing w:line="540" w:lineRule="exact"/>
        <w:jc w:val="center"/>
        <w:rPr>
          <w:rFonts w:hAnsi="宋体" w:eastAsia="仿宋_GB2312" w:cs="宋体"/>
          <w:kern w:val="0"/>
          <w:sz w:val="30"/>
          <w:szCs w:val="30"/>
        </w:rPr>
      </w:pPr>
    </w:p>
    <w:p w14:paraId="76E4782A">
      <w:pPr>
        <w:spacing w:line="540" w:lineRule="exact"/>
        <w:jc w:val="center"/>
        <w:rPr>
          <w:rFonts w:hAnsi="宋体" w:eastAsia="仿宋_GB2312" w:cs="宋体"/>
          <w:kern w:val="0"/>
          <w:sz w:val="30"/>
          <w:szCs w:val="30"/>
        </w:rPr>
      </w:pPr>
    </w:p>
    <w:p w14:paraId="6F7826C8">
      <w:pPr>
        <w:spacing w:line="540" w:lineRule="exact"/>
        <w:rPr>
          <w:rFonts w:hAnsi="宋体" w:eastAsia="仿宋_GB2312" w:cs="宋体"/>
          <w:kern w:val="0"/>
          <w:sz w:val="30"/>
          <w:szCs w:val="30"/>
        </w:rPr>
      </w:pPr>
    </w:p>
    <w:p w14:paraId="52115AEA">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1FF578CA">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呼图壁县第一幼儿园自聘教师工资补助项目</w:t>
      </w:r>
    </w:p>
    <w:p w14:paraId="79873E86">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呼图壁县第一幼儿园</w:t>
      </w:r>
    </w:p>
    <w:p w14:paraId="2436A50B">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呼图壁县第一幼儿园</w:t>
      </w:r>
    </w:p>
    <w:p w14:paraId="5A52A133">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杜蓓蓓</w:t>
      </w:r>
    </w:p>
    <w:p w14:paraId="76704A5F">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2025年05月23日</w:t>
      </w:r>
    </w:p>
    <w:p w14:paraId="2031C566">
      <w:pPr>
        <w:spacing w:line="700" w:lineRule="exact"/>
        <w:ind w:firstLine="708" w:firstLineChars="236"/>
        <w:jc w:val="left"/>
        <w:rPr>
          <w:rFonts w:hAnsi="宋体" w:eastAsia="仿宋_GB2312" w:cs="宋体"/>
          <w:kern w:val="0"/>
          <w:sz w:val="30"/>
          <w:szCs w:val="30"/>
        </w:rPr>
      </w:pPr>
    </w:p>
    <w:p w14:paraId="3F97576D">
      <w:pPr>
        <w:spacing w:line="540" w:lineRule="exact"/>
        <w:rPr>
          <w:rStyle w:val="18"/>
          <w:rFonts w:ascii="黑体" w:hAnsi="黑体" w:eastAsia="黑体"/>
          <w:b w:val="0"/>
          <w:spacing w:val="-4"/>
          <w:sz w:val="32"/>
          <w:szCs w:val="32"/>
        </w:rPr>
      </w:pPr>
    </w:p>
    <w:p w14:paraId="49DE98CD">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17EA6DC2">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6723A03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第一幼儿园2024年自治区教育项目经费（自聘教师工资补助）项目是基于《新疆维吾尔自治区学前教育深化改革规范发展的实施意见》等文件要求，针对当前幼儿园在编教师缺口达30%以上、自聘教师工资保障不足的问题而设立的。该项目的实施必要性体现在：一方面能稳定自聘教师队伍，缓解师资短缺对教育教学质量的直接影响；另一方面通过财政专项补助覆盖工资的60%，可减轻幼儿园运营压力，确保教师待遇与在编人员逐步趋同。项目实施后预期实现三个目标：一是将自聘教师流动率降低至10%以内，二是保障100%在岗教师按月足额领取薪酬，三是通过师资稳定性提升使幼儿保教活动达标率提高至95%以上，从而整体提升边疆地区学前教育公共服务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（1）项目名称：2024年自治区教育项目经费（自聘教师工资补助）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本项目旨在通过专项经费支持为教师提供基本工资及岗位津贴补助，并缴纳教师养老保险、医疗保险、失业保险等社会保险。本项目实施范围是覆盖自治区内所有地州市，重点向乡村振兴重点帮扶县、边境县、高海拔地区及教育基础薄弱县倾斜，公办中小学、幼儿园、特殊教育学校及职业教育学校中因编制不足需长期聘用教师的单位。本项目的主要内容是根据学校实际缺编人数、地区艰苦程度、学科紧缺系数核定补助额度，本单位给教育系统提供自聘教师名册、劳动合同、社保缴纳记录及教学任务证明。管理措施为信息化监管平台，建立自聘教师数据库，实时监控资金发放与教师在岗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（3）实施主体：呼图壁县第一幼儿园。</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2024年自治区教育项目经费（自聘教师工资补助）项目按照"季度推进、动态管理"的工作机制有序实施。截至12月30日，已完成本年阶段性任务：资金到位及时，项目成效显著，教师月工资4091元，教师队伍稳定性同比提升。通过建立监管平台，实现补助资金全流程透明化管理，为后续工作开展奠定数据基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学龄前儿童提供教育幼儿园保育及幼儿教育，实行保育与教育相结合的原则，对幼儿实施德、智、体、美方面全面发展的教育，管理幼儿生活活动，保护幼儿在幼儿园的安全。在园长的领导下，协助园长完成幼儿园各项工作。做好家长沟通交流工作。抓好保健工作，做好计划免疫和疾病的防治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呼图壁县第一幼儿园隶属于呼图壁县教育局管理。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2024年自治区教育项目经费（自聘教师工资补助）项目的实施主体为呼图壁县第一幼儿园，该单位纳入2024年部门决算编制范围的有5个科室，分别是：书记办公室，园长办公室，财务室，总务办公室，保健室。</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编制人数为30人，其中：行政人员编制0人、工勤0人、参公0人、事业编制30人。实有在职人数29人，其中：行政在职0人、工勤0人、参公0人、事业在职29人。离退休人员43人，其中：行政退休人员0人、事业退休1人。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本项目预算安排总额为43.18万元，资金来源为上级补助资金，其中：财政资金43.18万元，其他资金0万元，2024年实际收到预算资金43.18万元，预算资金到位率为100%。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截至2024年12月31日，本项目实际支付资金43.18万元，预算执行率100%。本项目资金主要用于支付自聘教师工资费用29.46万元、自聘教师社保、公积金费用13.72万元。</w:t>
      </w:r>
    </w:p>
    <w:p w14:paraId="08D508FA">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46CAA91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拟投入43.18万元，主要用于支付自聘教师的工资和社保、公积金费用，发放6名自聘教师12个月的工资、社保、公积金，自聘教师在年底考核中合格率为100%，通过项目的实施，提高教师的积极性，保障教师的福利利益，为幼儿园的正常运转奠定更加坚定的基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“受益教职工人数”指标，预期指标值为“＝12人”；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“自聘教师合格率”指标，预期指标值为“&gt;=90%”；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“补助资金覆盖率”指标，预期指标值为“=100%”；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“补助发放及时率”指标，预期指标值为“&gt;＝95%”；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“自聘教师补助标准”指标，预期指标值为“&lt;=5642.75元/人”；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“提高教师教学积极性”指标，预期指标值为“有效提升”；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“教师满意度”指标，预期指标值为“&gt;=95%”。</w:t>
      </w:r>
    </w:p>
    <w:p w14:paraId="2DC4014A">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232B2A6B">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7DF3446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此次我单位根据《财政支出绩效评价管理暂行办法》（财预〔2020〕10号）文件要求实施评价工作，本次评价对象为2024年自治区教育项目经费（自聘教师工资补助），评价核心为项目资金、项目产出、项目效益。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(5)《新疆维吾尔自治区教育专项资金管理办法》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《自治区关于进一步规范学前教育自聘教师管理的通知》</w:t>
      </w:r>
    </w:p>
    <w:p w14:paraId="1DC2F416">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2BE03FA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正确的评价方法是评价工作顺利开展的保障，在结合实际经验的情况下，绩效评价小组根据该项目资金的性质和特点，选用定量分析法、定性分析法、比较分析法、成本效益分析法、目标管理法、问卷调查法对项目进行评价，旨在通过综合分析影响绩效目标实现、实施效果的内外部因素，从而评价本项目绩效。三级指标分析环节：定量分析法、定性分析法、比较分析法、成本效益分析法、目标管理法、问卷调查法。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 定量分析法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通过采集可量化的数据指标（如资金到位率、教师工资增幅、教师流动率等），运用统计工具进行数值化分析，衡量项目目标的达成程度和资金使用效率。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2. 定性分析法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通过访谈、观察或案例分析，获取教师满意度、教学质量变化、家长反馈等非数值化信息，综合评价项目实施的社会效益和教育质量提升效果。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3. 比较分析法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将项目实施前后的关键指标（如教师稳定性、班级师生比等）进行纵向对比，或与其他同类幼儿园的同类项目进行横向对比，评估项目的实际成效和差异性。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成本效益分析法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通过核算项目投入成本（如补助资金总额）与产出效益（如教师队伍稳定率提升、教学质量改善等），分析资金使用的经济性和效益性。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5.目标管理法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以项目申报时设定的绩效目标（如补助覆盖率、教师持证率达标等）为基准，逐项对照实际完成情况，判断目标实现程度。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6. 问卷调查法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设计针对教师、家长或管理人员的问卷，收集其对工资补助政策落实、教师工作积极性、教学质量变化等方面的主观评价，形成量化或质性结论。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1E71FBF2">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16134F7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杜蓓蓓（评价小组组长）：主要负责项目策划和监督，全面负责项目绩效评价办稿的最终质量，对评估人员出具的最终报告质量进行复核，确保评估结果的客观性；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潘晓慧（评价小组组员）：主要负责资料的收集，取证、数据统计分析；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靳小宝（评价小组组员）：主要负责项目报告的制定，指标的研判，数据分析及报告撰写。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2025年3月2日-3月15日，评价工作进入实施阶段。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经调研了解，该项目主要受益群体包括教师。我们根据绩效评价目标和绩效指标体系，设计满意度调查问卷进行问卷调查，其中教师受益对象共选取样本30人，共发放问卷30份，最终收回30份。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2025年3月16日-3月20日，评价小组按照绩效评价的原则和规范，对取得的资料进行审查核实，对采集的数据进行分析，按照绩效评价指标评分表逐项进行打分、分析、汇总各方评价结果。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2025年3月21-3月25日，评价小组撰写绩效评价报告，按照新疆维吾尔自治区财政绩效管理信息系统绩效评价模块中统一格式和文本框架撰写绩效评价报告并提交审核。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6EBD1365">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385FC3E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成年初设立的绩效目标，在实施过程中取得了良好的成效，具体表现在：通过项目的实施，完成了自聘教师的社保、公积金费用的缴纳，发放了6名自聘教师12个月的工资、社保、公积金共计43.18万元，自聘教师在年底考核中合格率为100%，提高了教师的工作积极性，保障了教师的基本生活。但在实施过程中也存在一些不足：在实际操作中，资金拨付的流程较为复杂，导致资金有时不能及时发放到教师手中。这不仅影响了教师的生活，也对幼儿园的正常运转造成了一定的困扰，自聘教师在福利、社保等方面的保障不足，导致部分教师对职业前景缺乏信心，影响了教师队伍的长期稳定性，虽然幼儿园定期组织教师培训，但由于资金和资源的限制，培训的内容和形式较为单一，无法满足教师多样化的学习需求。部分教师反映，培训内容与实际教学需求脱节，难以有效提升教学水平。尽管工资补助项目在一定程度上缓解了教师流动性问题，但由于自聘教师的职业发展空间有限，部分教师仍然选择离职或转行。特别是在偏远地区，教师的招聘和留任问题依然严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此次绩效评价通过绩效评价小组论证的评价指标体系及评分标准，采用因素分析法和比较法对本项目绩效进行客观评价，本项目共设置三级指标数量18个，实现三</w:t>
      </w:r>
      <w:bookmarkStart w:id="0" w:name="_GoBack"/>
      <w:bookmarkEnd w:id="0"/>
      <w:r>
        <w:rPr>
          <w:rStyle w:val="18"/>
          <w:rFonts w:hint="eastAsia" w:ascii="楷体" w:hAnsi="楷体" w:eastAsia="楷体"/>
          <w:b w:val="0"/>
          <w:bCs w:val="0"/>
          <w:spacing w:val="-4"/>
          <w:sz w:val="32"/>
          <w:szCs w:val="32"/>
        </w:rPr>
        <w:t>级指标数量18个，总体完成率为100.</w:t>
      </w:r>
      <w:r>
        <w:rPr>
          <w:rStyle w:val="18"/>
          <w:rFonts w:hint="eastAsia" w:ascii="楷体" w:hAnsi="楷体" w:eastAsia="楷体"/>
          <w:b w:val="0"/>
          <w:bCs w:val="0"/>
          <w:spacing w:val="-4"/>
          <w:sz w:val="32"/>
          <w:szCs w:val="32"/>
          <w:lang w:val="en-US" w:eastAsia="zh-CN"/>
        </w:rPr>
        <w:t>0</w:t>
      </w:r>
      <w:r>
        <w:rPr>
          <w:rStyle w:val="18"/>
          <w:rFonts w:hint="eastAsia" w:ascii="楷体" w:hAnsi="楷体" w:eastAsia="楷体"/>
          <w:b w:val="0"/>
          <w:bCs w:val="0"/>
          <w:spacing w:val="-4"/>
          <w:sz w:val="32"/>
          <w:szCs w:val="32"/>
        </w:rPr>
        <w:t>0%。最终评分结果：总分为</w:t>
      </w:r>
      <w:r>
        <w:rPr>
          <w:rStyle w:val="18"/>
          <w:rFonts w:hint="eastAsia" w:ascii="楷体" w:hAnsi="楷体" w:eastAsia="楷体"/>
          <w:b w:val="0"/>
          <w:bCs w:val="0"/>
          <w:spacing w:val="-4"/>
          <w:sz w:val="32"/>
          <w:szCs w:val="32"/>
          <w:lang w:val="en-US" w:eastAsia="zh-CN"/>
        </w:rPr>
        <w:t>99.37</w:t>
      </w:r>
      <w:r>
        <w:rPr>
          <w:rStyle w:val="18"/>
          <w:rFonts w:hint="eastAsia" w:ascii="楷体" w:hAnsi="楷体" w:eastAsia="楷体"/>
          <w:b w:val="0"/>
          <w:bCs w:val="0"/>
          <w:spacing w:val="-4"/>
          <w:sz w:val="32"/>
          <w:szCs w:val="32"/>
        </w:rPr>
        <w:t>分，绩效评级为“优秀”。综合评价结论如下：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项目产出类指标共设置4个，满分指标4个，得分率100%；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项目成本类指标共设置1个，满分指标1个，得分率100%；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项目效益类指标共设置2个，满分指标2个，得分率100%。</w:t>
      </w:r>
    </w:p>
    <w:p w14:paraId="4E6C79F2">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13B16421">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14E1C261">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国家颁发的《中华人民共和国教育法》（2021年修订）中：“规定国家保障教育事业优先发展，支持学前教育，鼓励社会力量依法办学，保障教师合法权益。该项目通过补助自聘教师工资，稳定教师队伍，符合法律对教育投入和教师权益保障的要求。”，符合国家法律法规、国民经济发展规划和相关政策；本项目立项符合《中华人民共和国国民经济和社会发展第十四个五年规划和2035年远景目标纲要》中：“提出“完善普惠性学前教育保障机制，加强教师队伍建设”。该项目通过财政补助提升自聘教师待遇，有助于实现普惠性学前教育目标。”内容，符合行业发展规划和政策要求；本项目立项符合《呼图壁县第一幼儿园配置内设机构和人员编制规定》中职责范围中的“为学龄前儿童提供教育幼儿园保育及幼儿教育，实行保育与教育相结合的原则，对幼儿实施德、智、体、美方面全面发展的教育，管理幼儿生活活动，保护幼儿在幼儿园的安全”。属于我单位履职所需；根据《财政资金直接支付申请书》，本项目资金性质为“公共财政预算”功能分类为“学前教育”经济分类为“劳务费”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本项目为非基础建设类项目，属于专项资金安排项目，不涉及事前绩效评估、可行性研究以及风险评估，由我单位严格按照《呼图壁县第一幼儿园资金管理办法》文件要求实施项目。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本项目拟投入43.18万元用于完成自聘教师的工资补助，通过项目的实施，保障教职工利益，为幼儿园正常运转奠定更坚实的基础。”；本项目实际工作内容为：截止2024年12月31日，通过项目的实施，资金都用于自聘教师的工资发放，发放了6名教师12个月的工资、社保、公积金共计43.18万元，保障教职工福利利益，为幼儿园正常运转奠定更坚实的基础。按时发放工资提高了教师的积极性，此项目保障了教师的福利利益，为幼儿园的正常运转奠定了更加坚定的基础；绩效目标与实际工作内容一致，两者具有相关性;本项目预算申请资金43.18万元，预算确定资金量与实际工作任务相匹配。本项目按照绩效目标完成了数量指标、质量指标、时效指标、成本指标，有效保障了教师的福利利益，为幼儿园的正常运转奠定了更加坚定的基础，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4个，二级指标6个，三级指标7个，定量指标6个，定性指标1个，指标量化率为85.71%%，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本项目预算编制通过市场询价得出，即预算编制较科学且经过论证；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预算申请内容为43.18万元，项目实际内容为2024年自治区教育项目经费（自聘教师工资补助），预算申请与《2024年自治区教育项目经费（自聘教师工资补助）项目实施方案》中涉及的项目内容匹配；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43.18万元，我单位在预算申请中严格按照单位标准和数量进行核算，其中：单位标准为35983元/月，数量为12个月。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2024年自治区教育项目经费（自聘教师工资补助）项目资金的请示》和《2024年自治区教育项目经费（自聘教师工资补助）项目实施方案》为依据进行资金分配，预算资金分配依据充分。根据《2024年自治区教育项目经费（自聘教师工资补助）资金下达文件》文件显示，本项目实际到位资金43.18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118266C1">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45E577C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项目过程管理类指标由2个二级指标和5个三级指标构成，权重分19.00分，实际得分19.00分。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本项目预算资金为43.18万元，其中：本级财政安排资金43.18万元，其他资金0万元，实际到位资金43.18万元，资金到位率=（实际到位资金/预算资金）×100.00%=（43.18/43.18）*100.00%=100%。得分=资金到位率*分值=100%*4=4分。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本项目实际支出资金43.18万元，预算执行率=（实际支出资金/实际到位资金）×100.00%=（43.18/43.18）*100.00%=100%。得分=预算执行率*分值=100%*5=5分。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呼图壁县第一幼儿园资金管理办法》《2024年自治区教育项目经费（自聘教师工资补助）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呼图壁县第一幼儿园资金管理办法》《呼图壁县第一幼儿园收支业务管理制度》《呼图壁县第一幼儿园政府采购业务管理制度》《呼图壁县第一幼儿园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工资表、花名册等资料齐全并及时进行了归档。项目资金支出严格按照自治区、地区、市以及本单位资金管理办法执行，项目启动实施后，为了加快本项目的实施，成立了杜蓓蓓项目工作领导小组，由党组书记李丽任组长，负责项目的组织工作；杜蓓蓓任副组长，负责项目的实施工作；组员包括：潘晓慧和靳小宝，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综上所述，本指标满分为4.00分，根据评分标准得4.00分，本项目所建立制度执行有效。</w:t>
      </w:r>
    </w:p>
    <w:p w14:paraId="42B2EC70">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757B616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项目产出类指标由2个二级指标和4个三级指标构成，权重分20.0分，实际得分20分。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“受益教职工人数”指标：预期指标值为“&gt;=12人”，实际完成指标值为“=12人”，指标完成率为100.0%。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“自聘教师考核合格率”指标：预期指标值为“&gt;=90%”，实际完成指标值为“=100%”，指标完成率为100%。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“补助资金覆盖率”指标：预期指标值为“=100%”，实际完成指标值为“=100%”，指标完成率为100%。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“补助发放及时率”指标：预期指标值为“&gt;=95%”，实际完成指标值为“=100%”，指标完成率为100%。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项目成本情况指标由1个二级指标和1个三级指标构成，权重分10.0分，实际得分10分。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“自聘教师补助标准”指标：预期指标值为“&lt;=5642.75元/人”，实际完成指标值为“=5642.75元/人”，指标完成率为100%。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6C81BA26">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4387AD4E">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项目效益类指标由2个二级指标和2个三级指标构成，权重分30.0分，实际得分30分。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“提高教师教学积极性”指标：预期指标值为“有效提升”，实际完成指标值为“达到预期指标”，指标完成率为100.0%。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综上所述，本指标满分为20分，根据评分标准得20分。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4E3A299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“教师满意度”指标：预期指标值为“&gt;=95%”，实际完成指标值为“=100.0%”，指标完成率为100.0%。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p>
    <w:p w14:paraId="6CA36835">
      <w:pPr>
        <w:spacing w:line="540" w:lineRule="exact"/>
        <w:ind w:firstLine="567"/>
        <w:rPr>
          <w:rStyle w:val="18"/>
          <w:rFonts w:hint="eastAsia" w:ascii="楷体" w:hAnsi="楷体" w:eastAsia="楷体"/>
          <w:b w:val="0"/>
          <w:bCs w:val="0"/>
          <w:spacing w:val="-4"/>
          <w:sz w:val="32"/>
          <w:szCs w:val="32"/>
        </w:rPr>
      </w:pPr>
    </w:p>
    <w:p w14:paraId="3311DDC7">
      <w:pPr>
        <w:spacing w:line="540" w:lineRule="exact"/>
        <w:ind w:firstLine="567"/>
        <w:rPr>
          <w:rStyle w:val="18"/>
          <w:rFonts w:ascii="楷体" w:hAnsi="楷体" w:eastAsia="楷体"/>
          <w:spacing w:val="-4"/>
          <w:sz w:val="32"/>
          <w:szCs w:val="32"/>
        </w:rPr>
      </w:pPr>
    </w:p>
    <w:p w14:paraId="5B4E0FAC">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1B0F79CC">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1、项目组织方面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立足顶层设计与基层实践相结合，构建了“多层级联动、全流程统筹”的组织体系。一是强化责任分工，建立由教育主管部门牵头、财政部门协同、幼儿园具体落实的跨部门协作机制，明确各环节责任主体，确保任务高效衔接；二是注重动态反馈，通过定期召开推进会、建立问题台账等方式，及时梳理项目实施中的难点并针对性调整策略，保障政策落地与基层需求精准匹配；三是突出资源整合，充分调动园内行政、教学、财务等岗位力量，形成“专人专岗、专项专责”的工作模式，为项目推进提供人力与机制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2、项目管理方面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以规范化、精细化为导向，形成了“制度先行、动态监管”的管理模式。一是健全管理制度，结合自治区政策要求与幼儿园实际，制定涵盖教师资质审核、补助发放流程、绩效目标考核等环节的操作规范，确保项目实施有章可循；二是强化过程监督，通过专项督导、第三方评估与内部自查相结合的方式，对教师聘用合规性、资金使用规范性、教学质量提升效果等关键节点进行动态跟踪，有效防范风险；三是推进信息化赋能，依托动态数据库和线上管理平台，实现教师信息实时更新、资金流向透明可溯，显著提升管理效率和精准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3、资金管理方面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坚持“专款专用、安全高效”原则，构建了全链条资金管控机制。一是严格制度约束，依据自治区教育专项资金管理办法，明确资金拨付条件、使用范围和审批权限，从源头上确保资金合规使用；二是优化拨付流程，通过“财政直达+银行代发”模式缩短资金流转周期，减少中间环节滞留风险，保障补助资金及时足额到位；三是强化风险防控，建立资金使用预警机制，结合定期审计与随机抽查，对异常支出、账目偏差等问题进行动态监控和快速纠偏，确保资金效益最大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1、问题：自聘教师资质审核流程不够规范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当前资质审核主要依赖人工核验，缺乏统一的信息化审核平台，导致审核标准执行存在偏差。部分教师资质证明材料收集不全或真伪难辨，影响审核效率和质量。同时，多部门协同审核机制不完善，容易出现责任推诿或重复审核现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问题：资金发放时效性有待提高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资金审批层级较多，拨付流程复杂，导致补助发放存在延迟。部分教师资质证明材料收集不全或真伪难辨，影响审核效率和质量。同时，多部门协同审核机制不完善，容易出现责任推诿或重复审核现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3、问题：项目宣传解读不到位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政策宣传主要依靠文件传达，缺乏针对性的解读和培训，导致部分教师对补助政策理解不深。部分教师资质证明材料收集不全或真伪难辨，影响审核效率和质量。同时，多部门协同审核机制不完善，容易出现责任推诿或重复审核现象。</w:t>
      </w:r>
    </w:p>
    <w:p w14:paraId="5A4969E5">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7416DE6A">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改进建议：建立标准化的资质审核流程，开发统一的教师资质信息管理系统，实现证明材料电子化存档和在线核验。加强教育、人社等部门的协同联动，明确审核责任分工，建立交叉复核机制。同时定期开展审核人员业务培训，提升审核规范性和准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改进建议：简化资金审批流程，推行"一站式"线上审批，减少纸质材料流转。建立资金拨付绿色通道，对教师工资补助实行优先审批、优先拨付。建立资金拨付绿色通道，对教师工资补助实行优先审批、优先拨付。同时开发资金监管平台，设置发放进度预警功能，对临近截止日期的未发放款项自动提醒督办，确保资金及时足额发放。</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改进建议：通过线上线下多渠道宣传，定期召开政策宣讲会，设置互动答疑环节。建立教师意见反馈平台，及时收集和处理教师关切。同时培养政策宣传骨干，深入一线开展面对面讲解，确保政策落地"最后一公里"畅通无阻。</w:t>
      </w:r>
    </w:p>
    <w:p w14:paraId="040A2641">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27B0F7B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6B05D08A">
      <w:pPr>
        <w:spacing w:line="540" w:lineRule="exact"/>
        <w:ind w:firstLine="567"/>
        <w:rPr>
          <w:rStyle w:val="18"/>
          <w:rFonts w:ascii="仿宋" w:hAnsi="仿宋" w:eastAsia="仿宋"/>
          <w:b w:val="0"/>
          <w:spacing w:val="-4"/>
          <w:sz w:val="32"/>
          <w:szCs w:val="32"/>
        </w:rPr>
      </w:pPr>
    </w:p>
    <w:p w14:paraId="4C9E86D3">
      <w:pPr>
        <w:spacing w:line="540" w:lineRule="exact"/>
        <w:ind w:firstLine="567"/>
        <w:rPr>
          <w:rStyle w:val="18"/>
          <w:rFonts w:ascii="仿宋" w:hAnsi="仿宋" w:eastAsia="仿宋"/>
          <w:b w:val="0"/>
          <w:spacing w:val="-4"/>
          <w:sz w:val="32"/>
          <w:szCs w:val="32"/>
        </w:rPr>
      </w:pPr>
    </w:p>
    <w:p w14:paraId="031FC600">
      <w:pPr>
        <w:spacing w:line="540" w:lineRule="exact"/>
        <w:ind w:firstLine="567"/>
        <w:rPr>
          <w:rStyle w:val="18"/>
          <w:rFonts w:ascii="仿宋" w:hAnsi="仿宋" w:eastAsia="仿宋"/>
          <w:b w:val="0"/>
          <w:spacing w:val="-4"/>
          <w:sz w:val="32"/>
          <w:szCs w:val="32"/>
        </w:rPr>
      </w:pPr>
    </w:p>
    <w:p w14:paraId="19E673BB">
      <w:pPr>
        <w:spacing w:line="540" w:lineRule="exact"/>
        <w:ind w:firstLine="567"/>
        <w:rPr>
          <w:rStyle w:val="18"/>
          <w:rFonts w:ascii="仿宋" w:hAnsi="仿宋" w:eastAsia="仿宋"/>
          <w:b w:val="0"/>
          <w:spacing w:val="-4"/>
          <w:sz w:val="32"/>
          <w:szCs w:val="32"/>
        </w:rPr>
      </w:pPr>
    </w:p>
    <w:p w14:paraId="315A479D">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618513EC">
        <w:pPr>
          <w:pStyle w:val="12"/>
          <w:jc w:val="center"/>
        </w:pPr>
        <w:r>
          <w:fldChar w:fldCharType="begin"/>
        </w:r>
        <w:r>
          <w:instrText xml:space="preserve">PAGE   \* MERGEFORMAT</w:instrText>
        </w:r>
        <w:r>
          <w:fldChar w:fldCharType="separate"/>
        </w:r>
        <w:r>
          <w:rPr>
            <w:lang w:val="zh-CN"/>
          </w:rPr>
          <w:t>2</w:t>
        </w:r>
        <w:r>
          <w:fldChar w:fldCharType="end"/>
        </w:r>
      </w:p>
    </w:sdtContent>
  </w:sdt>
  <w:p w14:paraId="02441171">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23692615"/>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11182</Words>
  <Characters>11823</Characters>
  <Lines>4</Lines>
  <Paragraphs>1</Paragraphs>
  <TotalTime>9</TotalTime>
  <ScaleCrop>false</ScaleCrop>
  <LinksUpToDate>false</LinksUpToDate>
  <CharactersWithSpaces>11867</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2025-08-12T04:27:28Z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86A4BE803B594D54BB30BEB283D7FDDD_13</vt:lpwstr>
  </property>
  <property fmtid="{D5CDD505-2E9C-101B-9397-08002B2CF9AE}" pid="4" name="KSOTemplateDocerSaveRecord">
    <vt:lpwstr>eyJoZGlkIjoiYjAwZDY0MzljNDE2MjBkZjY5ZjY0ODNhMGVjMWM0N2EiLCJ1c2VySWQiOiIxMDA1MzM3ODU4In0=</vt:lpwstr>
  </property>
</Properties>
</file>