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8972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45B0AE7">
      <w:pPr>
        <w:spacing w:line="540" w:lineRule="exact"/>
        <w:jc w:val="center"/>
        <w:rPr>
          <w:rFonts w:ascii="华文中宋" w:hAnsi="华文中宋" w:eastAsia="华文中宋" w:cs="宋体"/>
          <w:b/>
          <w:kern w:val="0"/>
          <w:sz w:val="52"/>
          <w:szCs w:val="52"/>
        </w:rPr>
      </w:pPr>
    </w:p>
    <w:p w14:paraId="2D9C1A69">
      <w:pPr>
        <w:spacing w:line="540" w:lineRule="exact"/>
        <w:jc w:val="center"/>
        <w:rPr>
          <w:rFonts w:ascii="华文中宋" w:hAnsi="华文中宋" w:eastAsia="华文中宋" w:cs="宋体"/>
          <w:b/>
          <w:kern w:val="0"/>
          <w:sz w:val="52"/>
          <w:szCs w:val="52"/>
        </w:rPr>
      </w:pPr>
    </w:p>
    <w:p w14:paraId="3E0B8E67">
      <w:pPr>
        <w:spacing w:line="540" w:lineRule="exact"/>
        <w:jc w:val="center"/>
        <w:rPr>
          <w:rFonts w:ascii="华文中宋" w:hAnsi="华文中宋" w:eastAsia="华文中宋" w:cs="宋体"/>
          <w:b/>
          <w:kern w:val="0"/>
          <w:sz w:val="52"/>
          <w:szCs w:val="52"/>
        </w:rPr>
      </w:pPr>
    </w:p>
    <w:p w14:paraId="43F57FCB">
      <w:pPr>
        <w:spacing w:line="540" w:lineRule="exact"/>
        <w:jc w:val="center"/>
        <w:rPr>
          <w:rFonts w:ascii="华文中宋" w:hAnsi="华文中宋" w:eastAsia="华文中宋" w:cs="宋体"/>
          <w:b/>
          <w:kern w:val="0"/>
          <w:sz w:val="52"/>
          <w:szCs w:val="52"/>
        </w:rPr>
      </w:pPr>
    </w:p>
    <w:p w14:paraId="42ED4972">
      <w:pPr>
        <w:spacing w:line="540" w:lineRule="exact"/>
        <w:jc w:val="center"/>
        <w:rPr>
          <w:rFonts w:ascii="华文中宋" w:hAnsi="华文中宋" w:eastAsia="华文中宋" w:cs="宋体"/>
          <w:b/>
          <w:kern w:val="0"/>
          <w:sz w:val="52"/>
          <w:szCs w:val="52"/>
        </w:rPr>
      </w:pPr>
    </w:p>
    <w:p w14:paraId="683C3419">
      <w:pPr>
        <w:spacing w:line="540" w:lineRule="exact"/>
        <w:jc w:val="center"/>
        <w:rPr>
          <w:rFonts w:ascii="华文中宋" w:hAnsi="华文中宋" w:eastAsia="华文中宋" w:cs="宋体"/>
          <w:b/>
          <w:kern w:val="0"/>
          <w:sz w:val="52"/>
          <w:szCs w:val="52"/>
        </w:rPr>
      </w:pPr>
    </w:p>
    <w:p w14:paraId="488D86C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836469D">
      <w:pPr>
        <w:spacing w:line="540" w:lineRule="exact"/>
        <w:jc w:val="center"/>
        <w:rPr>
          <w:rFonts w:ascii="华文中宋" w:hAnsi="华文中宋" w:eastAsia="华文中宋" w:cs="宋体"/>
          <w:b/>
          <w:kern w:val="0"/>
          <w:sz w:val="52"/>
          <w:szCs w:val="52"/>
        </w:rPr>
      </w:pPr>
    </w:p>
    <w:p w14:paraId="53FD44E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CF0A600">
      <w:pPr>
        <w:spacing w:line="540" w:lineRule="exact"/>
        <w:jc w:val="center"/>
        <w:rPr>
          <w:rFonts w:hAnsi="宋体" w:eastAsia="仿宋_GB2312" w:cs="宋体"/>
          <w:kern w:val="0"/>
          <w:sz w:val="30"/>
          <w:szCs w:val="30"/>
        </w:rPr>
      </w:pPr>
    </w:p>
    <w:p w14:paraId="5C986AFD">
      <w:pPr>
        <w:spacing w:line="540" w:lineRule="exact"/>
        <w:jc w:val="center"/>
        <w:rPr>
          <w:rFonts w:hAnsi="宋体" w:eastAsia="仿宋_GB2312" w:cs="宋体"/>
          <w:kern w:val="0"/>
          <w:sz w:val="30"/>
          <w:szCs w:val="30"/>
        </w:rPr>
      </w:pPr>
    </w:p>
    <w:p w14:paraId="3CABA7EA">
      <w:pPr>
        <w:spacing w:line="540" w:lineRule="exact"/>
        <w:jc w:val="center"/>
        <w:rPr>
          <w:rFonts w:hAnsi="宋体" w:eastAsia="仿宋_GB2312" w:cs="宋体"/>
          <w:kern w:val="0"/>
          <w:sz w:val="30"/>
          <w:szCs w:val="30"/>
        </w:rPr>
      </w:pPr>
    </w:p>
    <w:p w14:paraId="71968AB7">
      <w:pPr>
        <w:spacing w:line="540" w:lineRule="exact"/>
        <w:jc w:val="center"/>
        <w:rPr>
          <w:rFonts w:hAnsi="宋体" w:eastAsia="仿宋_GB2312" w:cs="宋体"/>
          <w:kern w:val="0"/>
          <w:sz w:val="30"/>
          <w:szCs w:val="30"/>
        </w:rPr>
      </w:pPr>
    </w:p>
    <w:p w14:paraId="54736203">
      <w:pPr>
        <w:spacing w:line="540" w:lineRule="exact"/>
        <w:jc w:val="center"/>
        <w:rPr>
          <w:rFonts w:hAnsi="宋体" w:eastAsia="仿宋_GB2312" w:cs="宋体"/>
          <w:kern w:val="0"/>
          <w:sz w:val="30"/>
          <w:szCs w:val="30"/>
        </w:rPr>
      </w:pPr>
    </w:p>
    <w:p w14:paraId="31FE496C">
      <w:pPr>
        <w:spacing w:line="540" w:lineRule="exact"/>
        <w:jc w:val="center"/>
        <w:rPr>
          <w:rFonts w:hAnsi="宋体" w:eastAsia="仿宋_GB2312" w:cs="宋体"/>
          <w:kern w:val="0"/>
          <w:sz w:val="30"/>
          <w:szCs w:val="30"/>
        </w:rPr>
      </w:pPr>
    </w:p>
    <w:p w14:paraId="6983EB64">
      <w:pPr>
        <w:spacing w:line="540" w:lineRule="exact"/>
        <w:rPr>
          <w:rFonts w:hAnsi="宋体" w:eastAsia="仿宋_GB2312" w:cs="宋体"/>
          <w:kern w:val="0"/>
          <w:sz w:val="30"/>
          <w:szCs w:val="30"/>
        </w:rPr>
      </w:pPr>
    </w:p>
    <w:p w14:paraId="5C688CE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AA5F78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2024年自治区教育项目经费预算（区内初中班经常性经费、教职工补助经费）</w:t>
      </w:r>
    </w:p>
    <w:p w14:paraId="74A66D9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呼图壁县第三中学</w:t>
      </w:r>
    </w:p>
    <w:p w14:paraId="66EB156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呼图壁县第三中学</w:t>
      </w:r>
    </w:p>
    <w:p w14:paraId="2B0A153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罗志刚</w:t>
      </w:r>
    </w:p>
    <w:p w14:paraId="567DAC01">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2025年03月20日</w:t>
      </w:r>
    </w:p>
    <w:p w14:paraId="17E4660A">
      <w:pPr>
        <w:spacing w:line="700" w:lineRule="exact"/>
        <w:ind w:firstLine="708" w:firstLineChars="236"/>
        <w:jc w:val="left"/>
        <w:rPr>
          <w:rFonts w:hAnsi="宋体" w:eastAsia="仿宋_GB2312" w:cs="宋体"/>
          <w:kern w:val="0"/>
          <w:sz w:val="30"/>
          <w:szCs w:val="30"/>
        </w:rPr>
      </w:pPr>
    </w:p>
    <w:p w14:paraId="5E2DF41B">
      <w:pPr>
        <w:spacing w:line="540" w:lineRule="exact"/>
        <w:rPr>
          <w:rStyle w:val="18"/>
          <w:rFonts w:ascii="黑体" w:hAnsi="黑体" w:eastAsia="黑体"/>
          <w:b w:val="0"/>
          <w:spacing w:val="-4"/>
          <w:sz w:val="32"/>
          <w:szCs w:val="32"/>
        </w:rPr>
      </w:pPr>
    </w:p>
    <w:p w14:paraId="3CAD349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433143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8323D9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区内初中班”由政府或教育主管部门在特定区域内设立的集中办学项目，旨在优化教育资源配置，提高教育质量，促进教育均衡发展。内初班级可能面向农村、偏远地区或教育资源薄弱地区的学生，提供更优质的教育环境。由于区内初中班的运行涉及教学设施维护、师资配备、学生生活保障等多方面需求，因此需要稳定的经费支持，以确保教育教学活动的正常开展。经常性经费的必要性：维持日常运营 ：包括水电费、教学耗材、校舍维护、设备更新等基本开支。保障教学质量 ：确保教材、教辅资料、实验器材等教学资源的供应。学生生活支持 ：如食堂运营、宿舍管理、卫生保健等后勤保障。教职工补助经费的必要性：吸引优质师资 ：由于区内初中班可能位于条件较艰苦的地区，适当的补助可以激励优秀教师长期任教。提高教师积极性 ：补助经费可用于教师绩效奖励、培训进修、交通补贴等，提升工作动力。稳定教师队伍 ：减少教师流动性，保障教学连续性，提高教育质量。政策依据：此类经费通常依据地方教育发展规划、财政支持政策或专项教育扶持计划设立，涉及国家或省级教育均衡发展政策、 地方财政教育专项资金管理办法 。区内初中班专项实施方案 （如少数民族地区、边远地区教育扶持）。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（1）项目名称：区内初中班经常性经费、教职工补助经费项目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保障区内初中班日常教育教学运转，包括教学耗材、设备维护、水电支出、校园安全设施更新等基础性开支。支持学生活动经费（如文体竞赛、社会实践、心理健康教育等）。覆盖班级管理成本（如班会费、学生保险、应急医疗储备等）;发放教师岗位津贴、班主任工作补助等，提高教职工待遇稳定性。支持教师专业发展（如培训费、教研活动经费、优秀教师奖励等）。临时聘用代课教师或后勤人员的劳务费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实施主体：呼图壁县第三中学。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2月份为学生报销了返校产生的费用，2024年3月为学生采购了教辅用书和相关学校用品，2024年9月为学生购买了人身平安险，意外险，2024年全年为学生提供了日常伙食、节假日改善伙食，学生到校为其提供被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贯彻执行党和国家关于教育工作的方针政策，法律法规，负责和指导学校教职工的思想政治工作，加强师德修养，教书育人，为人师表。坚持社会主义办学方向，全面贯彻党的教育方针，全面提高教育教学质量，对学生进行德育、 智育、体育、美育和劳动教育，培养德智体美劳全面发展的社会主义建设者和接班人，贯彻执行国家教育政策、法规；负责组织实施普通初中义务教育，依法治教，巩固提高普及九年义务教育工作成果；负责制定和实施本校教育发展规划教育教学计划；加强学校教师、干部队伍建设；管好、用好教育经费，改善办学条 件；密切学校与家庭、社会的联系；树立良好的校风、教风、学风，使学校成为建设社会主义精神文明的重要阵地。熟悉新课程标准，努力学习教育教学理论。规划学校品德教育、体育卫生教育、安全教育、艺术教育和国防教育工作，完成义务教育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呼图壁县第三中学无下属预算单位，下设7个处室，分别是：校办、教务处、德育处、总务处、安全办、内学办和生活保障中心。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呼图壁县第三中学编制数93，实有人数263人，其中：在职146人，增加0人；退休117人，增加0人；离休0人，增加0人。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本项目预算安排总额为530万元，资金来源为自治区财政，其中：财政资金530万元，其他资金0万元，2024年实际收到预算资金530万元，预算资金到位率为100%。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530万元，预算执行率100%。本项目资金主要用于支付伙食费270万元、校服与被褥的采购款13.5万元、军训教官的劳务费3万元、研学9万元、交通费24万元、保险费6万元、教辅用书50万元和教室的维修与改造款46.5万元、教职工补助经费费用108万元。</w:t>
      </w:r>
    </w:p>
    <w:p w14:paraId="3E753CA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B13ED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中学2024年自治区教育项目经费预算旨在通过科学配置资源，全面提升教育教学质量与师资水平，重点保障区内初中班优质教育资源的持续供给，满足600名学生的个性化学习需求，助力其综合素质发展；同步强化师资队伍建设，全年计划培训教师50人次，系统提升教师专业能力与教学创新能力，同时落实教职工待遇保障机制，充分调动教师工作积极性，为打造自治区基础教育示范标杆、促进区域教育均衡发展提供坚实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“享受政策学生人数”指标，预期指标值为“&gt;=600人”；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“参与教师业务培训人数”指标，预期指标值为“＞=50人”；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“公用经费享受比例”指标，预期指标值为“=100%”；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“学生家庭经济负担”指标，预期指标值为“不断减轻”；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“学生满意度”指标，预期指标值为“＞=95%”；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“家长满意度”指标，预期指标值为“=95%”。</w:t>
      </w:r>
    </w:p>
    <w:p w14:paraId="4B72462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0EE689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E996A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为有效推进项目工作开展，提高财政资金使用效益，项目领导小组进一步强化项目意识，县财政局建立了内初班经费专户，建立健全内初班经费管理制度，督促我校严格管理，设专户、建专帐、定专人，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此次我单位根据《财政支出绩效评价管理暂行办法》（财预〔2020〕10号）文件要求实施评价工作，本次评价对象为区内初中班经常性经费、教职工补助经费项目，评价核心为项目资金、项目产出、项目效益。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(5)采购清单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(6)验收单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(7)发放表。</w:t>
      </w:r>
    </w:p>
    <w:p w14:paraId="6B41721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0FBA38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546D13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9D662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罗志刚（评价小组组长）：主要负责项目策划和监督，全面负责项目绩效评价办稿的最终质量，对评估人员出具的最终报告质量进行复核，确保评估结果的客观性；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孙玉红（评价小组组员）：主要负责资料的收集，取证、数据统计分析；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陈龙（评价小组组员）：主要负责主要负责项目报告的制定，指标的研判，数据分析及报告撰写。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经调研了解，该项目主要受益群体包括内初班学生。我们根据绩效评价目标和绩效指标体系，设计满意度调查问卷进行问卷调查，其中内初班学生受益对象共选取样本100人，共发放问卷32份，最终收回32份。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2025年3月13日-3月20日，评价小组按照绩效评价的原则和规范，对取得的资料进行审查核实，对采集的数据进行分析，按照绩效评价指标评分表逐项进行打分、分析、汇总各方评价结果。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5FA2C4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E456FE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600名学生教育教学与65名教师的培训等产出目标，改善了教育教学环境，提高了师资力量。但在实施过程中也存在一些不足：教师培训的实效性受限，课程设置与教学实践脱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99.</w:t>
      </w:r>
      <w:r>
        <w:rPr>
          <w:rStyle w:val="18"/>
          <w:rFonts w:hint="eastAsia" w:ascii="楷体" w:hAnsi="楷体" w:eastAsia="楷体"/>
          <w:b w:val="0"/>
          <w:bCs w:val="0"/>
          <w:spacing w:val="-4"/>
          <w:sz w:val="32"/>
          <w:szCs w:val="32"/>
          <w:lang w:val="en-US" w:eastAsia="zh-CN"/>
        </w:rPr>
        <w:t>93</w:t>
      </w:r>
      <w:r>
        <w:rPr>
          <w:rStyle w:val="18"/>
          <w:rFonts w:hint="eastAsia" w:ascii="楷体" w:hAnsi="楷体" w:eastAsia="楷体"/>
          <w:b w:val="0"/>
          <w:bCs w:val="0"/>
          <w:spacing w:val="-4"/>
          <w:sz w:val="32"/>
          <w:szCs w:val="32"/>
        </w:rPr>
        <w:t>分，绩效评级为“优”。综合评价结论如下：</w:t>
      </w:r>
      <w:bookmarkStart w:id="0" w:name="_GoBack"/>
      <w:bookmarkEnd w:id="0"/>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项目产出类指标共设置3个，满分指标2个，得分率66.67%；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6315CFD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DBE983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7027C5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关于深化区内初中班教育改革实施方案》中：“学生综合素质发展、学业水平提升等核心考核指标”，符合国家法律法规、国民经济发展规划和相关政策；本项目立项符合《自治区中小学教师培训经费管理实施细则》中：“规范教职工补助经费中培训部分的成本核算、培训成果转化率及参训教师满意度评价标准”内容，符合行业发展规划和政策要求；本项目立项符合《呼图壁县第三中学单位配置内设机构和人员编制规定》中职责范围中的“负责组织实施普通初中义务教育，依法治教，巩固提高普及九年义务教育工作成果；负责制定和实施本校教育发展规划教育教学计划；”，属于我单位履职所需；根据《财政资金直接支付申请书》，本项目资金性质为“公共财政预算”功能分类为“初中教育”经济分类为“经济补助”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新财教〔2024〕8号关于印发《新疆维吾尔自治区区内初中班专项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区内初中班经常性经费、教职工补助经费”；本项目实际工作内容为：2024年2月份为学生报销了返校产生的费用，2024年3月为学生采购了教辅用书和相关学校用品，2024年9月为学生购买了人身平安险，意外险，2024年全年为学生提供了日常伙食、节假日改善伙食，学生到校为其提供被褥；绩效目标与实际工作内容一致，两者具有相关性;本项目预算申请资金530万元，预算确定资金量与实际工作任务相匹配。本项目按照绩效目标完成了数量指标、质量指标、时效指标、成本指标，有效保障了内初班学生的学习、生活，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1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本项目预算编制按照603名学生，每名学生每年7000元/年的经费标准和96名老师，每名老师11250元/年经费标准计算得出，即预算编制较科学且经过论证；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区内初中班经常性经费、教职工补助经费，项目实际内容为2024年2月份为学生报销了返校产生的费用，2024年3月为学生采购了教辅用书和相关学校用品，2024年9月为学生购买了人身平安险，意外险，2024年全年为学生提供了日常伙食、节假日改善伙食，学生到校为其提供被褥，预算申请与《区内初中班经常性经费、教职工补助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530万元，我单位在预算申请中严格按照单位标准和数量进行核算，其中：603名学生，每名学生每年7000元/年；96名老师，每名老师11250元/年。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区内初中班经常性经费、教职工补助经费项目资金的请示》和《区内初中班经常性经费、教职工补助经费项目实施方案》为依据进行资金分配，预算资金分配依据充分。根据《2024年自治区教育项目经费预算》文件显示，本项目实际到位资金530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1D84F0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113DF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本项目预算资金为530万元，其中：本级财政安排资金530万元，其他资金0万元，实际到位资金530万元，资金到位率=（实际到位资金/预算资金）×100.00%=（530/530）*100.00%=100%。得分=资金到位率*分值=100%*4=4分。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本项目实际支出资金530万元，预算执行率=（实际支出资金/实际到位资金）×100.00%=（530/530）*100.00%=100%。得分=预算执行率*分值=100%*5=5分。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第三中学资金管理办法》《呼图壁县第三中学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第三中学内初班资金管理办法》《呼图壁县第三中学内初班资收支业务管理制度》《呼图壁县第三中学政府采购业务管理制度》《呼图壁县第三中学合同管理制度》，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采购清单、验收单等资料齐全并及时进行了归档。项目资金支出严格按照自治区、地区、市以及本单位资金管理办法执行，项目启动实施后，为了加快本项目的实施，成立了区内初中班经常性经费、教职工补助经费项目工作领导小组，由党组书记罗文杰任组长，负责项目的组织工作；罗志刚任副组长，负责项目的实施工作；组员包括：陈龙和孙玉红，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C6D946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E2080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“享受学生人数”指标：预期指标值为“&gt;=600人”，实际完成指标值为“=603人”，指标完成率为100.5%。偏差率为：0.5%，偏差原因为：宣传力度加大，学生人数增加。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“培训教师人次”指标：预期指标值为“&gt;=50人”，实际完成指标值为“=50人”，指标完成率为100.0%。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综上所述，本指标满分为10分，根据评分标准得9.8分。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“公用经费享受比例”指标：预期指标值为“&gt;=100%”，实际完成指标值为“=100%”，指标完成率为100%。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“项目成本控制率”指标：预期指标值为“&lt;=100%”，实际完成指标值为“=100%”，指标完成率为100%。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428D80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B9D8B3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项目效益类指标由2个二级指标和2个三级指标构成，权重分30.0分，实际得分29.5分。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“减轻内初学生家庭经济负担”指标：预期指标值为“不断减轻”，实际完成指标值为“达到预期指标值”，指标完成率为100.0%。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76B94C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“学生满意度”指标：预期指标值为“&gt;=95%”，实际完成指标值为“=96.87%”，指标完成率为100%。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“家长满意度”指标：预期指标值为“&gt;=95%”，实际完成指标值为“=96.87%”，指标完成率为100%.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4CE8F682">
      <w:pPr>
        <w:spacing w:line="540" w:lineRule="exact"/>
        <w:ind w:firstLine="567"/>
        <w:rPr>
          <w:rStyle w:val="18"/>
          <w:rFonts w:hint="eastAsia" w:ascii="楷体" w:hAnsi="楷体" w:eastAsia="楷体"/>
          <w:b w:val="0"/>
          <w:bCs w:val="0"/>
          <w:spacing w:val="-4"/>
          <w:sz w:val="32"/>
          <w:szCs w:val="32"/>
        </w:rPr>
      </w:pPr>
    </w:p>
    <w:p w14:paraId="0D136673">
      <w:pPr>
        <w:spacing w:line="540" w:lineRule="exact"/>
        <w:ind w:firstLine="567"/>
        <w:rPr>
          <w:rStyle w:val="18"/>
          <w:rFonts w:ascii="楷体" w:hAnsi="楷体" w:eastAsia="楷体"/>
          <w:spacing w:val="-4"/>
          <w:sz w:val="32"/>
          <w:szCs w:val="32"/>
        </w:rPr>
      </w:pPr>
    </w:p>
    <w:p w14:paraId="15EBFD9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941B91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 项目组织经验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呼图壁县第三中学建立了高效的工作机制，确保经费管理和补助发放有序推进。学校成立了专项工作小组，由校领导牵头，财务、教务、后勤等部门协同配合，明确职责分工，形成联动机制。同时，注重与上级教育主管部门的沟通协调，确保政策执行到位。在教职工补助经费的分配上，学校坚持公平、公正、公开的原则，通过民主评议和集体决策，确保资金使用符合政策要求，并充分听取教职工意见，提高项目实施的透明度和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项目管理经验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学校建立了完善的制度体系，确保经费使用规范、高效。通过制定详细的实施方案和操作流程，明确资金使用范围、审批程序和监督机制，避免资金滥用或挪用。同时，学校定期召开项目推进会，及时解决实施过程中的问题，确保资金按时拨付、补助及时发放。此外，学校注重信息化管理，利用财务系统和电子台账记录资金流向，提高管理效率和精准度。在教职工补助经费的管理上，学校采取动态调整机制，根据实际情况优化补助标准，确保资金发挥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资金管理经验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学校严格执行财务制度，确保专款专用。经费使用前，学校会进行科学预算，合理规划支出结构，优先保障教育教学和教职工福利需求。资金拨付后，学校加强过程监管，定期开展内部审计和财务检查，确保每一笔资金使用合规。同时，学校注重资金使用的绩效评估，通过跟踪资金使用效果，不断优化资金分配方案，提高资金使用效率。在教职工补助经费的发放上，学校采取银行代发方式，确保补助资金直达个人账户，减少中间环节，提高资金发放的安全性和便捷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一、经费预算编制不够科学，与实际需求脱节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：预算编制过程中缺乏充分的调研，未能结合学校实际运行需求进行合理测算。部分经费项目未考虑物价上涨、政策调整等因素，导致预算执行时出现资金不足或浪费现象。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二、经费使用缺乏有效监督，存在管理漏洞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：经费审批流程不规范，部分支出未经严格审核，存在不合理开支现象。财务公开透明度不足，教职工对经费使用情况不了解，容易滋生违规行为。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三、教职工补助经费分配不均衡，影响工作积极性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 ：补助标准不统一，部分教职工因岗位、资历等因素未能获得合理补助，导致公平性不足。缺乏科学的绩效评价体系，补助发放未能与工作表现挂钩，激励作用有限。</w:t>
      </w:r>
    </w:p>
    <w:p w14:paraId="5E9AD83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E9A2FE4">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1、经费预算编制不够科学，与实际需求脱节改进建议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建立科学的预算编制机制，结合历年经费使用情况、学生人数、教职工规模等因素进行精准测算。引入动态调整机制，定期评估预算执行情况，及时调整不合理支出，确保资金使用效益最大化。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2、经费使用缺乏有效监督，存在管理漏洞改进建议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完善经费审批制度，严格执行“三重一大”决策程序，确保每笔支出合理合规。定期公示经费使用情况，接受教职工、家长及社会监督，提高资金使用的透明度和公信力。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3、教职工补助经费分配不均衡，影响工作积极性改进建议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制定统一的补助发放标准，确保不同岗位、不同贡献的教职工获得合理补助。建立绩效考评机制，将补助发放与教学质量、工作表现挂钩，提高激励效果。</w:t>
      </w:r>
    </w:p>
    <w:p w14:paraId="414B712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68FB9C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0597ACD6">
      <w:pPr>
        <w:spacing w:line="540" w:lineRule="exact"/>
        <w:ind w:firstLine="567"/>
        <w:rPr>
          <w:rStyle w:val="18"/>
          <w:rFonts w:ascii="仿宋" w:hAnsi="仿宋" w:eastAsia="仿宋"/>
          <w:b w:val="0"/>
          <w:spacing w:val="-4"/>
          <w:sz w:val="32"/>
          <w:szCs w:val="32"/>
        </w:rPr>
      </w:pPr>
    </w:p>
    <w:p w14:paraId="2610D1C8">
      <w:pPr>
        <w:spacing w:line="540" w:lineRule="exact"/>
        <w:ind w:firstLine="567"/>
        <w:rPr>
          <w:rStyle w:val="18"/>
          <w:rFonts w:ascii="仿宋" w:hAnsi="仿宋" w:eastAsia="仿宋"/>
          <w:b w:val="0"/>
          <w:spacing w:val="-4"/>
          <w:sz w:val="32"/>
          <w:szCs w:val="32"/>
        </w:rPr>
      </w:pPr>
    </w:p>
    <w:p w14:paraId="7FDD334F">
      <w:pPr>
        <w:spacing w:line="540" w:lineRule="exact"/>
        <w:ind w:firstLine="567"/>
        <w:rPr>
          <w:rStyle w:val="18"/>
          <w:rFonts w:ascii="仿宋" w:hAnsi="仿宋" w:eastAsia="仿宋"/>
          <w:b w:val="0"/>
          <w:spacing w:val="-4"/>
          <w:sz w:val="32"/>
          <w:szCs w:val="32"/>
        </w:rPr>
      </w:pPr>
    </w:p>
    <w:p w14:paraId="55AB1858">
      <w:pPr>
        <w:spacing w:line="540" w:lineRule="exact"/>
        <w:ind w:firstLine="567"/>
        <w:rPr>
          <w:rStyle w:val="18"/>
          <w:rFonts w:ascii="仿宋" w:hAnsi="仿宋" w:eastAsia="仿宋"/>
          <w:b w:val="0"/>
          <w:spacing w:val="-4"/>
          <w:sz w:val="32"/>
          <w:szCs w:val="32"/>
        </w:rPr>
      </w:pPr>
    </w:p>
    <w:p w14:paraId="7625A89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E10EC68">
        <w:pPr>
          <w:pStyle w:val="12"/>
          <w:jc w:val="center"/>
        </w:pPr>
        <w:r>
          <w:fldChar w:fldCharType="begin"/>
        </w:r>
        <w:r>
          <w:instrText xml:space="preserve">PAGE   \* MERGEFORMAT</w:instrText>
        </w:r>
        <w:r>
          <w:fldChar w:fldCharType="separate"/>
        </w:r>
        <w:r>
          <w:rPr>
            <w:lang w:val="zh-CN"/>
          </w:rPr>
          <w:t>2</w:t>
        </w:r>
        <w:r>
          <w:fldChar w:fldCharType="end"/>
        </w:r>
      </w:p>
    </w:sdtContent>
  </w:sdt>
  <w:p w14:paraId="1B28B19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BA0787"/>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10706</Words>
  <Characters>11306</Characters>
  <Lines>4</Lines>
  <Paragraphs>1</Paragraphs>
  <TotalTime>26</TotalTime>
  <ScaleCrop>false</ScaleCrop>
  <LinksUpToDate>false</LinksUpToDate>
  <CharactersWithSpaces>11340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2025-08-12T04:10:14Z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