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84DD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A037DC7">
      <w:pPr>
        <w:spacing w:line="540" w:lineRule="exact"/>
        <w:jc w:val="center"/>
        <w:rPr>
          <w:rFonts w:ascii="华文中宋" w:hAnsi="华文中宋" w:eastAsia="华文中宋" w:cs="宋体"/>
          <w:b/>
          <w:kern w:val="0"/>
          <w:sz w:val="52"/>
          <w:szCs w:val="52"/>
        </w:rPr>
      </w:pPr>
    </w:p>
    <w:p w14:paraId="37D0072A">
      <w:pPr>
        <w:spacing w:line="540" w:lineRule="exact"/>
        <w:jc w:val="center"/>
        <w:rPr>
          <w:rFonts w:ascii="华文中宋" w:hAnsi="华文中宋" w:eastAsia="华文中宋" w:cs="宋体"/>
          <w:b/>
          <w:kern w:val="0"/>
          <w:sz w:val="52"/>
          <w:szCs w:val="52"/>
        </w:rPr>
      </w:pPr>
    </w:p>
    <w:p w14:paraId="3E834CBE">
      <w:pPr>
        <w:spacing w:line="540" w:lineRule="exact"/>
        <w:jc w:val="center"/>
        <w:rPr>
          <w:rFonts w:ascii="华文中宋" w:hAnsi="华文中宋" w:eastAsia="华文中宋" w:cs="宋体"/>
          <w:b/>
          <w:kern w:val="0"/>
          <w:sz w:val="52"/>
          <w:szCs w:val="52"/>
        </w:rPr>
      </w:pPr>
    </w:p>
    <w:p w14:paraId="6D5C6586">
      <w:pPr>
        <w:spacing w:line="540" w:lineRule="exact"/>
        <w:jc w:val="center"/>
        <w:rPr>
          <w:rFonts w:ascii="华文中宋" w:hAnsi="华文中宋" w:eastAsia="华文中宋" w:cs="宋体"/>
          <w:b/>
          <w:kern w:val="0"/>
          <w:sz w:val="52"/>
          <w:szCs w:val="52"/>
        </w:rPr>
      </w:pPr>
    </w:p>
    <w:p w14:paraId="63ECDB93">
      <w:pPr>
        <w:spacing w:line="540" w:lineRule="exact"/>
        <w:jc w:val="center"/>
        <w:rPr>
          <w:rFonts w:ascii="华文中宋" w:hAnsi="华文中宋" w:eastAsia="华文中宋" w:cs="宋体"/>
          <w:b/>
          <w:kern w:val="0"/>
          <w:sz w:val="52"/>
          <w:szCs w:val="52"/>
        </w:rPr>
      </w:pPr>
    </w:p>
    <w:p w14:paraId="0F587051">
      <w:pPr>
        <w:spacing w:line="540" w:lineRule="exact"/>
        <w:jc w:val="center"/>
        <w:rPr>
          <w:rFonts w:ascii="华文中宋" w:hAnsi="华文中宋" w:eastAsia="华文中宋" w:cs="宋体"/>
          <w:b/>
          <w:kern w:val="0"/>
          <w:sz w:val="52"/>
          <w:szCs w:val="52"/>
        </w:rPr>
      </w:pPr>
    </w:p>
    <w:p w14:paraId="5D9CB65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4557090">
      <w:pPr>
        <w:spacing w:line="540" w:lineRule="exact"/>
        <w:jc w:val="center"/>
        <w:rPr>
          <w:rFonts w:ascii="华文中宋" w:hAnsi="华文中宋" w:eastAsia="华文中宋" w:cs="宋体"/>
          <w:b/>
          <w:kern w:val="0"/>
          <w:sz w:val="52"/>
          <w:szCs w:val="52"/>
        </w:rPr>
      </w:pPr>
    </w:p>
    <w:p w14:paraId="5E4AC8C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DD37413">
      <w:pPr>
        <w:spacing w:line="540" w:lineRule="exact"/>
        <w:jc w:val="center"/>
        <w:rPr>
          <w:rFonts w:hAnsi="宋体" w:eastAsia="仿宋_GB2312" w:cs="宋体"/>
          <w:kern w:val="0"/>
          <w:sz w:val="30"/>
          <w:szCs w:val="30"/>
        </w:rPr>
      </w:pPr>
    </w:p>
    <w:p w14:paraId="068371C6">
      <w:pPr>
        <w:spacing w:line="540" w:lineRule="exact"/>
        <w:jc w:val="center"/>
        <w:rPr>
          <w:rFonts w:hAnsi="宋体" w:eastAsia="仿宋_GB2312" w:cs="宋体"/>
          <w:kern w:val="0"/>
          <w:sz w:val="30"/>
          <w:szCs w:val="30"/>
        </w:rPr>
      </w:pPr>
    </w:p>
    <w:p w14:paraId="6FBCEA05">
      <w:pPr>
        <w:spacing w:line="540" w:lineRule="exact"/>
        <w:jc w:val="center"/>
        <w:rPr>
          <w:rFonts w:hAnsi="宋体" w:eastAsia="仿宋_GB2312" w:cs="宋体"/>
          <w:kern w:val="0"/>
          <w:sz w:val="30"/>
          <w:szCs w:val="30"/>
        </w:rPr>
      </w:pPr>
    </w:p>
    <w:p w14:paraId="40A18C36">
      <w:pPr>
        <w:spacing w:line="540" w:lineRule="exact"/>
        <w:jc w:val="center"/>
        <w:rPr>
          <w:rFonts w:hAnsi="宋体" w:eastAsia="仿宋_GB2312" w:cs="宋体"/>
          <w:kern w:val="0"/>
          <w:sz w:val="30"/>
          <w:szCs w:val="30"/>
        </w:rPr>
      </w:pPr>
    </w:p>
    <w:p w14:paraId="03C0BA8C">
      <w:pPr>
        <w:spacing w:line="540" w:lineRule="exact"/>
        <w:jc w:val="center"/>
        <w:rPr>
          <w:rFonts w:hAnsi="宋体" w:eastAsia="仿宋_GB2312" w:cs="宋体"/>
          <w:kern w:val="0"/>
          <w:sz w:val="30"/>
          <w:szCs w:val="30"/>
        </w:rPr>
      </w:pPr>
    </w:p>
    <w:p w14:paraId="153F898C">
      <w:pPr>
        <w:spacing w:line="540" w:lineRule="exact"/>
        <w:jc w:val="center"/>
        <w:rPr>
          <w:rFonts w:hAnsi="宋体" w:eastAsia="仿宋_GB2312" w:cs="宋体"/>
          <w:kern w:val="0"/>
          <w:sz w:val="30"/>
          <w:szCs w:val="30"/>
        </w:rPr>
      </w:pPr>
    </w:p>
    <w:p w14:paraId="73F3783B">
      <w:pPr>
        <w:spacing w:line="540" w:lineRule="exact"/>
        <w:rPr>
          <w:rFonts w:hAnsi="宋体" w:eastAsia="仿宋_GB2312" w:cs="宋体"/>
          <w:kern w:val="0"/>
          <w:sz w:val="30"/>
          <w:szCs w:val="30"/>
        </w:rPr>
      </w:pPr>
    </w:p>
    <w:p w14:paraId="0DF21F0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566354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2024年城乡义务教育补助经费（公用经费）</w:t>
      </w:r>
    </w:p>
    <w:p w14:paraId="32FC748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呼图壁县第五中学</w:t>
      </w:r>
    </w:p>
    <w:p w14:paraId="3F43482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呼图壁县第五中学</w:t>
      </w:r>
    </w:p>
    <w:p w14:paraId="1A8B13A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邓远来</w:t>
      </w:r>
    </w:p>
    <w:p w14:paraId="73764CD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2E1E6CDC">
      <w:pPr>
        <w:spacing w:line="700" w:lineRule="exact"/>
        <w:ind w:firstLine="708" w:firstLineChars="236"/>
        <w:jc w:val="left"/>
        <w:rPr>
          <w:rFonts w:hAnsi="宋体" w:eastAsia="仿宋_GB2312" w:cs="宋体"/>
          <w:kern w:val="0"/>
          <w:sz w:val="30"/>
          <w:szCs w:val="30"/>
        </w:rPr>
      </w:pPr>
    </w:p>
    <w:p w14:paraId="57FE4CF5">
      <w:pPr>
        <w:spacing w:line="540" w:lineRule="exact"/>
        <w:rPr>
          <w:rStyle w:val="18"/>
          <w:rFonts w:ascii="黑体" w:hAnsi="黑体" w:eastAsia="黑体"/>
          <w:b w:val="0"/>
          <w:spacing w:val="-4"/>
          <w:sz w:val="32"/>
          <w:szCs w:val="32"/>
        </w:rPr>
      </w:pPr>
    </w:p>
    <w:p w14:paraId="0969528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CF89720">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B07A1D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国家中长期教育改革和发展规划纲要（2021-2035年）》及新疆维吾尔自治区《关于进一步完善城乡义务教育经费保障机制的通知》要求，呼图壁县第五中学作为城乡接合部重点学校，近三年在校生规模增长15%但公用经费仅增长8%，现有教学设施老化率达40%、信息化设备缺口达35%，严重制约课程改革与优质资源共享。本项目的实施通过统筹城乡义务教育经费配置，重点解决硬件更新滞后与教育数字化转型需求间的矛盾，预计可使教学设施达标率提升至95%、信息化覆盖率提高至90%，同步将生均公用经费保障水平提升至区域平均标准，切实缩小城乡办学条件差距，推动县域内教育资源均衡配置，为落实“双减”政策和五育融合提供基础保障。助力全县义务教育优质均衡达标率提升至90%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（1）项目名称：2024年城乡义务教育补助经费（公用经费）项目（以下简称“该项目”或“项目”）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拟投入179.33（项目预算）万元用于保障日常教育教学活动的合理经费支出内容，例如教学材料购置（教材、教具、实验耗材等）；教师备课、教研活动、教学交流等费用；学校日常行政管理支出（办公用品、印刷费、通讯费等）；教师培训与专业发展教师参加各级教育培训、学术交流、继续教育等费用；学生活动、实验课程、文体活动、社会实践、安全教育等费用；学生体检、心理健康教育相关支出；学校设施维护、水电费、取暖费、校园绿化、小型维修维护费用；教学设备（如多媒体、实验器材）的日常维护；差旅费、交通费（如学生接送服务或教师家访）；图书资料更新、信息化设备购置（软件、网络服务等）。通过项目的实施，有效维持学校日常运转，改善办学条件，提高教育教学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实施主体：呼图壁县第五中学。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第五中学2024年城乡义务教育补助经费（公用经费）项目严格遵循《城乡义务教育补助经费管理办法》要求规范实施，2024年1月完成单位资质审核及专项资金申请，通过县级财政与教育部门联合评审后，资金拨付到位率达100%。项目实施过程中聚焦基础设施提质与教学保障优化，截至2024年12月累计完成水、电、暖等基础运维支出占比24%，办公耗材及印刷服务支出占比35%，校舍与信息化设备维修维护支出占比26%，委托专业机构开展教师培训等业务支出占比15%。通过系统性资金投入，全年新增节能供暖覆盖面积2300平方米、更新教学设备175套、完成教师能力培训116人次，直接保障了校舍安全达标率提升至100%、教学设备数字化覆盖率突破80%，超额完成年度绩效目标，为县域义务教育优质均衡发展做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呼图壁县第五中学是九年一贯制学校，全面贯彻党的教育方针，深入实施素质教育，全面推进基础教育课程改革，遵循“一切为了学生，为了学生一切，为了一切学生”的办学理念，办社会、家长满意的学校。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呼图壁县第五中学无下属预算单位，下设6个处室，分别是：教务处、德育处、总务处、安全科、办公室、财务室。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呼图壁县第五中学单位编制数135，实有人数167人，其中：在职119人，减少9人；退休48人，增加5人；离休0人，增加0人。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本项目预算安排总额为179.33万元，资金来源为当年财政拨款，其中：财政资金179.33万元，其他资金0万元，2024年实际收到预算资金179.33万元，预算资金到位率为</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176.50</w:t>
      </w:r>
      <w:r>
        <w:rPr>
          <w:rStyle w:val="18"/>
          <w:rFonts w:hint="eastAsia" w:ascii="楷体" w:hAnsi="楷体" w:eastAsia="楷体"/>
          <w:b w:val="0"/>
          <w:bCs w:val="0"/>
          <w:spacing w:val="-4"/>
          <w:sz w:val="32"/>
          <w:szCs w:val="32"/>
        </w:rPr>
        <w:t>万元，预算执行率98.42%。本项目资金主要用于支付办公费28.29万元，维修费42.64万元，培训费22.08万元，电费7.15万元、水费12.46万元，物业管理费7.6万元、邮电费4.99万元，专业材料费16.51万元，委托业务费12.59万元，其他商品和服务费22.19万元等。</w:t>
      </w:r>
    </w:p>
    <w:p w14:paraId="25D08CA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84D169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五中学2024年城乡义务教育补助经费（公用经费）项目以保障基础教育高质量发展为核心目标，通过科学配置资源全面满足2071名中小学生及126名教职工的教育教学需求，重点强化校园基础设施现代化升级、教学设备更新迭代以及教师专业能力提升，确保中小学入学率稳定保持100%且辍学率持续为零；项目致力于构建安全优质的教育环境，推动信息技术与课堂教学深度融合，优化师资队伍结构，助力学生全面发展，同时巩固义务教育均衡化成果，为区域教育公平与质量提升提供长效支撑，切实实现“保基本、促发展、强服务”的公益属性。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“中小学人数”指标，预期指标值为“&gt;=2071人”；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“教职工人数”指标，预期指标值为“&gt;=126人”；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“中小学生入学率”指标，预期指标值为“=100%”；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“学生辍学率”指标，预期指标值为“=0%”；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“补助资金发放到位及时率”指标，预期指标值为“=100%”；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“提高教师教育教学能力”指标，预期指标值为“良好”；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48D1A59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B2AEC9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1D4B8F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此次我单位根据《财政支出绩效评价管理暂行办法》（财预〔2020〕10号）文件要求实施评价工作，本次评价对象为2024年城乡义务教育补助经费（公用经费）项目，评价核心为项目资金、项目产出、项目效益。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(5)《城乡义务教育补助经费管理办法》（财教〔2021〕71号）：明确资金分配原则、使用范围及绩效管理要求，重点评价资金执行率、支出合规性及资源配置公平性。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(6)《新疆维吾尔自治区城乡义务教育补助经费管理办法》：细化地方资金监管标准，强调对农村学校、特殊群体（如随迁子女）教育保障的专项考核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(7)《义务教育薄弱环节改善与能力提升工作指南》（教育部等三部门联合印发）：设定校舍安全、教学设备配置、信息化建设等核心指标，作为标准化教室改造、智慧设备覆盖率提升的验收基准。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(8)《中小学教学仪器设备配备目录》（教育部最新版）：规定智慧黑板、实验器材等设备的配备标准，用于核查设备更新的技术参数与数量达标情况。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(9)《国家中长期教育改革和发展规划纲要（2021-2035年）》：要求“推动城乡义务教育优质均衡发展”，评价项目对缩小城乡教育差距、优化师生比（1:15）的贡献度。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(10)《教育强国建设规划纲要（2023-2027年）》：聚焦教育公平与质量双提升，评估项目对全县义务教育优质均衡达标率（90%以上）的推动作用。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(11)《关于全面实施预算绩效管理的意见》（中发〔2018〕34号）：构建“成本-效益”分析框架，考核资金使用效率、社会效益（如学生幸福感提升）及可持续性。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(12)《国家义务教育质量监测方案》（教育部2023年修订）：通过学生综合素质、教师教学能力等监测数据，验证项目对教育质量的长效影响。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(13)《新疆维吾尔自治区“十四五”教育事业发展规划》：提出“农村学校办学条件提质工程”，要求重点评价校舍安全达标率、教师培训覆盖率等区域特色指标。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(14)《自治区中小学教师培训经费管理办法》：规范教师专业发展支持体系的经费使用标准，评估培训转化率与教学能力提升效果。</w:t>
      </w:r>
    </w:p>
    <w:p w14:paraId="36E31AA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1A59C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以及公众评判法、满意度调查法对项目进行评价，旨在通过综合分析影响绩效目标实现、实施效果的内外部因素，从而评价本项目绩效。三级指标分析环节：总体采用比较分析法、定性评价法、综合评价法、满意度</w:t>
      </w:r>
      <w:bookmarkStart w:id="0" w:name="_GoBack"/>
      <w:bookmarkEnd w:id="0"/>
      <w:r>
        <w:rPr>
          <w:rStyle w:val="18"/>
          <w:rFonts w:hint="eastAsia" w:ascii="楷体" w:hAnsi="楷体" w:eastAsia="楷体"/>
          <w:b w:val="0"/>
          <w:bCs w:val="0"/>
          <w:spacing w:val="-4"/>
          <w:sz w:val="32"/>
          <w:szCs w:val="32"/>
        </w:rPr>
        <w:t>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（1）比较分析法。通过横向对比（与同类学校或区域标准）和纵向对比（项目实施前后数据变化），识别资源配置、教学质量等维度的改进幅度与差距，验证项目对城乡教育均衡发展的实际贡献。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定性评价法。通过非数值化的描述性分析（如教育公平感知度、校园文化氛围提升）评估项目的社会效益与隐性价值，依赖访谈记录、问卷调查等主观反馈，揭示政策落地的综合影响。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（3）综合评价法。整合定量与定性数据、短期成果与长期效益，构建多维度权重指标体系（如资金效率30%、质量达标40%、社会满意度30%），通过加权计算得出项目整体绩效等级，实现全面评估。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 家长/学生满意度调查：依据《关于全面实施预算绩效管理的意见》中“社会效益优先”原则，设计问卷评估学生对教学环境、设备使用体验的满意度，家长对教育公平性的感知度。教师/管理者访谈：通过半结构化访谈，收集教师对设备实用性、培训实效性的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737D8F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3EF2AC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韩静（评价小组组长）：主要负责项目策划和监督，全面负责项目绩效评价办稿的最终质量，对评估人员出具的最终报告质量进行复核，确保评估结果的客观性；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侯庆勇（评价小组组员）：主要负责资料的收集，取证、数据统计分析；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许新红（评价小组组员）：主要负责主要负责项目报告的制定，指标的研判，数据分析及报告撰写。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全校师生。我们根据绩效评价目标和绩效指标体系，设计满意度调查问卷进行问卷调查，其中学生受益对象共选取样本30人，共发放问卷30份，最终收回30份；教师受益对象共选取样本34人，共发放问卷34份，最终收回34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C1D064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719B0F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更新标准化教室30%、更新了智慧教学设备覆盖90%、同步提升了教师专业发展支持体系，师生比优化接近1:15的国家标准，确保了农村与城镇学生共享优质教育资源，助力全县义务教育优质均衡达标率提升至90%以上产出目标，发挥了提高教师教育教学能力的社会效益。但在实施过程中也存在一些不足：一是智慧教学设备应用效能未充分释放，部分教师因信息技术融合能力不足或培训针对性不强，未能将设备功能深度融入课堂教学，影响技术赋能教育的预期效果；二是师生比优化后的班级管理精细化水平有待提升，新增教师岗位虽缓解了编制压力，但班级规模动态调整后，教师协同管理机制尚未健全，存在课堂纪律、差异化教学等新挑战；三是学生心理健康支持体系相对薄弱，项目虽聚焦硬件与教学资源均衡，但对留守儿童、随迁子女的心理疏导资源配置不足，制约幸福感全面提升；四是项目成果可持续性保障机制需完善，设备维护、师资迭代等长效投入缺乏明确规划，可能影响优质教育资源的持续供给。这些问题反映出资源配置“硬实力”与教育服务“软支撑”需进一步协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98.42%。最终评分结果：总分为99.05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过程管理类指标共设置5个，满分指标4个，得分率80.00%；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项目成本类指标共设置1个，满分指标0个，得分率0%；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27F375A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4F075E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4D33DE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关于保障适龄儿童平等接受义务教育的法定要求”，符合国家法律法规、国民经济发展规划和相关政策；本项目立项符合《国家中长期教育改革和发展规划纲要（2021-2035年）》提出的“推动城乡义务教育一体化发展”目标，响应了《关于深化教育教学改革全面提高义务教育质量的意见》中：“强化教育资源配置向农村地区倾斜”的部署”内容，符合行业发展规划和政策要求；本项目立项符合《新疆维吾尔自治区“十四五”教育事业发展规划配置内设机构和人员编制规定》中职责范围中的“优化农村学校办学条件”的核心任务，落实《教育强国建设规划纲要（2023-2027年）》关于“缩小城乡教育差距”的战略导向”，属于我单位履职所需；根据《财政资金直接支付申请书》，本项目资金性质为“公共财政预算”功能分类为“小学教育”和“初中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2024年中央城乡义务教育补助经费预算的通知》（【昌州财教】90号和95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179.33（项目预算）万元用于完成日常教育教学活动的合理经费支出内容，通过项目的实施，促进了学校日常运转的发展，完善教育教学，改善了办学水平”；本项目实际工作内容为：该项目实际完成179.33万元，保障了我校日常的办公费，电费，水费，邮电费，校舍零星维修，校园监控维修，打印机、计算机维修、清理校园垃圾，优化校园环境、购买A4纸、打印机硒鼓和碳粉等教育教学活动用品；绩效目标与实际工作内容一致，两者具有相关性;本项目预算申请资金179.33万元，预算确定资金量与实际工作任务相匹配。本项目按照绩效目标完成了数量指标、质量指标、时效指标、成本指标，有效保障了我校日常的办公费、电费，水费，邮电费，班班通维修，打印机、计算机维修、优化校园环境等教育教学活动用品。通过该项目的实施，提升了受补助学生的学期成绩，促进了教育教学，改善了家庭教育负担，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生均经费标准、校舍建设单价、设备采购指导价等政策参数得出，预算编制依托学校在校生规模（2071人）、校舍缺口面积、设备老化率等核心数据，结合师生比优化目标（1:15）和智慧设备覆盖率（90%）的量化要求，通过公式化测算（如教师增配数=学生总数/15-现有教师数），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编制严格遵循“政策有依据、需求有数据、成本有标准、风险有预案”的原则，保障了资金投向与教育公平目标的深度契合，又通过科学测算与多维度论证，避免了资金冗余或投入不足问题，为项目高质量实施提供了坚实的财务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城乡义务教育补助经费，项目实际内容为完成日常教育教学活动的合理经费支出内容，通过项目的实施，促进学校日常运转的发展，完善教育教学，改善办学水平，预算申请与《2024年城乡义务教育补助经费（公用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179.33万元，我单位在预算申请中严格按照分项成本进行核算，其中：集中支付办公费28.29万元，维修费42.64万元，电费7.15万元、水费12.46万元，物业管理费7.6万元、邮电费4.99万元，专业材料费16.51万元，委托业务费12.59万元，其他商品和服务费22.19万元等。单位标准为按《自治区中小学教师培训经费管理办法》，集中培训人均费用0.06万元/人次，数量为覆盖教师368人次，核算金额22.08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经费（公用经费）项目资金的请示》和《2024年城乡义务教育补助经费（公用经费）项目实施方案》为依据进行资金分配，预算资金分配依据充分。根据《2024年城乡义务教育补助经费（公用经费）项目资金下达文件》文件显示，本项目实际到位资金179.33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8C7A17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CDFB4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179.33万元，其中：本级财政安排资金179.33万元，其他资金0万元，实际到位资金179.33万元，资金到位率=（实际到位资金/预算资金）×100.00%=（179.33/179.33）*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176.50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176.50</w:t>
      </w:r>
      <w:r>
        <w:rPr>
          <w:rStyle w:val="18"/>
          <w:rFonts w:hint="eastAsia" w:ascii="楷体" w:hAnsi="楷体" w:eastAsia="楷体"/>
          <w:b w:val="0"/>
          <w:bCs w:val="0"/>
          <w:spacing w:val="-4"/>
          <w:sz w:val="32"/>
          <w:szCs w:val="32"/>
        </w:rPr>
        <w:t>/179.33）*100.00%=98.42%。得分=预算执行率*分值=98.42%*5=4.92分。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综上所述，本指标满分为5.00分，根据评分标准得4.92分，本项目资金分配合理。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资金申请文件、发票等财务付款凭证，得出本项目资金支出符合国家财经法规、《政府会计制度》以及《呼图壁县第五中学单位资金管理办法》《2024年城乡义务教育补助经费（公用经费）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城乡义务教育补助经费（公用经费）项目资金管理办法》《2024年城乡义务教育补助经费（公用经费）项目收支业务管理制度》《2024年城乡义务教育补助经费（公用经费）项目政府采购业务管理制度》《2024年城乡义务教育补助经费（公用经费）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政府采购合同书、政府采购结算单、采购清单、验收单等资料齐全并及时进行了归档。项目资金支出严格按照自治区、地区、市以及本单位资金管理办法执行，项目启动实施后，为了加快本项目的实施，成立了2024年城乡义务教育补助经费（公用经费）项目工作领导小组，由党组书记王强任组长，负责项目的组织工作；韩静任副组长，负责项目的实施工作；组员包括：许新红和侯庆勇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71998E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4B4923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项目产出类指标由3个二级指标和5个三级指标构成，权重分20.0分，实际得分20.0分。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“中小学人数”指标：预期指标值为“&gt;=2071人”，实际完成指标值为“=2071人”，指标完成率为100.0%。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“教职工人数”指标：预期指标值为“&gt;=126人”，实际完成指标值为“=126人”，指标完成率为100.0%。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“中小学生入学率”指标：预期指标值为“=100%”，实际完成指标值为“=100%”，指标完成率为100%。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“学生辍学率”指标：预期指标值为“=0%”，实际完成指标值为“=0%”，指标完成率为100%。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“补助资金发放到位及时率”指标：预期指标值为“=100%”，实际完成指标值为“=100%”，指标完成率为=100%。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“项目成本控制率”指标：预期指标值为“=100%”，实际完成指标值为“=98.42%”，指标完成率为98.42%。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综上所述，本指标满分为10.0分，根据评分标准得9.6分。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8A6303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24BBB6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“提高教师教育教学能力”指标：预期指标值为“良好”，实际完成指标值为“达到预期指标”，指标完成率为100.0%。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14535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4B4CBE4">
      <w:pPr>
        <w:spacing w:line="540" w:lineRule="exact"/>
        <w:ind w:firstLine="567"/>
        <w:rPr>
          <w:rStyle w:val="18"/>
          <w:rFonts w:hint="eastAsia" w:ascii="楷体" w:hAnsi="楷体" w:eastAsia="楷体"/>
          <w:b w:val="0"/>
          <w:bCs w:val="0"/>
          <w:spacing w:val="-4"/>
          <w:sz w:val="32"/>
          <w:szCs w:val="32"/>
        </w:rPr>
      </w:pPr>
    </w:p>
    <w:p w14:paraId="490A529B">
      <w:pPr>
        <w:spacing w:line="540" w:lineRule="exact"/>
        <w:ind w:firstLine="567"/>
        <w:rPr>
          <w:rStyle w:val="18"/>
          <w:rFonts w:ascii="楷体" w:hAnsi="楷体" w:eastAsia="楷体"/>
          <w:spacing w:val="-4"/>
          <w:sz w:val="32"/>
          <w:szCs w:val="32"/>
        </w:rPr>
      </w:pPr>
    </w:p>
    <w:p w14:paraId="29F4EE6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05A407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经验。在项目组织层面，学校构建了“统筹协调、责任明晰”的推进机制。一是建立专项领导小组，由校级领导牵头统筹，明确教务、财务、后勤等部门的协同职责，形成跨部门联动的组织架构，确保项目目标与学校发展规划紧密衔接。二是注重需求导向，通过基层调研、师生座谈等方式精准把握城乡教育资源的差异化需求，科学制定经费分配方案，重点向农村薄弱环节倾斜。三是强化责任传导，将项目任务分解到岗、落实到人，通过定期例会、进度通报等方式压实责任链条，避免职责虚化或推诿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经验。项目管理过程中，学校坚持“过程可控、动态优化”的工作原则。一是实施全流程分段管理，将项目划分为前期规划、中期执行和后期评估三个阶段，明确各阶段关键节点和验收标准，确保项目按计划推进。二是建立动态调整机制，结合政策变化、突发需求或执行偏差，及时优化实施方案，例如针对农村学校信息化短板灵活调整设备采购优先级。三是引入内外协同监督机制，校内通过纪检、审计部门定期核查项目合规性，校外联合教育主管部门开展专项检查，形成“自查+他查”的双重约束，有效防范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经验。在资金管理方面，学校落实“规范高效、透明公开”的核心理念。一是严格执行“专款专用”原则，依据国家和自治区经费管理办法细化支出目录，明确教学业务、设备购置、校园维护等资金使用边界，杜绝挪用或超范围支出。二是构建分层审批流程，推行“预算编制-支出审核-报销归档”的闭环管理模式，确保每笔资金流向可追溯、责任可倒查。三是强化绩效导向，将资金分配与使用效益挂钩，例如优先支持能提升教学质量的教师培训项目，或惠及更多学生的公共设施改造工程，避免“重投入、轻效果”的倾向。四是主动接受社会监督，通过校园公示栏、家长委员会等渠道定期公开经费使用情况，增强资金管理的透明度和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问题一：资金使用效益的跟踪评价机制不完善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原因分析：项目偏重于资金拨付和支出合规性管理，对资金使用后实际效益（如教学条件改善、学生综合素质提升）的跟踪评估不足。绩效评价指标设计较为笼统，缺乏针对城乡教育差异化的量化考核标准。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问题二：项目执行过程中的风险防控力度不足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原因分析：资金使用流程中关键环节（如采购招标、合同签订）的监督机制不健全，存在廉政风险隐患。部分岗位人员对经费管理政策理解不深，导致执行偏差。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问题三：社会参与和监督渠道有限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原因分析：家长、社区等社会力量对项目实施的知情权和参与度不足，导致外部监督缺位。经费使用信息公开方式单一，公众反馈意见的收集与回应机制不完善。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问题四：项目长期可持续性规划不足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原因分析：项目设计与学校中长期发展规划（如教育信息化、特色课程建设）衔接不紧密，存在短期化倾向。缺乏对城乡教育资源整合的统筹考虑，部分投入未能形成长效支撑（如设备更新后维护资金缺位）。 </w:t>
      </w:r>
    </w:p>
    <w:p w14:paraId="183E27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256A28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问题一改进建议：构建“全周期”绩效管理体系，在项目执行后增设效益追踪环节（如年度教学成果分析、学生发展对比报告）。细化绩效指标，针对城乡学校分别设定评价维度（如农村学校重点考核设备利用率、城镇学校侧重课程创新覆盖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二改进建议：完善内控机制，针对高风险环节增设多级审核（如财务、纪检部门联合审查大额支出），并建立违规操作“负面清单”。定期开展经费管理专项培训，强化教职工对政策文件（如《城乡义务教育补助经费管理办法》）的掌握，提升合规意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三改进建议：拓宽信息公开渠道，通过学校官网、微信公众号等多平台公示经费分配及使用情况，并附通俗化解读。建立“家长监督员”制度，邀请家长代表参与项目执行关键环节（如设备采购验收、课后服务效果评估），增强社会协同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题四改进建议：将公用经费项目纳入学校五年发展规划，明确分阶段支持重点（如首年补硬件、次年强师资），确保资源投入的连贯性。建立“建设-维护-更新”一体化预算机制，在项目初期预留后续运维资金，避免因后续投入不足导致资源闲置。</w:t>
      </w:r>
    </w:p>
    <w:p w14:paraId="28FF6D9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5EBB95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35FA0EEE">
      <w:pPr>
        <w:spacing w:line="540" w:lineRule="exact"/>
        <w:ind w:firstLine="567"/>
        <w:rPr>
          <w:rStyle w:val="18"/>
          <w:rFonts w:ascii="仿宋" w:hAnsi="仿宋" w:eastAsia="仿宋"/>
          <w:b w:val="0"/>
          <w:spacing w:val="-4"/>
          <w:sz w:val="32"/>
          <w:szCs w:val="32"/>
        </w:rPr>
      </w:pPr>
    </w:p>
    <w:p w14:paraId="3064E246">
      <w:pPr>
        <w:spacing w:line="540" w:lineRule="exact"/>
        <w:ind w:firstLine="567"/>
        <w:rPr>
          <w:rStyle w:val="18"/>
          <w:rFonts w:ascii="仿宋" w:hAnsi="仿宋" w:eastAsia="仿宋"/>
          <w:b w:val="0"/>
          <w:spacing w:val="-4"/>
          <w:sz w:val="32"/>
          <w:szCs w:val="32"/>
        </w:rPr>
      </w:pPr>
    </w:p>
    <w:p w14:paraId="43A2B7F2">
      <w:pPr>
        <w:spacing w:line="540" w:lineRule="exact"/>
        <w:ind w:firstLine="567"/>
        <w:rPr>
          <w:rStyle w:val="18"/>
          <w:rFonts w:ascii="仿宋" w:hAnsi="仿宋" w:eastAsia="仿宋"/>
          <w:b w:val="0"/>
          <w:spacing w:val="-4"/>
          <w:sz w:val="32"/>
          <w:szCs w:val="32"/>
        </w:rPr>
      </w:pPr>
    </w:p>
    <w:p w14:paraId="754A996C">
      <w:pPr>
        <w:spacing w:line="540" w:lineRule="exact"/>
        <w:ind w:firstLine="567"/>
        <w:rPr>
          <w:rStyle w:val="18"/>
          <w:rFonts w:ascii="仿宋" w:hAnsi="仿宋" w:eastAsia="仿宋"/>
          <w:b w:val="0"/>
          <w:spacing w:val="-4"/>
          <w:sz w:val="32"/>
          <w:szCs w:val="32"/>
        </w:rPr>
      </w:pPr>
    </w:p>
    <w:p w14:paraId="54FBFAF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9E61FD6">
        <w:pPr>
          <w:pStyle w:val="12"/>
          <w:jc w:val="center"/>
        </w:pPr>
        <w:r>
          <w:fldChar w:fldCharType="begin"/>
        </w:r>
        <w:r>
          <w:instrText xml:space="preserve">PAGE   \* MERGEFORMAT</w:instrText>
        </w:r>
        <w:r>
          <w:fldChar w:fldCharType="separate"/>
        </w:r>
        <w:r>
          <w:rPr>
            <w:lang w:val="zh-CN"/>
          </w:rPr>
          <w:t>2</w:t>
        </w:r>
        <w:r>
          <w:fldChar w:fldCharType="end"/>
        </w:r>
      </w:p>
    </w:sdtContent>
  </w:sdt>
  <w:p w14:paraId="0D9E89B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16D7EE3"/>
    <w:rsid w:val="46AD611F"/>
    <w:rsid w:val="49CB7B91"/>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13057</Words>
  <Characters>13926</Characters>
  <Lines>4</Lines>
  <Paragraphs>1</Paragraphs>
  <TotalTime>15</TotalTime>
  <ScaleCrop>false</ScaleCrop>
  <LinksUpToDate>false</LinksUpToDate>
  <CharactersWithSpaces>13946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2025-09-22T08:14:43Z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