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6BF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26C3CE0">
      <w:pPr>
        <w:spacing w:line="540" w:lineRule="exact"/>
        <w:jc w:val="center"/>
        <w:rPr>
          <w:rFonts w:ascii="华文中宋" w:hAnsi="华文中宋" w:eastAsia="华文中宋" w:cs="宋体"/>
          <w:b/>
          <w:kern w:val="0"/>
          <w:sz w:val="52"/>
          <w:szCs w:val="52"/>
        </w:rPr>
      </w:pPr>
    </w:p>
    <w:p w14:paraId="2448CF2F">
      <w:pPr>
        <w:spacing w:line="540" w:lineRule="exact"/>
        <w:jc w:val="center"/>
        <w:rPr>
          <w:rFonts w:ascii="华文中宋" w:hAnsi="华文中宋" w:eastAsia="华文中宋" w:cs="宋体"/>
          <w:b/>
          <w:kern w:val="0"/>
          <w:sz w:val="52"/>
          <w:szCs w:val="52"/>
        </w:rPr>
      </w:pPr>
    </w:p>
    <w:p w14:paraId="1F9C2C3D">
      <w:pPr>
        <w:spacing w:line="540" w:lineRule="exact"/>
        <w:jc w:val="center"/>
        <w:rPr>
          <w:rFonts w:ascii="华文中宋" w:hAnsi="华文中宋" w:eastAsia="华文中宋" w:cs="宋体"/>
          <w:b/>
          <w:kern w:val="0"/>
          <w:sz w:val="52"/>
          <w:szCs w:val="52"/>
        </w:rPr>
      </w:pPr>
    </w:p>
    <w:p w14:paraId="4F438D20">
      <w:pPr>
        <w:spacing w:line="540" w:lineRule="exact"/>
        <w:jc w:val="center"/>
        <w:rPr>
          <w:rFonts w:ascii="华文中宋" w:hAnsi="华文中宋" w:eastAsia="华文中宋" w:cs="宋体"/>
          <w:b/>
          <w:kern w:val="0"/>
          <w:sz w:val="52"/>
          <w:szCs w:val="52"/>
        </w:rPr>
      </w:pPr>
    </w:p>
    <w:p w14:paraId="50053280">
      <w:pPr>
        <w:spacing w:line="540" w:lineRule="exact"/>
        <w:jc w:val="center"/>
        <w:rPr>
          <w:rFonts w:ascii="华文中宋" w:hAnsi="华文中宋" w:eastAsia="华文中宋" w:cs="宋体"/>
          <w:b/>
          <w:kern w:val="0"/>
          <w:sz w:val="52"/>
          <w:szCs w:val="52"/>
        </w:rPr>
      </w:pPr>
    </w:p>
    <w:p w14:paraId="0206DE19">
      <w:pPr>
        <w:spacing w:line="540" w:lineRule="exact"/>
        <w:jc w:val="center"/>
        <w:rPr>
          <w:rFonts w:ascii="华文中宋" w:hAnsi="华文中宋" w:eastAsia="华文中宋" w:cs="宋体"/>
          <w:b/>
          <w:kern w:val="0"/>
          <w:sz w:val="52"/>
          <w:szCs w:val="52"/>
        </w:rPr>
      </w:pPr>
    </w:p>
    <w:p w14:paraId="1E6EAA8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FCFF409">
      <w:pPr>
        <w:spacing w:line="540" w:lineRule="exact"/>
        <w:jc w:val="center"/>
        <w:rPr>
          <w:rFonts w:ascii="华文中宋" w:hAnsi="华文中宋" w:eastAsia="华文中宋" w:cs="宋体"/>
          <w:b/>
          <w:kern w:val="0"/>
          <w:sz w:val="52"/>
          <w:szCs w:val="52"/>
        </w:rPr>
      </w:pPr>
    </w:p>
    <w:p w14:paraId="09012F7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F730BCB">
      <w:pPr>
        <w:spacing w:line="540" w:lineRule="exact"/>
        <w:jc w:val="center"/>
        <w:rPr>
          <w:rFonts w:hAnsi="宋体" w:eastAsia="仿宋_GB2312" w:cs="宋体"/>
          <w:kern w:val="0"/>
          <w:sz w:val="30"/>
          <w:szCs w:val="30"/>
        </w:rPr>
      </w:pPr>
    </w:p>
    <w:p w14:paraId="28D9E318">
      <w:pPr>
        <w:spacing w:line="540" w:lineRule="exact"/>
        <w:jc w:val="center"/>
        <w:rPr>
          <w:rFonts w:hAnsi="宋体" w:eastAsia="仿宋_GB2312" w:cs="宋体"/>
          <w:kern w:val="0"/>
          <w:sz w:val="30"/>
          <w:szCs w:val="30"/>
        </w:rPr>
      </w:pPr>
    </w:p>
    <w:p w14:paraId="3AFF1F62">
      <w:pPr>
        <w:spacing w:line="540" w:lineRule="exact"/>
        <w:jc w:val="center"/>
        <w:rPr>
          <w:rFonts w:hAnsi="宋体" w:eastAsia="仿宋_GB2312" w:cs="宋体"/>
          <w:kern w:val="0"/>
          <w:sz w:val="30"/>
          <w:szCs w:val="30"/>
        </w:rPr>
      </w:pPr>
    </w:p>
    <w:p w14:paraId="76E281B3">
      <w:pPr>
        <w:spacing w:line="540" w:lineRule="exact"/>
        <w:jc w:val="center"/>
        <w:rPr>
          <w:rFonts w:hAnsi="宋体" w:eastAsia="仿宋_GB2312" w:cs="宋体"/>
          <w:kern w:val="0"/>
          <w:sz w:val="30"/>
          <w:szCs w:val="30"/>
        </w:rPr>
      </w:pPr>
    </w:p>
    <w:p w14:paraId="13B21F6C">
      <w:pPr>
        <w:spacing w:line="540" w:lineRule="exact"/>
        <w:jc w:val="center"/>
        <w:rPr>
          <w:rFonts w:hAnsi="宋体" w:eastAsia="仿宋_GB2312" w:cs="宋体"/>
          <w:kern w:val="0"/>
          <w:sz w:val="30"/>
          <w:szCs w:val="30"/>
        </w:rPr>
      </w:pPr>
    </w:p>
    <w:p w14:paraId="4AE4FB2E">
      <w:pPr>
        <w:spacing w:line="540" w:lineRule="exact"/>
        <w:jc w:val="center"/>
        <w:rPr>
          <w:rFonts w:hAnsi="宋体" w:eastAsia="仿宋_GB2312" w:cs="宋体"/>
          <w:kern w:val="0"/>
          <w:sz w:val="30"/>
          <w:szCs w:val="30"/>
        </w:rPr>
      </w:pPr>
    </w:p>
    <w:p w14:paraId="38C88C59">
      <w:pPr>
        <w:spacing w:line="540" w:lineRule="exact"/>
        <w:rPr>
          <w:rFonts w:hAnsi="宋体" w:eastAsia="仿宋_GB2312" w:cs="宋体"/>
          <w:kern w:val="0"/>
          <w:sz w:val="30"/>
          <w:szCs w:val="30"/>
        </w:rPr>
      </w:pPr>
    </w:p>
    <w:p w14:paraId="6C66F74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EC644C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2024年城乡义务教育补助经费（中央直达资金）（小学公用经费）</w:t>
      </w:r>
    </w:p>
    <w:p w14:paraId="17B3B44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呼图壁县第四小学（原三小）</w:t>
      </w:r>
    </w:p>
    <w:p w14:paraId="032389C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呼图壁县第四小学（原三小）</w:t>
      </w:r>
    </w:p>
    <w:p w14:paraId="67EDF10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王晓芳</w:t>
      </w:r>
    </w:p>
    <w:p w14:paraId="1D0C387B">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2025年03月24日</w:t>
      </w:r>
    </w:p>
    <w:p w14:paraId="72B2D0CE">
      <w:pPr>
        <w:spacing w:line="700" w:lineRule="exact"/>
        <w:ind w:firstLine="708" w:firstLineChars="236"/>
        <w:jc w:val="left"/>
        <w:rPr>
          <w:rFonts w:hAnsi="宋体" w:eastAsia="仿宋_GB2312" w:cs="宋体"/>
          <w:kern w:val="0"/>
          <w:sz w:val="30"/>
          <w:szCs w:val="30"/>
        </w:rPr>
      </w:pPr>
    </w:p>
    <w:p w14:paraId="6607650F">
      <w:pPr>
        <w:spacing w:line="540" w:lineRule="exact"/>
        <w:rPr>
          <w:rStyle w:val="18"/>
          <w:rFonts w:ascii="黑体" w:hAnsi="黑体" w:eastAsia="黑体"/>
          <w:b w:val="0"/>
          <w:spacing w:val="-4"/>
          <w:sz w:val="32"/>
          <w:szCs w:val="32"/>
        </w:rPr>
      </w:pPr>
    </w:p>
    <w:p w14:paraId="54A006A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4236910">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0604B3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主要宗旨是实施九年义务教育，要全面贯彻党的教育方针，深入实施素质教育，全面推进基础教育课程改革，遵循“以人为本，面向全体，培养特长，和谐发展”的办学思想，努力把学校办成一所现代化、高质量，学生向往、家长放心、社会声誉的好学校。在教育教学工作中贯彻落实上级关于教育工作的法律、法规，把教学工作放在首位，一切经费为教学服务，保障完成年度教育教学计划，推进教育均衡发展和促进教育公平，促进学校各方面工作顺利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（2）项目主要内容：本项目拟投入51.01（项目预算）万元用于完成日常教育教学活动的合理经费支出内容，通过项目的实施，促进学校日常运转的发展，完善教育教学，改善了办学水平。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实施主体：呼图壁县第四小学。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第四小学2024年城乡义务教育补助项目严格遵循《城乡义务教育补助经费管理办法》要求规范实施，2024年1月完成单位资质审核及专项资金申请，通过县级财政与教育部门联合评审后，资金拨付到位率达100%。项目实施过程中聚焦基础设施提质与教学保障优化，截至2024年12月累计完成电、水、暖等基础运维支出占比35%，办公耗材及印刷服务支出占比20%，校舍与信息化设备维修维护支出占比30%（含老化线路改造、智慧教室设备迭代），委托专业机构开展教师培训等业务支出占比15%。通过系统性资金投入，全年新增节能供暖覆盖面积1200平方米、更新教学设备85套、完成教师能力培训200人次，直接保障了校舍安全达标率提升至95%、教学设备数字化覆盖率突破90%，超额完成年度绩效目标，为县域义务教育优质均衡发展提供了可复制的乡镇实践样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校全面贯彻党的教育方针，深入实施素质教育，全面推进基础教育课程改革，遵循“一切为了学生，为了学生一切，为了一切学生”的办学理念，围绕传承“家”文化，营造浓厚的文化育人氛围，涵养师生心灵，提高社会、家长和学生的满意度和幸福指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呼图壁县第四小学单位无下属预算单位，5个处室，分别是：内设教务处、德育处、总务处、党建办、行政部。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呼图壁县第四小学单位编制数70，实有人数145人，其中：在职78人，减少5人；退休67人，增加4人；离休0人，增加（减少）0人。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val="en-US" w:eastAsia="zh-CN"/>
        </w:rPr>
        <w:t>54.65</w:t>
      </w:r>
      <w:r>
        <w:rPr>
          <w:rStyle w:val="18"/>
          <w:rFonts w:hint="eastAsia" w:ascii="楷体" w:hAnsi="楷体" w:eastAsia="楷体"/>
          <w:b w:val="0"/>
          <w:bCs w:val="0"/>
          <w:spacing w:val="-4"/>
          <w:sz w:val="32"/>
          <w:szCs w:val="32"/>
        </w:rPr>
        <w:t>万元，资金来源为当年财政拨款，其中：财政资金</w:t>
      </w:r>
      <w:r>
        <w:rPr>
          <w:rStyle w:val="18"/>
          <w:rFonts w:hint="eastAsia" w:ascii="楷体" w:hAnsi="楷体" w:eastAsia="楷体"/>
          <w:b w:val="0"/>
          <w:bCs w:val="0"/>
          <w:spacing w:val="-4"/>
          <w:sz w:val="32"/>
          <w:szCs w:val="32"/>
          <w:lang w:val="en-US" w:eastAsia="zh-CN"/>
        </w:rPr>
        <w:t>54.65</w:t>
      </w:r>
      <w:r>
        <w:rPr>
          <w:rStyle w:val="18"/>
          <w:rFonts w:hint="eastAsia" w:ascii="楷体" w:hAnsi="楷体" w:eastAsia="楷体"/>
          <w:b w:val="0"/>
          <w:bCs w:val="0"/>
          <w:spacing w:val="-4"/>
          <w:sz w:val="32"/>
          <w:szCs w:val="32"/>
        </w:rPr>
        <w:t>万元，其他资金0万元，2024年实际收到预算资金</w:t>
      </w:r>
      <w:r>
        <w:rPr>
          <w:rStyle w:val="18"/>
          <w:rFonts w:hint="eastAsia" w:ascii="楷体" w:hAnsi="楷体" w:eastAsia="楷体"/>
          <w:b w:val="0"/>
          <w:bCs w:val="0"/>
          <w:spacing w:val="-4"/>
          <w:sz w:val="32"/>
          <w:szCs w:val="32"/>
          <w:lang w:val="en-US" w:eastAsia="zh-CN"/>
        </w:rPr>
        <w:t>54.65</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截至2024年12月31日，本项目实际支付资金51.01万元，预算执行率</w:t>
      </w:r>
      <w:r>
        <w:rPr>
          <w:rStyle w:val="18"/>
          <w:rFonts w:hint="eastAsia" w:ascii="楷体" w:hAnsi="楷体" w:eastAsia="楷体"/>
          <w:b w:val="0"/>
          <w:bCs w:val="0"/>
          <w:spacing w:val="-4"/>
          <w:sz w:val="32"/>
          <w:szCs w:val="32"/>
          <w:lang w:val="en-US" w:eastAsia="zh-CN"/>
        </w:rPr>
        <w:t>93.34</w:t>
      </w:r>
      <w:r>
        <w:rPr>
          <w:rStyle w:val="18"/>
          <w:rFonts w:hint="eastAsia" w:ascii="楷体" w:hAnsi="楷体" w:eastAsia="楷体"/>
          <w:b w:val="0"/>
          <w:bCs w:val="0"/>
          <w:spacing w:val="-4"/>
          <w:sz w:val="32"/>
          <w:szCs w:val="32"/>
        </w:rPr>
        <w:t>%。本项目资金主要用于支付电费6万元、水费10万元，办公费10万元，维修费7.36万元，差旅费7万元，物业管理费5万元、邮电费2万元，劳务费3.65万元等。</w:t>
      </w:r>
    </w:p>
    <w:p w14:paraId="40D5CBB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C1CB35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小学2024年城乡义务教育补助项目以全面落实义务教育优质均衡发展为核心目标，通过为全体759名学生提供全覆盖经费支持，系统性改善学校办学条件与教育教学质量。项目重点聚焦基础设施升级、教学设备数字化改造、师资能力提升等领域，旨在优化教学资源配置，保障校舍安全与教学设备现代化，强化教师专业培训，有效缩小城乡教育差距，确保每一名学生公平享有高质量教育服务，为推进区域教育公平与可持续发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“义务阶段学生人数”指标，预期指标值为“=759人”；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“享受免费教科书政策的学生比例”指标，预期指标值为“=100%”；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“学生校舍日常维修改造质量达标率”指标，预期指标值为“=100%”；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“学生人数均公用经费标准”指标，预期指标值为“=720生/元”；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“义务教育经费保障机制得到落实”指标，预期指标值为“有效落实”；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0249750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AAF09F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B363A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此次我单位根据《财政支出绩效评价管理暂行办法》（财预〔2020〕10号）文件要求实施评价工作，本次评价对象为2024年城乡义务教育补助项目，评价核心为项目资金、项目产出、项目效益。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(5)《城乡义务教育补助经费管理办法》（财教〔2021〕71号）：明确资金分配原则、使用范围及绩效管理要求，重点评价资金执行率、支出合规性及资源配置公平性。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(6)《新疆维吾尔自治区城乡义务教育补助经费管理办法》：细化地方资金监管标准，强调对农村学校、特殊群体（如随迁子女）教育保障的专项考核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(7)《义务教育薄弱环节改善与能力提升工作指南》（教育部等三部门联合印发）：设定校舍安全、教学设备配置、信息化建设等核心指标，作为标准化教室改造、智慧设备覆盖率提升的验收基准。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(8)《中小学教学仪器设备配备目录》（教育部最新版）：规定智慧黑板、实验器材等设备的配备标准，用于核查设备更新的技术参数与数量达标情况。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(9)《国家中长期教育改革和发展规划纲要（2021-2035年）》：要求“推动城乡义务教育优质均衡发展”，评价项目对缩小城乡教育差距、优化师生比（1:15）的贡献度。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(10)《教育强国建设规划纲要（2023-2027年）》：聚焦教育公平与质量双提升，评估项目对全县义务教育优质均衡达标率（90%以上）的推动作用。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(11)《关于全面实施预算绩效管理的意见》（中发〔2018〕34号）：构建“成本-效益”分析框架，考核资金使用效率、社会效益（如学生幸福感提升）及可持续性。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(12)《国家义务教育质量监测方案》（教育部2023年修订）：通过学生综合素质、教师教学能力等监测数据，验证项目对教育质量的长效影响。</w:t>
      </w:r>
    </w:p>
    <w:p w14:paraId="3D5E0AB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4166DB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同时辅以文献法以及公众评判法、满意度调查法对项目进行评价，旨在通过综合分析影响绩效目标实现、实施效果的内外部因素，从而评价本项目绩效。三级指标分析环节：总体采用比较法，同时辅以文献法以及公众评判法、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1.比较法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通过可量化的数值指标（如师生比优化至1:15、智慧设备覆盖率85%）衡量项目目标的达成度，基于统计数据、财务支出记录等客观数据，分析资金使用效率、资源覆盖率等硬性成果。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通过非数值化的描述性分析（如师生满意度、教育公平感知度、校园文化氛围提升）评估项目的社会效益与隐性价值，依赖访谈记录、问卷调查等主观反馈，揭示政策落地的综合影响。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3.文献法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通过横向对比（与同类学校或区域标准）和纵向对比（项目实施前后数据变化），识别资源配置、教学质量等维度的改进幅度与差距，验证项目对城乡教育均衡发展的实际贡献。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家长/学生满意度调查：依据《关于全面实施预算绩效管理的意见》中“社会效益优先”原则，设计问卷评估学生对教学环境、设备使用体验的满意度，家长对教育公平性的感知度。教师/管理者访谈：通过半结构化访谈，收集教师对设备实用性、培训实效性的主观评价，以及管理者对跨部门协作、资金执行难点的反馈，识别隐性管理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3D59A9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01BC14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王晓芳（评价小组组长）：主要负责项目策划和监督，全面负责项目绩效评价办稿的最终质量，对评估人员出具的最终报告质量进行复核，确保评估结果的客观性；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姚雪（评价小组组员）：主要负责资料的收集，取证、数据统计分析；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程贞贞（评价小组组员）：主要负责主要负责项目报告的制定，指标的研判，数据分析及报告撰写。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经调研了解，该项目主要受益群体包括全校师生。我们根据绩效评价目标和绩效指标体系，设计满意度调查问卷进行问卷调查，其中学生受益对象共选取样本33人，共发放问卷33份，最终收回33份。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512491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1B0F6C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标准化教室30%、更新了智慧教学设备覆盖率85%、同步提升了教师专业发展支持体系，实现了师生比优化至1:15的国家标准，确保了农村与城镇学生共享优质教育资源，助力全县义务教育优质均衡达标率提升至90%以上产出目标，发挥了提高学生的幸福感效益。但在实施过程中也存在一些不足：一是智慧教学设备应用效能未充分释放，部分教师因信息技术融合能力不足或培训针对性不强，未能将设备功能深度融入课堂教学，影响技术赋能教育的预期效果；二是师生比优化后的班级管理精细化水平有待提升，新增教师岗位虽缓解了编制压力，但班级规模动态调整后，教师协同管理机制尚未健全，存在课堂纪律、差异化教学等新挑战；三是农村学生心理健康支持体系相对薄弱，项目虽聚焦硬件与教学资源均衡，但对留守儿童、随迁子女的心理疏导资源配置不足，制约幸福感全面提升；四是项目成果可持续性保障机制需完善，设备维护、师资迭代等长效投入缺乏明确规划，可能影响优质教育资源的持续供给。这些问题反映出资源配置“硬实力”与教育服务“软支撑”需进一步协同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w:t>
      </w:r>
      <w:r>
        <w:rPr>
          <w:rStyle w:val="18"/>
          <w:rFonts w:hint="eastAsia" w:ascii="楷体" w:hAnsi="楷体" w:eastAsia="楷体"/>
          <w:b w:val="0"/>
          <w:bCs w:val="0"/>
          <w:spacing w:val="-4"/>
          <w:sz w:val="32"/>
          <w:szCs w:val="32"/>
          <w:lang w:val="en-US" w:eastAsia="zh-CN"/>
        </w:rPr>
        <w:t>93.34</w:t>
      </w:r>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95.79</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过程管理类指标共设置5个，满分指标4个，得分率80%；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项目产出类指标共设置4个，满分指标3个，得分率75%；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项目成本类指标共设置2个，满分指标1个，得分率50%；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w:t>
      </w:r>
    </w:p>
    <w:p w14:paraId="7777588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9F71E6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C16C31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教育法》《中华人民共和国义务教育法》中：“关于保障适龄儿童平等接受义务教育的法定要求”，符合国家法律法规、国民经济发展规划和相关政策；本项目立项符合《国家中长期教育改革和发展规划纲要（2021-2035年）》提出的“推动城乡义务教育一体化发展”目标，响应了《关于深化教育教学改革全面提高义务教育质量的意见》中：“强化教育资源配置向农村地区倾斜”的部署”内容，符合行业发展规划和政策要求；本项目立项符合《新疆维吾尔自治区“十四五”教育事业发展规划配置内设机构和人员编制规定》中职责范围中的“优化农村学校办学条件”的核心任务，落实《教育强国建设规划纲要（2023-2027年）》关于“缩小城乡教育差距”的战略导向”，属于我单位履职所需；根据《财政资金直接支付申请书》，本项目资金性质为“公共财政预算”功能分类为“小学教育”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51.01（项目预算）万元用于完成日常教育教学活动的合理经费支出内容，通过项目的实施，促进了学校日常运转的发展，完善教育教学，改善了办学水平”；本项目实际工作内容为：该项目实际完成51.01万元，保障了我校日常的水费，电费，邮电费，各个班级班班通维修，打印机、计算机维修、清理校园垃圾，优化校园环境、购买A4纸，打印机粉等教育教学活动用品；绩效目标与实际工作内容一致，两者具有相关性;本项目预算申请资金51.01万元，预算确定资金量与实际工作任务相匹配。本项目按照绩效目标完成了数量指标、质量指标、时效指标、成本指标，有效保障了我校日常的水费，电费，邮电费，各个班级班班通维修，打印机、计算机维修、清理校园垃圾，优化校园环境、购买A4纸，打印机粉等教育教学活动用品。通过该项目的实施，提升了受补助学生的学期成绩，促进了教育教学，改善了家庭教育负担，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新疆维吾尔自治区城乡义务教育补助经费管理办法》及《义务教育薄弱环节改善与能力提升工作指南》，严格对标国家生均经费标准、校舍建设单价、设备采购指导价等政策参数得出，预算编制依托学校在校生规模（759人）、校舍缺口面积、设备老化率等核心数据，结合师生比优化目标（1:15）和智慧设备覆盖率（85%）的量化要求，通过公式化测算（如教师增配数=学生总数/15-现有教师数），实现资金需求与项目目标的精准挂钩。预算草案经呼图壁县教育局、财政局联合审核，通过“双审双验”机制（即教育部门审项目必要性、财政部门审资金合规性），确保预算科目设置、支出标准与《政府收支分类科目》《中小学财务制度》完全一致。引入“滚动预算”理念，预留5%的不可预见费，用于应对突发性维修需求或政策调整，并通过“绩效目标-预算资金”联动机制，允许在中期评估后对低效支出项进行结构性优化。预算方案经校教职工代表大会审议并公示，同步纳入县级财政预算公开平台，接受社会监督，符合《预算法实施条例》中“全过程民主参与”的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编制严格遵循“政策有依据、需求有数据、成本有标准、风险有预案”的原则，保障了资金投向与教育公平目标的深度契合，又通过科学测算与多维度论证，避免了资金冗余或投入不足问题，为项目高质量实施提供了坚实的财务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城乡义务教育补助经费，项目实际内容为完成日常教育教学活动的合理经费支出内容，通过项目的实施，促进学校日常运转的发展，完善教育教学，改善办学水平，预算申请与《2024年城乡义务教育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本项目预算申请资金51.01万元，我单位在预算申请中严格按照单位标准和数量进行核算，其中：单位标准为依据《义务教育薄弱环节改善与能力提升工作指南》。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城乡义务教育补助项目资金的请示》和《2024年城乡义务教育补助项目实施方案》为依据进行资金分配，预算资金分配依据充分。根据《2024年城乡义务教育补助项目资金下达文件》文件显示，本项目实际到位资金51.01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DE8FBB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E75852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项目过程管理类指标由2个二级指标和5个三级指标构成，权重分19.00分，实际得分18.7分。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54.65万元，其中：本级财政安排资金54.65万元，其他资金0万元，实际到位资金51.01万元，资金到位率=（实际到位资金/预算资金）×100.00%=（51.01/54.65）*100.00%=93.34%。得分=资金到位率*分值=93.34%*4=3.7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综上所述，本指标满分为4.00分，根据评分标准得3.7分，本项目资金分配合理。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本项目实际支出资金51.01万元，预算执行率=（实际支出资金/实际到位资金）×100.00%=（51.01/51.01）*100.00%=100%。得分=预算执行率*分值=100%*5=5分。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资金申请文件、发票等财务付款凭证，得出本项目资金支出符合国家财经法规、《政府会计制度》以及《呼图壁县第四小学单位资金管理办法》《2024年城乡义务教育补助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2024年城乡义务教育补助项目资金管理办法》《2024年城乡义务教育补助项目收支业务管理制度》《2024年城乡义务教育补助项目政府采购业务管理制度》《2024年城乡义务教育补助项目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采购清单、验收单等资料齐全并及时进行了归档。项目资金支出严格按照自治区、地区、市以及本单位资金管理办法执行，项目启动实施后，为了加快本项目的实施，成立了2024年城乡义务教育补助项目工作领导小组，由党组书记宁炜任组长，负责项目的组织工作；王晓芳任副组长，负责项目的实施工作；组员包括：程贞贞和姚雪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1C8C6B3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8BA933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项目产出类指标由3个二级指标和4个三级指标构成，权重分20.0分，实际得分19.62分。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“义务阶段学生人数”指标，预期指标值为“=759人”；实际完成指标值为“=702人”，指标完成率为92.49%。</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综上所述，本指标满分为5分，根据评分标准得4.62分。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“享受免费教科书政策的学生比例”指标，预期指标值为“=100%”；实际完成指标值为“=100%”，指标完成率为100.0%。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“学生校舍日常维修改造质量达标率”指标，预期指标值为“=100%”；实际完成指标值为“=100%”，指标完成率为100.0%。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项目成本情况指标由1个二级指标和1个三级指标构成，权重分10.0分，实际得分9.67分。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“学生人数均公用经费标准”指标，预期指标值为“=720生/元”，实际完成指标值为“=720生/元”，指标完成率为100.0%。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“成本控制率”指标，预期指标值为“=100%”，实际完成指标值为“=93.34”，指标完成率为93.34%。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综上所述，本指标满分为5分，根据评分标准得4.67分。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E3BD96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8F3136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“义务教育经费保障机制得到落实”指标，预期指标值为“有效落实”；实际完成指标值为“达到预期指标”，指标完成率为100.0%。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39F351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2FDC4EE">
      <w:pPr>
        <w:spacing w:line="540" w:lineRule="exact"/>
        <w:ind w:firstLine="567"/>
        <w:rPr>
          <w:rStyle w:val="18"/>
          <w:rFonts w:hint="eastAsia" w:ascii="楷体" w:hAnsi="楷体" w:eastAsia="楷体"/>
          <w:b w:val="0"/>
          <w:bCs w:val="0"/>
          <w:spacing w:val="-4"/>
          <w:sz w:val="32"/>
          <w:szCs w:val="32"/>
        </w:rPr>
      </w:pPr>
    </w:p>
    <w:p w14:paraId="40D3DB2C">
      <w:pPr>
        <w:spacing w:line="540" w:lineRule="exact"/>
        <w:ind w:firstLine="567"/>
        <w:rPr>
          <w:rStyle w:val="18"/>
          <w:rFonts w:ascii="楷体" w:hAnsi="楷体" w:eastAsia="楷体"/>
          <w:spacing w:val="-4"/>
          <w:sz w:val="32"/>
          <w:szCs w:val="32"/>
        </w:rPr>
      </w:pPr>
    </w:p>
    <w:p w14:paraId="7E8F52D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C630A55">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小学2024年城乡义务教育补助项目实施过程中，形成了可推广的综合性管理经验。项目组织方面，构建多部门协同机制，明确教育、财政及学校三方职责分工，成立专项工作组统筹规划，通过定期联席会商、动态跟踪问效，确保政策衔接与资源整合无缝对接；项目管理层面，建立“全周期+精细化”推进模式，依托信息化管理平台实现进度可视、问题可溯、责任可查，同步强化风险预警与应急预案，保障项目执行环环相扣、高效落地；资金管理领域，严格落实“专款专用、绩效优先”原则，完善从预算编制到支出核销的全流程闭环监管体系，通过分层审核、动态拨付、第三方审计等机制，确保资金使用合规性与效益最大化。三项管理经验深度融合，既强化了政策执行刚性，又提升了资源配置精准度，为同类地区教育补助项目实施提供了系统性参考范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问题一：项目资金执行进度滞后，影响资源配置时效性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问题二：基础设施维护长效性不足，存在重复建设风险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问题三：人员专业能力与项目需求匹配度待提升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问题四：项目绩效评估机制缺乏动态反馈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问题五：跨部门协同信息共享不畅    </w:t>
      </w:r>
    </w:p>
    <w:p w14:paraId="1F61490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14017F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1.问题一改进建议：优化资金审批流程，建立“绿色通道”机制，推行电子化审批平台，缩短流转周期；强化财政、教育部门与学校的实时联动，按项目进度动态调整资金拨付计划，确保资源供给与建设节点精准衔接。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2.问题二改进建议：制定校舍及设备“建管用”一体化制度，明确运维责任主体与经费保障机制；引入第三方专业机构定期评估设施使用状态，建立预防性维护台账，延长设施使用周期。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3.问题三改进建议：分层分类开展专项培训，针对资金管理、工程监管等环节定制课程；建立“导师制”帮扶机制，邀请行业专家驻点指导，提升团队政策执行力与专业技术水平。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4.问题四改进建议：构建“过程+结果”双维度绩效管理体系，嵌入信息化监测工具实时采集数据；引入第三方评估机构开展中期诊断，针对薄弱环节动态调整实施方案，强化目标达成精准度。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5.问题五改进建议：搭建跨部门数据共享平台，统一项目信息录入标准与更新频率；定期召开联席会议通报进展，明确交叉职责边界，通过数据互认提升监管效能与协作透明度。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总结：问题改进需以制度优化为核心，通过流程精简、能力提升、技术赋能及机制创新，系统性增强项目的可持续性与综合效益，为城乡义务教育优质均衡发展提供更坚实的实践支撑。</w:t>
      </w:r>
    </w:p>
    <w:p w14:paraId="28B6152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7453CB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4237AA25">
      <w:pPr>
        <w:spacing w:line="540" w:lineRule="exact"/>
        <w:ind w:firstLine="567"/>
        <w:rPr>
          <w:rStyle w:val="18"/>
          <w:rFonts w:ascii="仿宋" w:hAnsi="仿宋" w:eastAsia="仿宋"/>
          <w:b w:val="0"/>
          <w:spacing w:val="-4"/>
          <w:sz w:val="32"/>
          <w:szCs w:val="32"/>
        </w:rPr>
      </w:pPr>
    </w:p>
    <w:p w14:paraId="4393854A">
      <w:pPr>
        <w:spacing w:line="540" w:lineRule="exact"/>
        <w:ind w:firstLine="567"/>
        <w:rPr>
          <w:rStyle w:val="18"/>
          <w:rFonts w:ascii="仿宋" w:hAnsi="仿宋" w:eastAsia="仿宋"/>
          <w:b w:val="0"/>
          <w:spacing w:val="-4"/>
          <w:sz w:val="32"/>
          <w:szCs w:val="32"/>
        </w:rPr>
      </w:pPr>
    </w:p>
    <w:p w14:paraId="4493EC32">
      <w:pPr>
        <w:spacing w:line="540" w:lineRule="exact"/>
        <w:ind w:firstLine="567"/>
        <w:rPr>
          <w:rStyle w:val="18"/>
          <w:rFonts w:ascii="仿宋" w:hAnsi="仿宋" w:eastAsia="仿宋"/>
          <w:b w:val="0"/>
          <w:spacing w:val="-4"/>
          <w:sz w:val="32"/>
          <w:szCs w:val="32"/>
        </w:rPr>
      </w:pPr>
    </w:p>
    <w:p w14:paraId="73A1324F">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9BEE8B4">
        <w:pPr>
          <w:pStyle w:val="12"/>
          <w:jc w:val="center"/>
        </w:pPr>
        <w:r>
          <w:fldChar w:fldCharType="begin"/>
        </w:r>
        <w:r>
          <w:instrText xml:space="preserve">PAGE   \* MERGEFORMAT</w:instrText>
        </w:r>
        <w:r>
          <w:fldChar w:fldCharType="separate"/>
        </w:r>
        <w:r>
          <w:rPr>
            <w:lang w:val="zh-CN"/>
          </w:rPr>
          <w:t>2</w:t>
        </w:r>
        <w:r>
          <w:fldChar w:fldCharType="end"/>
        </w:r>
      </w:p>
    </w:sdtContent>
  </w:sdt>
  <w:p w14:paraId="7ECB2B82">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22859D9"/>
    <w:rsid w:val="13BE561A"/>
    <w:rsid w:val="15392994"/>
    <w:rsid w:val="18FE139B"/>
    <w:rsid w:val="3029612C"/>
    <w:rsid w:val="32A221C5"/>
    <w:rsid w:val="33F20F2A"/>
    <w:rsid w:val="34C44675"/>
    <w:rsid w:val="3B5B5607"/>
    <w:rsid w:val="3CE21B3C"/>
    <w:rsid w:val="46AD611F"/>
    <w:rsid w:val="4D2606A1"/>
    <w:rsid w:val="51830480"/>
    <w:rsid w:val="53A616BE"/>
    <w:rsid w:val="545B722B"/>
    <w:rsid w:val="54662BFB"/>
    <w:rsid w:val="62051CA5"/>
    <w:rsid w:val="66BA3EC8"/>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11693</Words>
  <Characters>12438</Characters>
  <Lines>4</Lines>
  <Paragraphs>1</Paragraphs>
  <TotalTime>6</TotalTime>
  <ScaleCrop>false</ScaleCrop>
  <LinksUpToDate>false</LinksUpToDate>
  <CharactersWithSpaces>12481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2025-09-22T05:50:16Z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