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E010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A66EBC9">
      <w:pPr>
        <w:spacing w:line="540" w:lineRule="exact"/>
        <w:jc w:val="center"/>
        <w:rPr>
          <w:rFonts w:ascii="华文中宋" w:hAnsi="华文中宋" w:eastAsia="华文中宋" w:cs="宋体"/>
          <w:b/>
          <w:kern w:val="0"/>
          <w:sz w:val="52"/>
          <w:szCs w:val="52"/>
        </w:rPr>
      </w:pPr>
    </w:p>
    <w:p w14:paraId="14B3FA61">
      <w:pPr>
        <w:spacing w:line="540" w:lineRule="exact"/>
        <w:jc w:val="center"/>
        <w:rPr>
          <w:rFonts w:ascii="华文中宋" w:hAnsi="华文中宋" w:eastAsia="华文中宋" w:cs="宋体"/>
          <w:b/>
          <w:kern w:val="0"/>
          <w:sz w:val="52"/>
          <w:szCs w:val="52"/>
        </w:rPr>
      </w:pPr>
    </w:p>
    <w:p w14:paraId="1CDB6B45">
      <w:pPr>
        <w:spacing w:line="540" w:lineRule="exact"/>
        <w:jc w:val="center"/>
        <w:rPr>
          <w:rFonts w:ascii="华文中宋" w:hAnsi="华文中宋" w:eastAsia="华文中宋" w:cs="宋体"/>
          <w:b/>
          <w:kern w:val="0"/>
          <w:sz w:val="52"/>
          <w:szCs w:val="52"/>
        </w:rPr>
      </w:pPr>
    </w:p>
    <w:p w14:paraId="6E06877C">
      <w:pPr>
        <w:spacing w:line="540" w:lineRule="exact"/>
        <w:jc w:val="center"/>
        <w:rPr>
          <w:rFonts w:ascii="华文中宋" w:hAnsi="华文中宋" w:eastAsia="华文中宋" w:cs="宋体"/>
          <w:b/>
          <w:kern w:val="0"/>
          <w:sz w:val="52"/>
          <w:szCs w:val="52"/>
        </w:rPr>
      </w:pPr>
    </w:p>
    <w:p w14:paraId="398CADF8">
      <w:pPr>
        <w:spacing w:line="540" w:lineRule="exact"/>
        <w:jc w:val="center"/>
        <w:rPr>
          <w:rFonts w:ascii="华文中宋" w:hAnsi="华文中宋" w:eastAsia="华文中宋" w:cs="宋体"/>
          <w:b/>
          <w:kern w:val="0"/>
          <w:sz w:val="52"/>
          <w:szCs w:val="52"/>
        </w:rPr>
      </w:pPr>
    </w:p>
    <w:p w14:paraId="10368055">
      <w:pPr>
        <w:spacing w:line="540" w:lineRule="exact"/>
        <w:jc w:val="center"/>
        <w:rPr>
          <w:rFonts w:ascii="华文中宋" w:hAnsi="华文中宋" w:eastAsia="华文中宋" w:cs="宋体"/>
          <w:b/>
          <w:kern w:val="0"/>
          <w:sz w:val="52"/>
          <w:szCs w:val="52"/>
        </w:rPr>
      </w:pPr>
    </w:p>
    <w:p w14:paraId="51FA43A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0F22776">
      <w:pPr>
        <w:spacing w:line="540" w:lineRule="exact"/>
        <w:jc w:val="center"/>
        <w:rPr>
          <w:rFonts w:ascii="华文中宋" w:hAnsi="华文中宋" w:eastAsia="华文中宋" w:cs="宋体"/>
          <w:b/>
          <w:kern w:val="0"/>
          <w:sz w:val="52"/>
          <w:szCs w:val="52"/>
        </w:rPr>
      </w:pPr>
    </w:p>
    <w:p w14:paraId="6D2F85E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C7E61B2">
      <w:pPr>
        <w:spacing w:line="540" w:lineRule="exact"/>
        <w:jc w:val="center"/>
        <w:rPr>
          <w:rFonts w:hAnsi="宋体" w:eastAsia="仿宋_GB2312" w:cs="宋体"/>
          <w:kern w:val="0"/>
          <w:sz w:val="30"/>
          <w:szCs w:val="30"/>
        </w:rPr>
      </w:pPr>
    </w:p>
    <w:p w14:paraId="0A809143">
      <w:pPr>
        <w:spacing w:line="540" w:lineRule="exact"/>
        <w:jc w:val="center"/>
        <w:rPr>
          <w:rFonts w:hAnsi="宋体" w:eastAsia="仿宋_GB2312" w:cs="宋体"/>
          <w:kern w:val="0"/>
          <w:sz w:val="30"/>
          <w:szCs w:val="30"/>
        </w:rPr>
      </w:pPr>
    </w:p>
    <w:p w14:paraId="492262D3">
      <w:pPr>
        <w:spacing w:line="540" w:lineRule="exact"/>
        <w:jc w:val="center"/>
        <w:rPr>
          <w:rFonts w:hAnsi="宋体" w:eastAsia="仿宋_GB2312" w:cs="宋体"/>
          <w:kern w:val="0"/>
          <w:sz w:val="30"/>
          <w:szCs w:val="30"/>
        </w:rPr>
      </w:pPr>
    </w:p>
    <w:p w14:paraId="6BDFDDDA">
      <w:pPr>
        <w:spacing w:line="540" w:lineRule="exact"/>
        <w:jc w:val="center"/>
        <w:rPr>
          <w:rFonts w:hAnsi="宋体" w:eastAsia="仿宋_GB2312" w:cs="宋体"/>
          <w:kern w:val="0"/>
          <w:sz w:val="30"/>
          <w:szCs w:val="30"/>
        </w:rPr>
      </w:pPr>
    </w:p>
    <w:p w14:paraId="4924FD41">
      <w:pPr>
        <w:spacing w:line="540" w:lineRule="exact"/>
        <w:jc w:val="center"/>
        <w:rPr>
          <w:rFonts w:hAnsi="宋体" w:eastAsia="仿宋_GB2312" w:cs="宋体"/>
          <w:kern w:val="0"/>
          <w:sz w:val="30"/>
          <w:szCs w:val="30"/>
        </w:rPr>
      </w:pPr>
    </w:p>
    <w:p w14:paraId="690A4816">
      <w:pPr>
        <w:spacing w:line="540" w:lineRule="exact"/>
        <w:jc w:val="center"/>
        <w:rPr>
          <w:rFonts w:hAnsi="宋体" w:eastAsia="仿宋_GB2312" w:cs="宋体"/>
          <w:kern w:val="0"/>
          <w:sz w:val="30"/>
          <w:szCs w:val="30"/>
        </w:rPr>
      </w:pPr>
    </w:p>
    <w:p w14:paraId="43DF461B">
      <w:pPr>
        <w:spacing w:line="540" w:lineRule="exact"/>
        <w:rPr>
          <w:rFonts w:hAnsi="宋体" w:eastAsia="仿宋_GB2312" w:cs="宋体"/>
          <w:kern w:val="0"/>
          <w:sz w:val="30"/>
          <w:szCs w:val="30"/>
        </w:rPr>
      </w:pPr>
    </w:p>
    <w:p w14:paraId="681BB0D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A7A927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退呼图壁县景化城市建设投资发展有限责任公司土地出让金项目</w:t>
      </w:r>
    </w:p>
    <w:p w14:paraId="2E3B9DA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呼图壁县自然资源局</w:t>
      </w:r>
    </w:p>
    <w:p w14:paraId="5C69066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呼图壁县自然资源局</w:t>
      </w:r>
    </w:p>
    <w:p w14:paraId="18C257A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何雪曼</w:t>
      </w:r>
    </w:p>
    <w:p w14:paraId="1AFA00F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2025年03月14日</w:t>
      </w:r>
    </w:p>
    <w:p w14:paraId="5A305296">
      <w:pPr>
        <w:spacing w:line="700" w:lineRule="exact"/>
        <w:ind w:firstLine="708" w:firstLineChars="236"/>
        <w:jc w:val="left"/>
        <w:rPr>
          <w:rFonts w:hAnsi="宋体" w:eastAsia="仿宋_GB2312" w:cs="宋体"/>
          <w:kern w:val="0"/>
          <w:sz w:val="30"/>
          <w:szCs w:val="30"/>
        </w:rPr>
      </w:pPr>
    </w:p>
    <w:p w14:paraId="06268B15">
      <w:pPr>
        <w:spacing w:line="540" w:lineRule="exact"/>
        <w:rPr>
          <w:rStyle w:val="18"/>
          <w:rFonts w:ascii="黑体" w:hAnsi="黑体" w:eastAsia="黑体"/>
          <w:b w:val="0"/>
          <w:spacing w:val="-4"/>
          <w:sz w:val="32"/>
          <w:szCs w:val="32"/>
        </w:rPr>
      </w:pPr>
    </w:p>
    <w:p w14:paraId="02CF1E3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FAAC55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F2437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该项目用地位于呼图壁县乌伊路北侧、沙舟路东侧、良种场路东侧。2017-2018年我公司通过公开挂牌方式拍得位于呼图壁县城镇范围内棚改土地（十宗地）地块土地使用权，并签订《</w:t>
      </w:r>
      <w:bookmarkStart w:id="0" w:name="_GoBack"/>
      <w:bookmarkEnd w:id="0"/>
      <w:r>
        <w:rPr>
          <w:rStyle w:val="18"/>
          <w:rFonts w:hint="eastAsia" w:ascii="楷体" w:hAnsi="楷体" w:eastAsia="楷体"/>
          <w:b w:val="0"/>
          <w:bCs w:val="0"/>
          <w:spacing w:val="-4"/>
          <w:sz w:val="32"/>
          <w:szCs w:val="32"/>
          <w:lang w:eastAsia="zh-CN"/>
        </w:rPr>
        <w:t>国有建设用地使用权</w:t>
      </w:r>
      <w:r>
        <w:rPr>
          <w:rStyle w:val="18"/>
          <w:rFonts w:hint="eastAsia" w:ascii="楷体" w:hAnsi="楷体" w:eastAsia="楷体"/>
          <w:b w:val="0"/>
          <w:bCs w:val="0"/>
          <w:spacing w:val="-4"/>
          <w:sz w:val="32"/>
          <w:szCs w:val="32"/>
        </w:rPr>
        <w:t>出让合同》，地块面积 14496平方米，用途为商业和住宅用地，出让年限为50年，出让价款21746万元，已交土地出让金10874万元，未交土地出让金10872万元。该地块应在2019年12月25日前开工，2022年12月24日前竣工,因景化城市建设投资发展有限责任公司土地不能开发利用、退还良种场小区西侧A-07-07地（HTB-2017077）、良种场小区西侧A-07-10地（HTB-2017078）2宗地，因沙舟路东侧、乌伊路北侧房屋未拆迁完毕，还不具备开发条件1宗地，土地出让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（1）项目名称：退呼图壁县景化城市建设投资发展有限责任公司土地出让金项目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良种场小区西侧A-07-07地（HTB-2017077）、良种场小区西侧A-07-10地（HTB-2017078）2宗地，面积46.48亩，因沙舟路东侧、乌伊路北侧房屋未拆迁完毕，还不具备开发条件1宗地，加之该地块较偏，开发难度较大,建议收回,退呼图壁县景化城市建设投资发展有限责任公司土地出让金1500万，于2024年12月31日前完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实施主体：呼图壁县景化城市建设投资发展有限责任公司。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实施时间：本项目实施周期为2024年01月15日-2024年11月15日。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2018年12月根据呼图壁县人民政府-呼县政函【2018】208号文，《关于同意收回3宗国有建设用地使用权的批复》由国土资源局收回3宗土地（良种场小区西侧A-07-07地（HTB-2017077）、良种场小区西侧A-07-10地（HTB-2017078）2宗地，因沙舟路东侧、乌伊路北侧房屋未拆迁完毕，还不具备开发条件1宗地。），该3宗土地我公司已累计缴纳土地出让金1500万元，我单位于2024年1月29日退还土地出让金1500万元至此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呼图壁县自然资源局是县人民政府工作单位，主要贯彻落实党中央关于自然资源工作的方针政策和决策部署，在履行职责过程中坚持和加强党对自然资源的集中统一领导。主要职责是：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（一）履行全民所有土地、矿产、等自然资源资产所有者职责和所有国土空间用途管制职责。贯彻执行自然资源、国土空间 规划、城乡规划和测绘等法律法规。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负责自然资源调查监测评价。贯彻落实自然资源调查监测评价的指标体系和统计标准,执行自然资源调查监测评价制度,实施自然资源基础调查、专项调查和监测。负责自然资源调查监测评价成果的监督管理和信息发布。贯彻落实各类自然资源和不动产统一确权登记、权籍调查、不动产测绘、争议调处、成 果应用的制度、标准、规范。建立健全自然资源和不动产登记信息管理基础平台。负责全县自然资源和不动产登记资料收集、整理、共享、汇交管理等。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负责自然资源资产有偿使用工作。贯彻执行全民所有自然资源资产统计制度,负责全县全民所有自然资源资产核算编制全县全民所有自然资源资产负债表,贯彻执行全民所有自然资源资产划拨、出让、租赁、作价出资和土地储备政策,合理配置全县全民所有自然资源资产。负责全县自然资源资产价值评估管理,依法收缴相关资产收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（四）负责自然资源的合理开发利用。研究拟订全县自然资源发展规划,按照自然资源开发利用标准组织实施,建立政府公 示自然资源价格体系,组织开展自然资源分等定级价格评估,指 导节约集约利用。负责全县自然资源市场监管。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建立空间规划体系并组织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制度。负责全县土地等国土空间用途转用工作。负责全县土地征收征用管理。组织编制全县总体规划、控制性详细规划、修建性详细规划并组织实施；编制县域乡村建设规划、乡规划、村庄规划;负责权限内选址意见书审批、上报工作;指导城镇地下空间开发利用的规划管理工作。负渍城乡规划审批实施、修改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（六）负责统筹国土空间生态修复。牵头组织编制全县国土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空间生态修复规划并实施有关生态修复重大工程负责全县国土空间综合整治、土地整理复垦、矿山地质环境恢复治理等工作。牵头拟订和实施全县生态保护补偿制度拟订合理利用社会资金进行生态修复的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（七）贯彻落实最严格的耕地保护制度。贯彻落实国家耕地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护政策并牵头拟订和实施全县有关政策,负责耕地数量、质量、生态保护。组织实施耕地保护责任目标考核和永久基本农田特殊保护。落实土地占补平衡制度和占用耕地补偿制度。负责管理全县地质勘查工作。负责对县域内实施的地质勘查工作进行监督检查。负责全县地质灾害预防和治理,监督管理地下水过量开采引发的地面沉降等地质问题。负责全县古生物化看的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矿产资源管理工作。负责全县矿产资源储量管理及压覆矿产资源审查。监督指导全县矿产资源合理利用和保护。负责地质资料汇交、保管和利用。承担全县保护性开采的特定矿种、优势矿产的调控及相关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（九）负责测绘地理信息管理工作。负责全县基础测绘和测绘行业管理。负责全县测绘资质资格与信用管理,监督管理全县地理信息安全和市场秩序。负责全县地理信息公共服务管理。负责全县测量标志保护。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（十）监督检查各乡镇执行和遵守自然资源法律法规的情况, 依法调查处理全县国土空间规划和自然资源违法案件。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呼图壁县自然资源局单位无下属预算单位，下设7个处室， 分别是：办公室（财务室）、地籍管理科（地理信息测绘）、建设用地岗（耕地保护）、土地利用规划科、地质矿产管理科、城 乡规划管理科、法规岗。呼图壁县自然资源局单位编制数48，实有人数71人，其中：在职48人，增加7人；退休23人，增加1人；离休0人，减少0人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本项目预算安排总额为1,500万元，资金来源为财政拨款，其中：财政资金1,500万元，2024年实际收到预算资金1,500万元，预算资金到位率为100.00%。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截至2024年12月31日，本项目实际支付资金1,500万元，预算执行率100%。本项目资金主要用于支付退还3个宗地数费用1500万元。</w:t>
      </w:r>
    </w:p>
    <w:p w14:paraId="3C7D813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184DF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退呼图壁县景化城市建设投资发展有限责任公司土地出让金项目1500万元用于退还土地出让金，主要建设(实施)内容为:退呼图壁县景化城市建设投资发展有限责任公司土地出让金项目，于2024年12月31日前完工，通过本项目的实施，满足企业用地的需要，促进经济的发展，完善遗留问题，改善企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“数量指标”指标，预期指标值为“&gt;=3宗地”；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“本次还款资金到位率”指标，预期指标值为“=100%”；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“还款资金执行率”指标，预期指标值为“=100%”；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“资金执行及时率”指标，预期指标值为“=100%”；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“解决遗留问题”指标，预期指标值为“&gt;=95%”；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“企业满意度”指标，预期指标值为“&gt;=95%”。</w:t>
      </w:r>
    </w:p>
    <w:p w14:paraId="5399F2A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F3A0D8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CA14B8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退呼图壁县景化城市建设投资发展有限责任公司土地出让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(5)《国有建设用地使用权出让合同》。</w:t>
      </w:r>
    </w:p>
    <w:p w14:paraId="5CF32B6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21C24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以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是绩效评价中一种相对评估方法，通过将员工的工作表现相互对比，确定其绩效优劣和排序，而非以绝对标准衡量。其核心在于通过员工之间的横向比较，区分绩效等级，适用于需要强制排名或末位淘汰的场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是一种开放式的绩效评价方法，通过广泛收集公众或利益相关者的意见和反馈，对个人、组织或项目的绩效进行综合评价。这种方法强调民主参与和透明度，通常用于公共服务、政府机构、非营利组织或企业客户满意度评估等领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（3）文献法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献法是一种通过系统收集、整理和分析现有文献资料来进行绩效评价的研究方法。该方法不直接采集原始数据，而是基于已有的政策文件、研究报告、统计数据、档案记录等二手资料，对评价对象的绩效表现进行间接分析和评估。文献法适用于历史性、长期性或宏观层面的绩效评价，如政策实施效果、机构长期发展、科研项目成果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EE1841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7905FB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李永明（评价小组组长）：主要负责项目策划和监督，全面负责项目绩效评价办稿的最终质量，对评估人员出具的最终报告质量进行复核，确保评估结果的客观性；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贾兆东、张新培、瞿钟英、刘丽丽（评价小组组员）：主要负责资料的收集，取证、数据统计分析；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刘杰、张新培（评价小组组员）：主要负责主要负责项目报告的制定，指标的研判，数据分析及报告撰写。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为呼图壁县景化城市建设投资发展有限责任公司员工。我们根据绩效评价目标和绩效指标体系，设计满意度调查问卷进行问卷调查，其中呼图壁县景化城市建设投资发展有限责任公司受益对象共选取样本33人，共发放问卷33份，最终收回33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2024年3月11日-3月15日，评价小组按照绩效评价的原则和规范，对取得的资料进行审查核实，对采集的数据进行分析，按照绩效评价指标评分表逐项进行打分、分析、汇总各方评价结果。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DD6D39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9FE08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退呼图壁县景化城市建设投资发展有限责任公司土地出让金退还工作;通过该项目的实施，提升了土地利用率，促进了经济的发展，解决了遗留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A731C6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4D1982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6B93F6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有建设用地出让合同》中：“因拆迁未完成等政府原因闲置”，符合国家法律法规、国民经济发展规划和相关政策；本项目立项符合《呼图壁县第十七届人民政府2019年底11次政府常务会会议纪要》（呼县政阅[2019]89号）中：“已收回5宗土地所交纳的出让金，用于交纳其他土地欠缴出让金”内容，符合行业发展规划和政策要求；本项目立项符合《呼图壁县自然资源局配置内设机构和人员编制规定》中职责范围中的“负责本单位规范性文件合法审查、行政复议答复几执法监督工作”，属于我单位履职所需；根据《财政资金直接支付申请书》，本项目资金性质为“公共财政预算”功能分类为“其他国有土地使用权出让收入安排的支出”经济分类为“土地征迁补偿和安置支出 ”属于公共财政支持范围，符合中央、地方事权支出责任划分原则；经检查我单位财政应用平台指标，本项目不存在重复。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退呼图壁县景化城市建设投资发展有限责任公司土地出让金项目1500万元用于退还土地出让金，主要建设(实施)内容为:退呼图壁县景化城市建设投资发展有限责任公司土地出让金项目，于2024年12月31日前完工，通过本项目的实施，满足企业用地的需要，促进经济的发展，完善遗留问题，改善企业发展。本项目实际工作内容为：截至2024年10月12日，该项目实际完成退还呼图壁县景化城市建设投资发展有限责任公司土地出让金工作;通过该项目的实施，提升了土地利用率，促进了经济的发展，完善了遗留问题。绩效目标与实际工作内容一致，两者具有相关性;本项目预算申请资金1500万元，预算确定资金量与实际工作任务相匹配。本项目按照绩效目标完成了数量指标、质量指标、时效指标、成本指标，有效解决遗留问题，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8个，定性指标0个，指标量化率为100%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由呼图壁县自然资源局出让土地3宗地（良种场小区西侧A-07-07地（HTB-2017077）、良种场小区西侧A-07-10地（HTB-2017078）两宗地，因沙舟路东侧、乌伊路北侧房屋未拆迁完毕，还不具备开发条件1宗地）给呼图壁县景化城市建设投资发展有限责任公司，由此公司上缴土地出让金1500万，现因土地退还至我单位，所以需退还土地出让金1500万，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预算申请内容为退还3宗地土地出让金1500万元，项目实际内容为退还3宗地土地出让金1500万元，预算申请与《退呼图壁县景化城市建设投资发展有限责任公司土地出让金项目实施方案》中涉及的项目内容匹配；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1500万元，我单位在预算申请中严格按照分项成本进行核算，其中：单位标准为1500万元退还3个宗地，分别为1.良种场小区西侧A-07-07地（HTB-2017077）、良种场小区西侧A-07-10地（HTB-2017078）两宗地、因沙舟路东侧、乌伊路北侧房屋未拆迁完毕，还不具备开发条件1宗地。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本项目的资金分配遵循了公平、公正、透明的原则，确保了项目资源的合理配置与高效利用。在资金分配过程中，充分考虑了项目的实际需求与目标，对不同阶段、不同任务的资金进行了科学的规划与安排。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具体而言，资金分配紧密结合了项目的特点与实际情况，对关键领域与重要环节给予了重点支持。同时，也注重了资金的均衡分配，避免了资源浪费与资金闲置。此外，资金分配还充分考虑了风险因素，对可能出现的超支情况进行了预留与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464AA5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B4B53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本项目预算资金为1500万元，其中：本级财政安排资金1500万元，其他资金0万元，实际到位资金1500万元，资金到位率=（实际到位资金/预算资金）×100.00%=（1500/1500）*100.00%=100%。得分=资金到位率*分值=100%*4=4分。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本项目实际支出资金1500万元，预算执行率=（实际支出资金/实际到位资金）×100.00%=（1500/1500）*100.00%=100%。得分=预算执行率*分值=100%*5=5分。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本项目的资金使用严格遵循国家相关法律法规与财务制度，确保了资金的合规性与安全性。在资金使用过程中，建立了完善的财务管理体系，对资金的流动进行了全程监控与记录。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具体而言，资金使用坚持了专款专用的原则，确保了项目资金不被挪用或截留。同时，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在制度设计上，注重了制度的科学性与可操作性，确保制度能够切实指导项目的执行与管理。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建立了有效的监督机制与反馈机制，对项目的实施情况进行定期检查与评估，及时发现并纠正可能存在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在执行过程中，管理制度得到了全面、有效地落实，为确保项目的顺利实施与目标实现提供了坚实的保障。项目单位重视制度执行的重要性，通过明确责任分工、制定详细执行计划、加强监督考核等措施，确保各项管理制度能够得到有效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在具体执行过程中，项目团队成员严格按照制度要求进行操作。同时，还建立了有效的沟通机制与反馈机制，确保项目信息的及时传递与问题的及时解决，进一步提高了制度执行的效率与效果。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E545EA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A69225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“退还宗地数”指标：预期指标值为“=3宗地”，实际完成指标值为“=3宗地”，指标完成率为100.0%。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“本次还款资金到位率”指标：预期指标值为“=100%”，实际完成指标值为“=100%”，指标完成率为100%。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“还款资金执行率”指标：预期指标值为“=100%”，实际完成指标值为“=100%”，指标完成率为100%。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“资金执行及时率”指标：预期指标值为“=100%”，实际完成指标值为“=100%”，指标完成率为100%。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B18229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0BCF16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“解决遗留问题”指标：预期指标值为“ &gt;=95%”，实际完成指标值为“=100%”，指标完成率为100%。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0EF44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2FB17FC1">
      <w:pPr>
        <w:spacing w:line="540" w:lineRule="exact"/>
        <w:ind w:firstLine="567"/>
        <w:rPr>
          <w:rStyle w:val="18"/>
          <w:rFonts w:hint="eastAsia" w:ascii="楷体" w:hAnsi="楷体" w:eastAsia="楷体"/>
          <w:b w:val="0"/>
          <w:bCs w:val="0"/>
          <w:spacing w:val="-4"/>
          <w:sz w:val="32"/>
          <w:szCs w:val="32"/>
        </w:rPr>
      </w:pPr>
    </w:p>
    <w:p w14:paraId="0626D5C1">
      <w:pPr>
        <w:spacing w:line="540" w:lineRule="exact"/>
        <w:ind w:firstLine="567"/>
        <w:rPr>
          <w:rStyle w:val="18"/>
          <w:rFonts w:ascii="楷体" w:hAnsi="楷体" w:eastAsia="楷体"/>
          <w:spacing w:val="-4"/>
          <w:sz w:val="32"/>
          <w:szCs w:val="32"/>
        </w:rPr>
      </w:pPr>
    </w:p>
    <w:p w14:paraId="6CC3DD8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1CBD3A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对资金管理的建议：设立专项账户，建议为该项目设立一个专门的资金账户，确保所有与土地出让金退还相关的收入和支出都通过这个账户进行，以便于监控和审计；严格的审批流程，制定并执行严格的审批流程，确保每一笔资金的流出都有充分的理由，并经过适当的审核。这包括但不限于申请、审查、批准等环节；透明度和报告机制，建立透明的资金管理和使用机制，定期向相关利益方（如政府监管部门、企业内部管理层等）提供资金使用的详细报告，保证信息的公开透明。风险管理对资金管理过程中可能出现的风险点进行识别，并采取相应的措施加以防范，比如市场风险、操作风险等。制定应急预案以应对突发事件。法律遵循确保所有操作符合国家及地方的相关法律法规要求，特别是在资金的使用范围、税务处理等方面要特别注意合法性。培训与教育对涉及资金管理的人员进行定期的专业培训，提高他们对法律法规的理解和遵守意识，以及提升财务管理能力，减少人为错误或违规行为的发生。文档记录保持完整的文件记录，包括但不限于合同、发票、付款凭证等，以便日后查询或审计时能够提供详尽的资料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的建议：确定清晰的目标，确保所有相关方对项目的目标有一致的理解。这包括退款的具体金额、时间表以及任何相关的条件或限制；定义项目范围，明确哪些活动属于项目的一部分，哪些不属于，以避免项目范围的扩大（即“范围蔓延”）；制定详细的项目计划，包括阶段性里程碑、任务分配、资源需求等，确保有条不紊地推进项目。风险管理风险识别与评估：定期召开会议，识别潜在的风险因素，并评估其可能性和影响程度。制定应对策略：为已识别的风险准备具体的应对计划，包括预防措施和应急响应方案。质量控制设立质量标准：根据项目特点设立相应的质量标准和验收准则。实施持续监控：在整个项目周期内进行质量检查，及时发现并纠正偏差。沟通与协作加强内部沟通：确保项目组内部信息流通顺畅，通过例会等形式保持同步。促进外部交流：积极与利益相关者沟通，如地方政府、企业代表等，获取反馈和支持。监督与评估定期进度报告：向管理层和其他利益相关者提供定期更新，展示项目进展和成果。项目后评价：在项目结束后进行全面回顾，总结经验教训，为未来类似项目积累宝贵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（1）权责界定不清：土地管理部门、财政部门、企业之间责任划分模糊，推诿现象频发；因规划调整或政策变动导致的退付争议缺乏明确解决机制。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（2）信息不透明：退付政策公开不足，企业难以获取准确申报信息；资金使用监管缺位，退还款项流向缺乏追踪。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（1）监管机制缺失：对企业的土地开发进度、资金用途缺乏动态监控；审计和纪检介入不足，违规成本低。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（2）政策协调不足：国土、财政、税务等部门政策未联动，退付与税收、规划等政策脱节。</w:t>
      </w:r>
    </w:p>
    <w:p w14:paraId="07E79A3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516F4D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 加强监管与问责：引入第三方审计，对企业申报材料真实性核查；建立黑名单制度，对违规企业限制土地竞买资格。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优化服务与透明度：搭建线上申报平台，公开退付进度，减少人为干预；定期公示退付资金去向，接受社会监督。  </w:t>
      </w:r>
    </w:p>
    <w:p w14:paraId="2ED625D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AECCFC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75AE64B">
      <w:pPr>
        <w:spacing w:line="540" w:lineRule="exact"/>
        <w:ind w:firstLine="567"/>
        <w:rPr>
          <w:rStyle w:val="18"/>
          <w:rFonts w:ascii="仿宋" w:hAnsi="仿宋" w:eastAsia="仿宋"/>
          <w:b w:val="0"/>
          <w:spacing w:val="-4"/>
          <w:sz w:val="32"/>
          <w:szCs w:val="32"/>
        </w:rPr>
      </w:pPr>
    </w:p>
    <w:p w14:paraId="3A3462D0">
      <w:pPr>
        <w:spacing w:line="540" w:lineRule="exact"/>
        <w:ind w:firstLine="567"/>
        <w:rPr>
          <w:rStyle w:val="18"/>
          <w:rFonts w:ascii="仿宋" w:hAnsi="仿宋" w:eastAsia="仿宋"/>
          <w:b w:val="0"/>
          <w:spacing w:val="-4"/>
          <w:sz w:val="32"/>
          <w:szCs w:val="32"/>
        </w:rPr>
      </w:pPr>
    </w:p>
    <w:p w14:paraId="5FFA42EE">
      <w:pPr>
        <w:spacing w:line="540" w:lineRule="exact"/>
        <w:ind w:firstLine="567"/>
        <w:rPr>
          <w:rStyle w:val="18"/>
          <w:rFonts w:ascii="仿宋" w:hAnsi="仿宋" w:eastAsia="仿宋"/>
          <w:b w:val="0"/>
          <w:spacing w:val="-4"/>
          <w:sz w:val="32"/>
          <w:szCs w:val="32"/>
        </w:rPr>
      </w:pPr>
    </w:p>
    <w:p w14:paraId="249E566C">
      <w:pPr>
        <w:spacing w:line="540" w:lineRule="exact"/>
        <w:ind w:firstLine="567"/>
        <w:rPr>
          <w:rStyle w:val="18"/>
          <w:rFonts w:ascii="仿宋" w:hAnsi="仿宋" w:eastAsia="仿宋"/>
          <w:b w:val="0"/>
          <w:spacing w:val="-4"/>
          <w:sz w:val="32"/>
          <w:szCs w:val="32"/>
        </w:rPr>
      </w:pPr>
    </w:p>
    <w:p w14:paraId="72D5ED3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79325A0">
        <w:pPr>
          <w:pStyle w:val="12"/>
          <w:jc w:val="center"/>
        </w:pPr>
        <w:r>
          <w:fldChar w:fldCharType="begin"/>
        </w:r>
        <w:r>
          <w:instrText xml:space="preserve">PAGE   \* MERGEFORMAT</w:instrText>
        </w:r>
        <w:r>
          <w:fldChar w:fldCharType="separate"/>
        </w:r>
        <w:r>
          <w:rPr>
            <w:lang w:val="zh-CN"/>
          </w:rPr>
          <w:t>2</w:t>
        </w:r>
        <w:r>
          <w:fldChar w:fldCharType="end"/>
        </w:r>
      </w:p>
    </w:sdtContent>
  </w:sdt>
  <w:p w14:paraId="0AE4C97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9A45C9D"/>
    <w:rsid w:val="0BFB189F"/>
    <w:rsid w:val="0C674954"/>
    <w:rsid w:val="0F58071E"/>
    <w:rsid w:val="11BD75F7"/>
    <w:rsid w:val="13BE561A"/>
    <w:rsid w:val="15392994"/>
    <w:rsid w:val="18FE139B"/>
    <w:rsid w:val="281418B0"/>
    <w:rsid w:val="3029612C"/>
    <w:rsid w:val="32A221C5"/>
    <w:rsid w:val="33F20F2A"/>
    <w:rsid w:val="34C44675"/>
    <w:rsid w:val="39980989"/>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12555</Words>
  <Characters>13350</Characters>
  <Lines>4</Lines>
  <Paragraphs>1</Paragraphs>
  <TotalTime>10</TotalTime>
  <ScaleCrop>false</ScaleCrop>
  <LinksUpToDate>false</LinksUpToDate>
  <CharactersWithSpaces>13385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2025-09-23T02:53:01Z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