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1A798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42FB8AA">
      <w:pPr>
        <w:spacing w:line="540" w:lineRule="exact"/>
        <w:jc w:val="center"/>
        <w:rPr>
          <w:rFonts w:ascii="华文中宋" w:hAnsi="华文中宋" w:eastAsia="华文中宋" w:cs="宋体"/>
          <w:b/>
          <w:kern w:val="0"/>
          <w:sz w:val="52"/>
          <w:szCs w:val="52"/>
        </w:rPr>
      </w:pPr>
    </w:p>
    <w:p w14:paraId="74AFB4A7">
      <w:pPr>
        <w:spacing w:line="540" w:lineRule="exact"/>
        <w:jc w:val="center"/>
        <w:rPr>
          <w:rFonts w:ascii="华文中宋" w:hAnsi="华文中宋" w:eastAsia="华文中宋" w:cs="宋体"/>
          <w:b/>
          <w:kern w:val="0"/>
          <w:sz w:val="52"/>
          <w:szCs w:val="52"/>
        </w:rPr>
      </w:pPr>
    </w:p>
    <w:p w14:paraId="040DB916">
      <w:pPr>
        <w:spacing w:line="540" w:lineRule="exact"/>
        <w:jc w:val="center"/>
        <w:rPr>
          <w:rFonts w:ascii="华文中宋" w:hAnsi="华文中宋" w:eastAsia="华文中宋" w:cs="宋体"/>
          <w:b/>
          <w:kern w:val="0"/>
          <w:sz w:val="52"/>
          <w:szCs w:val="52"/>
        </w:rPr>
      </w:pPr>
    </w:p>
    <w:p w14:paraId="7ADB42F2">
      <w:pPr>
        <w:spacing w:line="540" w:lineRule="exact"/>
        <w:jc w:val="center"/>
        <w:rPr>
          <w:rFonts w:ascii="华文中宋" w:hAnsi="华文中宋" w:eastAsia="华文中宋" w:cs="宋体"/>
          <w:b/>
          <w:kern w:val="0"/>
          <w:sz w:val="52"/>
          <w:szCs w:val="52"/>
        </w:rPr>
      </w:pPr>
    </w:p>
    <w:p w14:paraId="4D72F2EE">
      <w:pPr>
        <w:spacing w:line="540" w:lineRule="exact"/>
        <w:jc w:val="center"/>
        <w:rPr>
          <w:rFonts w:ascii="华文中宋" w:hAnsi="华文中宋" w:eastAsia="华文中宋" w:cs="宋体"/>
          <w:b/>
          <w:kern w:val="0"/>
          <w:sz w:val="52"/>
          <w:szCs w:val="52"/>
        </w:rPr>
      </w:pPr>
    </w:p>
    <w:p w14:paraId="326BBC24">
      <w:pPr>
        <w:spacing w:line="540" w:lineRule="exact"/>
        <w:jc w:val="center"/>
        <w:rPr>
          <w:rFonts w:ascii="华文中宋" w:hAnsi="华文中宋" w:eastAsia="华文中宋" w:cs="宋体"/>
          <w:b/>
          <w:kern w:val="0"/>
          <w:sz w:val="52"/>
          <w:szCs w:val="52"/>
        </w:rPr>
      </w:pPr>
    </w:p>
    <w:p w14:paraId="351E540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C3BF04A">
      <w:pPr>
        <w:spacing w:line="540" w:lineRule="exact"/>
        <w:jc w:val="center"/>
        <w:rPr>
          <w:rFonts w:ascii="华文中宋" w:hAnsi="华文中宋" w:eastAsia="华文中宋" w:cs="宋体"/>
          <w:b/>
          <w:kern w:val="0"/>
          <w:sz w:val="52"/>
          <w:szCs w:val="52"/>
        </w:rPr>
      </w:pPr>
    </w:p>
    <w:p w14:paraId="655880A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275F24D">
      <w:pPr>
        <w:spacing w:line="540" w:lineRule="exact"/>
        <w:jc w:val="center"/>
        <w:rPr>
          <w:rFonts w:hAnsi="宋体" w:eastAsia="仿宋_GB2312" w:cs="宋体"/>
          <w:kern w:val="0"/>
          <w:sz w:val="30"/>
          <w:szCs w:val="30"/>
        </w:rPr>
      </w:pPr>
    </w:p>
    <w:p w14:paraId="4204049D">
      <w:pPr>
        <w:spacing w:line="540" w:lineRule="exact"/>
        <w:jc w:val="center"/>
        <w:rPr>
          <w:rFonts w:hAnsi="宋体" w:eastAsia="仿宋_GB2312" w:cs="宋体"/>
          <w:kern w:val="0"/>
          <w:sz w:val="30"/>
          <w:szCs w:val="30"/>
        </w:rPr>
      </w:pPr>
    </w:p>
    <w:p w14:paraId="20246B5E">
      <w:pPr>
        <w:spacing w:line="540" w:lineRule="exact"/>
        <w:jc w:val="center"/>
        <w:rPr>
          <w:rFonts w:hAnsi="宋体" w:eastAsia="仿宋_GB2312" w:cs="宋体"/>
          <w:kern w:val="0"/>
          <w:sz w:val="30"/>
          <w:szCs w:val="30"/>
        </w:rPr>
      </w:pPr>
    </w:p>
    <w:p w14:paraId="1C29B818">
      <w:pPr>
        <w:spacing w:line="540" w:lineRule="exact"/>
        <w:jc w:val="center"/>
        <w:rPr>
          <w:rFonts w:hAnsi="宋体" w:eastAsia="仿宋_GB2312" w:cs="宋体"/>
          <w:kern w:val="0"/>
          <w:sz w:val="30"/>
          <w:szCs w:val="30"/>
        </w:rPr>
      </w:pPr>
    </w:p>
    <w:p w14:paraId="5FED8C4C">
      <w:pPr>
        <w:spacing w:line="540" w:lineRule="exact"/>
        <w:jc w:val="center"/>
        <w:rPr>
          <w:rFonts w:hAnsi="宋体" w:eastAsia="仿宋_GB2312" w:cs="宋体"/>
          <w:kern w:val="0"/>
          <w:sz w:val="30"/>
          <w:szCs w:val="30"/>
        </w:rPr>
      </w:pPr>
    </w:p>
    <w:p w14:paraId="0F713433">
      <w:pPr>
        <w:spacing w:line="540" w:lineRule="exact"/>
        <w:jc w:val="center"/>
        <w:rPr>
          <w:rFonts w:hAnsi="宋体" w:eastAsia="仿宋_GB2312" w:cs="宋体"/>
          <w:kern w:val="0"/>
          <w:sz w:val="30"/>
          <w:szCs w:val="30"/>
        </w:rPr>
      </w:pPr>
    </w:p>
    <w:p w14:paraId="397B06D8">
      <w:pPr>
        <w:spacing w:line="700" w:lineRule="exact"/>
        <w:jc w:val="left"/>
        <w:rPr>
          <w:rFonts w:hAnsi="宋体" w:eastAsia="仿宋_GB2312" w:cs="宋体"/>
          <w:kern w:val="0"/>
          <w:sz w:val="36"/>
          <w:szCs w:val="36"/>
        </w:rPr>
      </w:pPr>
    </w:p>
    <w:p w14:paraId="4805421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2024年中央支持地方公共文化服务体系建设补助资金中央广播电视节目无线覆盖工程（数字）运行维护经费</w:t>
      </w:r>
    </w:p>
    <w:p w14:paraId="2592B3D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呼图壁县融媒体中心</w:t>
      </w:r>
    </w:p>
    <w:p w14:paraId="2BC8AA42">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呼图壁县融媒体中心</w:t>
      </w:r>
    </w:p>
    <w:p w14:paraId="2784287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邱义氍</w:t>
      </w:r>
    </w:p>
    <w:p w14:paraId="44C133BB">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2025年06月15日</w:t>
      </w:r>
    </w:p>
    <w:p w14:paraId="302DF19B">
      <w:pPr>
        <w:spacing w:line="700" w:lineRule="exact"/>
        <w:ind w:firstLine="708" w:firstLineChars="236"/>
        <w:jc w:val="left"/>
        <w:rPr>
          <w:rFonts w:hAnsi="宋体" w:eastAsia="仿宋_GB2312" w:cs="宋体"/>
          <w:kern w:val="0"/>
          <w:sz w:val="30"/>
          <w:szCs w:val="30"/>
        </w:rPr>
      </w:pPr>
    </w:p>
    <w:p w14:paraId="5E92523D">
      <w:pPr>
        <w:spacing w:line="540" w:lineRule="exact"/>
        <w:rPr>
          <w:rStyle w:val="18"/>
          <w:rFonts w:ascii="黑体" w:hAnsi="黑体" w:eastAsia="黑体"/>
          <w:b w:val="0"/>
          <w:spacing w:val="-4"/>
          <w:sz w:val="32"/>
          <w:szCs w:val="32"/>
        </w:rPr>
      </w:pPr>
    </w:p>
    <w:p w14:paraId="6F221E9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CA79A5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8C37DD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在当今信息时代，广播电视作为重要的文化传播媒介，对于满足人民群众精神文化需求、促进社会发展具有不可替代的作用。为进一步加强广播电视公共服务体系建设，提升服务质量和水平，中央财政设立了支持地方公共文化服务体系建设补助资金，其中中央广播电视节目无线覆盖工程（数字）运行维护经费项目是重要组成部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一、政策依据与规划背景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政策依据：依据《中共中央办公厅、国务院办公厅印发〈关于加快构建现代公共文化服务体系的意见〉的通知》，中央财政设立专项资金，旨在支持和引导地方落实国家基本公共文化服务指导标准和地方基本公共文化服务实施标准，促进基本公共文化服务标准化、均等化，保障群众基本文化权益。《中央补助地方公共文化服务体系建设专项资金管理暂行办法》明确专项资金可用于补助纳入中央广播电视节目无线覆盖（包括模拟信号覆盖和数字化覆盖）范围的发射机及附属系统购置及运行维护 ，为项目实施提供了明确的资金使用规范和依据。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规划背景：《“十四五”文化发展规划》强调要提升公共文化数字化水平，加强广播电视传输覆盖网络建设。中央广播电视节目无线覆盖工程（数字）运行维护经费项目紧密贴合国家文化发展规划，通过保障数字广播电视发射机及附属系统的稳定运行，扩大中央广播电视节目的有效覆盖范围，推动公共文化服务数字化进程，助力实现文化发展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二、实施前实际情况与亟待解决问题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设备老化与技术落后：部分地区的广播电视发射设备购置时间较早，历经多年运行，设备老化严重，故障率较高，不仅影响信号传输质量，还增加了维护成本和安全播出风险。同时，随着数字技术的快速发展，一些早期设备在技术性能上已无法满足现代广播电视传输的要求，难以实现高清、多声道等高质量播出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覆盖范围受限：受地理环境、发射功率等因素制约，一些偏远山区、农村地区以及信号薄弱区域无法稳定、清晰地接收中央广播电视节目，群众获取信息的渠道有限，无法充分享受到公共文化服务带来的便利和乐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3.维护资金短缺：地方财政在广播电视公共服务方面的投入相对有限，用于设备运行维护的资金常常捉襟见肘，导致设备维护不及时，维修保养工作难以全面、深入开展，影响了设备的使用寿命和运行稳定性。</w:t>
      </w:r>
      <w:bookmarkStart w:id="0" w:name="_GoBack"/>
      <w:bookmarkEnd w:id="0"/>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三、项目实施的必要性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保障群众基本文化权益：广播电视是传播党和国家声音、弘扬社会主义核心价值观、普及科学文化知识的重要平台。确保中央广播电视节目无线数字覆盖的稳定运行，能够让广大群众免费、便捷地收听收看丰富多样的广播电视节目，满足群众日益增长的精神文化需求，保障群众的基本文化权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2.加强主流舆论阵地建设：通过高质量的广播电视节目传播，能够有效增强主流媒体的传播力、引导力、影响力、公信力，巩固壮大主流舆论宣传，为经济社会发展营造良好的舆论氛围，促进社会和谐稳定。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促进公共文化服务均等化：加强中央广播电视节目无线覆盖工程（数字）运行维护，有助于缩小城乡之间、地区之间在公共文化服务方面的差距，使不同地域的群众都能享受到优质、高效的公共文化服务，推动公共文化服务均等化进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四、项目实施解决的问题与实现目标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解决的问题：通过本项目，及时对老化、故障设备进行维修、更换和升级改造，提高设备性能和可靠性，降低故障率；优化发射网络布局，增强信号覆盖强度和稳定性，扩大中央广播电视节目在偏远地区和信号薄弱区域的覆盖范围；提供充足的运行维护资金，确保设备维护工作常态化、规范化开展，保障设备处于良好运行状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实现目标：短期目标是在2024年内完成设备的全面巡检、维护和必要的维修工作，确保中央广播电视节目无线数字覆盖的安全、稳定播出，节目播出故障率控制在较低水平；中期目标是通过持续投入和建设，在未来2 - 3年内，使数字广播电视发射设备的技术性能显著提升，信号覆盖质量明显改善，基本消除覆盖盲区；长期目标是建立健全长效运行维护机制，不断完善广播电视公共服务体系，持续提升公共文化服务水平，为群众提供更加优质、丰富、高效的广播电视服务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（1）项目名称：2024年中央支持地方公共文化服务体系建设补助资金中央广播电视节目无线覆盖工程（数字）运行维护经费项目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（2）项目主要内容：本项目围绕中央广播电视节目无线覆盖工程（数字）运行维护展开，核心在于保障节目稳定传输，提升覆盖质量与范围，满足群众文化需求。下面从用途、范围、主要内容三方面进行阐述：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用途：本项目资金主要用于保障中央广播电视节目无线覆盖工程（数字）的稳定、高效运行，确保中央广播电视节目通过无线数字信号高质量地传输至广大受众。具体用途包括设备的日常维护保养、故障维修、设备升级改造以及必要的备品备件购置等，以维持发射机及附属系统处于良好运行状态，减少节目播出中断时间，提升信号传输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范围：覆盖全国范围内承担中央广播电视节目无线数字发射任务的发射台站，涵盖了城市、农村、偏远山区等不同地理区域的发射站点。无论是人口密集的城市地区，还是地处偏远、地形复杂的山区以及广大农村地区，只要是通过无线数字方式接收中央广播电视节目的区域，均在本项目保障范围之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设备维护与巡检：按照严格的维护计划，定期对发射机、天馈线系统、供配电系统等关键设备进行全面巡检。每月至少进行一次常规巡检，每季度开展一次深度维护保养，及时发现并处理设备潜在问题，如清洁设备内部灰尘、检查线路连接稳固性、测试设备性能指标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故障维修与应急处理：建立7×24小时故障响应机制，一旦发生设备故障导致节目播出异常，维修人员需在规定时间内（市区1小时内，郊区及偏远地区根据实际情况但不超过4小时）到达现场进行抢修。及时更换损坏的零部件，确保设备尽快恢复正常运行，最大限度缩短节目停播时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设备升级改造：根据技术发展和实际播出需求，对部分老旧设备进行升级改造。例如，逐步将模拟信号发射设备替换为数字发射设备，提升信号传输的清晰度和稳定性；对发射机的功率放大器进行升级，增强发射功率，扩大信号覆盖范围；引入智能化监控系统，实现对设备运行状态的实时远程监测与数据分析，提高运维管理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备品备件管理：建立完善的备品备件库，储备常用的易损零部件和关键设备配件，如发射管、滤波器、电源模块等。定期对备品备件进行盘点和更新，确保其性能良好、数量充足，满足设备维修和应急更换的需要，避免因备件短缺导致设备维修延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技术培训与人员能力提升：定期组织运维人员参加技术培训，邀请行业专家进行授课，内容涵盖数字广播电视技术原理、设备操作与维护技能、应急处理方法等。每年至少开展两次集中培训，提升运维人员的专业技术水平和业务能力，确保其能够熟练掌握设备操作与维护技术，应对各种突发情况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实施主体：呼图壁县融媒体中心。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本项目于2024年1月正式启动，随即依据项目规划全面开展各项工作。在实施阶段，首要工作是完成本县范围内相关发射台站设备的详细摸底排查，梳理出设备老化、信号覆盖薄弱区域等问题清单，这一工作在2024年12月底前顺利结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紧接着，按照计划有序推进设备维护与巡检，在2024年5月前完成了首次全面巡检，并依据巡检结果开展针对性的故障维修与应急处理工作，及时修复了5处故障隐患。同时，积极开展设备升级改造工程，截至2024年10月，已完成2台老旧设备的升级替换，显著提升了信号传输质量。在备品备件管理方面，于2024年11月前完成备品备件库的搭建与首批物资储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2024年11月底，项目迎来验收。经过严格的评估，各项技术指标均达到预期，信号覆盖范围进一步扩大，偏远地区信号质量明显改善，故障发生率大幅降低。至此，项目成功达成目标，为中央广播电视节目无线数字覆盖提供了坚实保障，长效运行维护机制也已初步建立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（1）主要职能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县融媒体中心（县广播电视台）贯彻落实党中央关于新闻舆论工作、媒体融合发展的方针政策和决策部署，落实区、州、县党委的工作要求，探索建立“新闻+政务服务商务”的运营模式，构建新型主流媒体传播格局，在履行职责过程中坚持和加强党对新闻舆论工作的集中统一领导。主要职责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（一）宣传党的理论和路线方针政策，宣传习近平新时代中国特色社会主义思想以及新时代党的治疆方略。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（二）围绕县党委、县人民政府重大决策及中心工作，策划广播、电视及互联网的新闻宣传工作，组织部署媒体活动，讲好呼图壁故事。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（三）坚持移动优先战略，承担广播、电视、网站、客户端、微信、微博等融媒体平台内容采编播发工作。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（四）配合县党委宣传部做好上级媒体和新闻单位来呼图壁县采访工作，抓好新闻工作者队伍建设。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（五）开展舆情引导，围绕社会热点进行舆论分析，为县党委决策提供参考依据，为各部门单位提供服务；做好县域内重大新闻事件的采访、报送和媒体发布工作。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（六）运用媒介资源，建设好“新闻+政务服务商务”信息服务平台，为群众提供高质量的政务、民生、生活、社交传播、教育培训等综合服务。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（七）严格执行广播、电视、互联网等行业法规，开办具有呼图壁特色的广播、电视、互联网及新媒体视听节目。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（八）贯彻执行国家广播电视技术政策标准，承担全县广播电视无线发射传输网络等建设工作;承担媒体融合平台的建设、运行和维护工作。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（九）为广播电视重要技术设备提供技术支撑，保障广播电视、新媒体节目安全播出；承担广播、电视、新媒体等频率频道、网络资源的报批、使用工作；做好广播电视新技术的研究、申报评定、推广应用。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（十）承担接收、转播、录播中央和区、州广播电视节目工作。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（十一）承办县党委、县人民政府交办的其他任务。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科。负责中心日常事务；负责内外联络与综合协调；负责制定各项规章制度并督促落实；负责工作督办；负责文电、会务、机要保密、档案、信息、年鉴编纂、信访、后勤、财务、学习培训等工作；负责党建、党风廉政建设、精神文明建设、平安建设、普法宣传、民族团结、工青妇、安全生产等工作；负责人事管理、机构编制、绩效考核等工作；负责退休人员管理服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总编室。负责阶段性宣传报道计划、重大宣传任务的组织策划、方案制定、执行、总结；负责起草全年宣传工作要点；负责重大新闻宣传活动的服务联络；负责各类大型活动的策划、组织和实施；负责统筹专题栏目的策划、采访、编辑、制作；负责新闻统计工作；负责新节目调度、作品评优、公益宣传等工作；负责引进的电影、电视剧、动画片、专题片、纪录片、广播电视栏目的采购、审查、编单上载；负责广播频率、电视频道总体包装的统筹和栏目改版工作；负责电视频道的编单工作；负责通联工作；负责文字、图片和音视频新闻资料的收集整理、归档入库；负责媒资系统的录入与管理；负责接收、存储中央和区、州媒体重要音视频资料；负责向相关科室提供媒资数据；负责中心业务培训、记者证、播音员证等证件年审工作；负责中心播音主持工作调度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采集科。充分发挥“中央厨房”核心作用，根据广播、电视、新闻网站、移动客户端的不同题材需求，按照“一次采集、多种生成、多元传播、全方位覆盖”模式，完成日常新闻产品的采编工作；负责重大新闻行动、重要新闻报道的策划、组织、实施；负责对外宣传工作，积极向上级主流媒体发稿投稿；负责协调安排外宣画面编辑和传输任务，承担对外宣传发稿任务；负责新闻产品统计；负责向“学习强国”新疆平台、昌吉平台供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编辑科。负责广播、电视、网站及各类新媒体平台新闻产品内容的编辑、制作、播音、审核、校对、发布；负责广播、电视各类节目的策划、编导、制作、播报；负责节目的串编、合成、统计、存档，按照刊播、发布计划传送媒体产品；负责广播、电视节目播音制作工作；负责各平台各类数据的统计汇总；负责统筹专题栏目的策划、采访、编辑、制作；负责专题栏目的编辑、制作、播音；负责各类平台、版块、栏目的设计包装；负责活动的主持播音解说工作；负责网络热帖、敏感信息等舆情监测及引导；负责新媒体网络直播；负责开展“新闻+政务服务商务”；负责微信、微博、手机客户端等智能终端的推广运营；负责大型活动网络投票、网络直播的技术保障，扩大新媒体平台的影响力和用户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视觉科。负责生产制作短视频、微电影等宣传产品；负责大型会议、重大活动直录播和慢直播；负责广播、电视、网络直播的技术保障；负责广播、电视节目播音制作工作；负责活动的主持播音解说工作；负责各类宣传品灌音、包装、制作；负责各媒体平台播音主持、配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技术科。负责新媒体技术的引进和应用推广；负责中心采编播设备的运维；负责制定各种设备的更新计划并配合做好采购工作；负责广播、电视、新闻网站、新媒体、传输发射系统的技术保障、技术改造；负责游字、角标等广告的制作播出；负责呼图壁广播电台、呼图壁电视台节目播控保障；负责中央电视台新闻联播、新疆电视台新疆新闻、昌吉电视台昌吉新闻和重大节目、重大新闻的转播、录播；负责广播电视播控设备和呼图壁广播电视发射台的管理和安全运行；负责值机监控，确保视频节目播出安全；负责机房日志的填写、收集、存档；负责预警信息的接收和处理工作；负责技术培训；负责演播大厅、指挥大厅、演播室的运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运营科。负责全媒体服务业务的运营工作；负责广播电视、新媒体等平台的广告创收工作；负责与创收配套的广播电视栏目、新媒体专栏的统筹协调；负责承接各类专题片、宣传片并统筹协调做好拍摄、制作及推广工作；负责开发对外联办节目的采制工作；统筹做好会展、产品推销、文化娱乐等活动的组织、策划和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万元，资金来源为上级转移支付资金，其中：财政资金</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万元，其他资金0万元，2024年实际收到预算资金</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万元，预算执行率100%，本项目资金主要用于支付购买专用材料费用21.2万元、维修费用10万元。</w:t>
      </w:r>
    </w:p>
    <w:p w14:paraId="6E1575F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A45EFE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期完成发射机及附属系统超10次全面维护与巡检，设备故障发生率降低98%以上，确保中央广播电视节目每日不间断播出时长超24小时；完成2台关键设备的升级改造，新增信号覆盖人口达5万人，建立完备备品备件库，储备超3种常用易损零部件；组织9次技术培训，参与人员超20人次。通过这些产出，实现信号稳定优质覆盖，提升群众满意度，强化主流文化传播，带动文化产业发展，为广播电视公共服务筑牢根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“发射机维修数量”指标，预期指标值为“=2部”；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“数字发射机满功率满时间满调度播出率”指标，预期指标值为“=100%”；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“中央数字广播电视节目播出任务完成率”指标，预期指标值为“=100%”；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“项目经费支出”指标，预期指标值为“&lt;=</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“广播电视综合人口覆盖率”指标，预期指标值为“&gt;98.7%”；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“电视节目综合人口覆盖率”指标，预期指标值为“&gt;98.9%”；</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“环境友好无污染”指标，预期指标值为“有效改善”；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“转播广播电视节目的满意度”指标，预期指标值为“&gt;=90%”。</w:t>
      </w:r>
    </w:p>
    <w:p w14:paraId="6001F40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900C2D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CB46BC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中央支持地方公共文化服务体系建设补助资金中央广播电视节目无线覆盖工程（数字）运行维护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《自治区财政支出绩效评价管理暂行办法》（新财预〔2018〕189号）；</w:t>
      </w:r>
    </w:p>
    <w:p w14:paraId="000398D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0AB243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以及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42611A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E822DA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霍卫东（评价小组组长）：主要负责项目策划和监督，全面负责项目绩效评价办稿的最终质量，对评估人员出具的最终报告质量进行复核，确保评估结果的客观性；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沈刚（评价小组组员）：主要负责资料的收集，取证、数据统计分析；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宋孚辰（评价小组组员）：主要负责主要负责项目报告的制定，指标的研判，数据分析及报告撰写。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2025年3月3日-3月8日，评价工作进入实施阶段。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经调研了解，该项目主要受益群体包括受益群众。我们根据绩效评价目标和绩效指标体系，设计满意度调查问卷进行问卷调查，其中群众满意度受益对象共选取样本31人，共发放问卷31份，最终收回31份。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2025年3月12日-3月16日，评价小组按照绩效评价的原则和规范，对取得的资料进行审查核实，对采集的数据进行分析，按照绩效评价指标评分表逐项进行打分、分析、汇总各方评价结果。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A3CE61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933C49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设备稳定运行、信号优质覆盖的产出目标。所有发射机及附属系统运行稳定性大幅提升，故障发生率较之前降低了98.9%，保障了中央广播电视节目每日24小时不间断高质量播出。信号覆盖范围进一步拓展，新增覆盖人口达5万人，偏远山区和农村地区的信号质量显著改善，画面清晰度和声音稳定性得到极大提升。该项目发挥了显著效益。社会效益层面，丰富了广大群众，尤其是偏远地区群众的精神文化生活，促进了文化传播与社会和谐。通过及时传递党和国家的声音，加强了主流舆论阵地建设。经济效益上，带动了周边相关文化产业发展，也减少了因信号问题导致的设备反复维修等隐性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但在实施过程中也存在一些不足：部分地区由于地理环境复杂，信号覆盖仍存在局部盲点，虽经过多次调试优化，仍难以达到理想状态；项目实施涉及多部门协作，信息沟通与工作衔接有时不够顺畅，导致部分工作流程出现延误；在技术培训环节，因运维人员基础水平参差不齐，部分人员对新技术的掌握程度不够理想，影响了工作效率的进一步提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648C81A8">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97C375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A0092A6">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本项目立项符合昌吉州财政局下发的《2024年中央支持地方公共文化服务体系建设补助资金中央中央广播节目无线覆盖工程运行维护费》（昌州财教[2023]79号）中：“根据昌吉州财政局《关于提前下达2024年中央补助地方公共文化服务体系建设补助资金预算的通知》(昌州财教【2023】79号)，追加我县111.2万元，其中融媒体中心广播电视台 </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符合国家法律法规、国民经济发展规划和相关政策；本项目立项符合《呼图壁县融媒体中心单位配置内设机构和人员编制规定》中职责范围中的“县融媒体中心（县广播电视台）贯彻落实党中央关于新闻舆论工作、媒体融合发展的方针政策和决策部署，落实区、州、县党委的工作要求，探索建立“新闻+政务服务商务”的运营模式，构架新型主流媒体传播格局，在旅行职责过程中坚持和加强党对新闻舆论工作的集中统一”，属于我单位履职所需；根据《财政资金直接支付申请书》，本项目资金性质为“公共财政预算”功能分类为“其他广播电视支出”经济分类为“商品和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昌州财教[2023]79号-2024年中央支持地方公共文化服务体系建设补助资金中央中央广播节目无线覆盖工程运行维护费文件要求的规定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完成保障发射站台按照完整转播好中央广播电视节目，通过项目的实施，做到了“满功率、满调幅度、满时间”安全播出”；本项目实际工作内容为：完成保障发射站台按照完整转播好中央广播电视节目，通过项目的实施，做到了“满功率、满调幅度、满时间”安全播出；绩效目标与实际工作内容一致，两者具有相关性;本项目预算申请资金</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预算确定资金量与实际工作任务相匹配。本项目按照绩效目标完成了数量指标、质量指标、时效指标、成本指标，有效保障了广播电视节目综合人口覆盖率达到98%以上，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9个，定量指标8个，定性指标1个，指标量化率为88.89%，量化率达100.00%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完成保障发射站台按照完整转播好中央广播电视节目，通过项目的实施，做到了“满功率、满调幅度、满时间”安全播出，项目实际内容为完成保障发射站台按照完整转播好中央广播电视节目，通过项目的实施，做到了“满功率、满调幅度、满时间”安全播出，预算申请与《2024年中央支持地方公共文化服务体系建设补助资金中央广播电视节目无线覆盖工程（数字）运行维护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万元，我单位在预算申请中严格按照分项成本进行核算，其中：维修（护）费10万元，专用材料费为21.2万元。本项目预算额度测算依据充分，严格按照标准编制，预算确定资金量与实际工作任务相匹配；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中央支持地方公共文化服务体系建设补助资金中央广播电视节目无线覆盖工程（数字）运行维护经费项目资金的请示》和《2024年中央支持地方公共文化服务体系建设补助资金中央广播电视节目无线覆盖工程（数字）运行维护经费项目实施方案》为依据进行资金分配，预算资金分配依据充分。根据《2024年中央支持地方公共文化服务体系建设补助资金中央广播电视节目无线覆盖工程（数字）运行维护经费资金下达文件》文件显示，本项目实际到位资金</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1F0419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B361BB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万元，其中：本级财政安排资金</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万元，其他资金0万元，实际到位资金</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万元，资金到位率100%=（实际到位资金/预算资金）×100.00%=（</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）*100.00%=</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万元，预算执行率为100%=（实际支出资金/实际到位资金）×100.00%=（</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融媒体中心单位资金管理办法》《融媒体中心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专项资金管理办法》《专项资金收支业务管理制度》《融媒体中心政府采购业务管理制度》《融媒体中心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等资料齐全并及时进行了归档。项目资金支出严格按照自治区、地区、市以及本单位资金管理办法执行，项目启动实施后，为了加快本项目的实施，成立了专项资金监督项目工作领导小组，由党组书记霍卫东任组长，负责项目的组织工作；宋孚辰任副组长，负责项目的实施工作；组员包括：沈刚和贾锦锦，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03CD9FE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840B71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项目产出类指标由3个二级指标和3个三级指标构成，权重分20.0分，实际得分20分。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“发射机维修数量（2部）”指标：预期指标值为“=2部”，实际完成指标值为“=2部”，指标完成率为100.0%。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“数字发射机满功率满时间满调制度播出率（%）”指标：预期指标值为“=100%”，实际完成指标值为“=100%”，指标完成率为100%。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“中央数字广播电视节目播出任务完成率（%）”指标：预期指标值为“=100%”，实际完成指标值为“=100%”，指标完成率为100%%。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项目成本情况指标由2个二级指标和2个三级指标构成，权重分10分，实际得分10分。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“项目经费支出”指标：预期指标值为“&lt;=</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万元”，实际完成指标值为“=</w:t>
      </w:r>
      <w:r>
        <w:rPr>
          <w:rStyle w:val="18"/>
          <w:rFonts w:hint="eastAsia" w:ascii="楷体" w:hAnsi="楷体" w:eastAsia="楷体"/>
          <w:b w:val="0"/>
          <w:bCs w:val="0"/>
          <w:spacing w:val="-4"/>
          <w:sz w:val="32"/>
          <w:szCs w:val="32"/>
          <w:lang w:eastAsia="zh-CN"/>
        </w:rPr>
        <w:t>31.20</w:t>
      </w:r>
      <w:r>
        <w:rPr>
          <w:rStyle w:val="18"/>
          <w:rFonts w:hint="eastAsia" w:ascii="楷体" w:hAnsi="楷体" w:eastAsia="楷体"/>
          <w:b w:val="0"/>
          <w:bCs w:val="0"/>
          <w:spacing w:val="-4"/>
          <w:sz w:val="32"/>
          <w:szCs w:val="32"/>
        </w:rPr>
        <w:t>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4541E1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09D53D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项目效益类指标由3个二级指标和3个三级指标构成，权重分30分，实际得分30分。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“广播节目综合人口覆盖率（%）”指标：预期指标值为“&gt;98.7%”，实际完成指标值为“=100%”，指标完成率为100.0%。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综上所述，本指标满分为7分，根据评分标准得7分。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“电视节目综合人口覆盖率”指标：预期指标值为“&gt;98.9%”，实际完成指标值为“=100%”，指标完成率为100.0%。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综上所述，本指标满分为7分，根据评分标准得7分。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“环境友好无污染”指标：预期指标值为“有效改善”，实际完成指标值为“达到预期指标”，指标完成率为100%。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p>
    <w:p w14:paraId="7391B0A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“转播广播电视节目的满意度”指标：预期指标值为“&gt;=90%”，实际完成指标值为“=100%”，指标完成率为100%。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65A6C7F4">
      <w:pPr>
        <w:spacing w:line="540" w:lineRule="exact"/>
        <w:ind w:firstLine="567"/>
        <w:rPr>
          <w:rStyle w:val="18"/>
          <w:rFonts w:hint="eastAsia" w:ascii="楷体" w:hAnsi="楷体" w:eastAsia="楷体"/>
          <w:b w:val="0"/>
          <w:bCs w:val="0"/>
          <w:spacing w:val="-4"/>
          <w:sz w:val="32"/>
          <w:szCs w:val="32"/>
        </w:rPr>
      </w:pPr>
    </w:p>
    <w:p w14:paraId="218D8F20">
      <w:pPr>
        <w:spacing w:line="540" w:lineRule="exact"/>
        <w:ind w:firstLine="567"/>
        <w:rPr>
          <w:rStyle w:val="18"/>
          <w:rFonts w:ascii="楷体" w:hAnsi="楷体" w:eastAsia="楷体"/>
          <w:spacing w:val="-4"/>
          <w:sz w:val="32"/>
          <w:szCs w:val="32"/>
        </w:rPr>
      </w:pPr>
    </w:p>
    <w:p w14:paraId="46285E6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60FE98F">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通过合理使用运行维护经费，对广播电视发射设备进行定期巡检和维护。依据设备运行时长和技术指标变化规律，制定详细的维护计划，如每季度对发射机进行全面检测，及时更换老化零部件，确保设备始终处于良好运行状态，无线信号覆盖率稳定保持在98%以上，保障广大地区群众能够稳定接收广播电视节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在专用材料采购方面，建立了严格的采购流程和供应商评估体系。采购前深入调研市场，充分了解不同品牌材料的性能、价格和质量口碑，通过多轮比价和样品测试，选择性价比最高的材料。同时，与优质供应商建立长期合作关系，确保材料供应的及时性和稳定性。例如在采购发射天线的馈线时，通过精准采购，既保证了信号传输质量，又降低了采购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将中央支持地方公共文化服务体系建设补助资金与中央广播电视无线覆盖工程运行维护经费统筹规划，集中财力解决关键问题。优先保障重点设备的维修和重要材料的采购，避免资金分散使用。在遇到重大设备故障时，能够迅速调配资金进行抢修，缩短节目停播时间，有效提升了资金的整体使用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1、项目管理水平较低：项目前期准备工作不充分，如项目审批流程繁琐、施工条件不成熟等；项目实施过程中，组织协调不力，导致项目进度滞后，资金使用缓慢。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2、资金使用进度缓慢：专项资金支出进度未达预期，部分项目实施阶段拖延，资金支付不及时，大量资金在账上沉淀。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3、绩效理念淡薄：对绩效目标重要性认识不足，未将绩效目标与项目立项、实施和评价紧密结合，缺乏科学设定和有效管理绩效目标的能力。</w:t>
      </w:r>
    </w:p>
    <w:p w14:paraId="5FE29BB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A9463B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1、加快资金使用进度：强化项目前期筹备工作，简化审批流程，提前落实项目实施条件。在项目执行中，建立项目进度跟踪机制，定期检查项目进展，对进度缓慢的项目及时分析原因并采取措施。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2、完善资金支付管理办法，在确保合规的前提下简化支付流程，提高资金拨付效率。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合理设定绩效目标：树立正确绩效理念，在项目立项阶段，依据项目内容和预期效果，从投入、产出、效益和满意度等维度，科学合理设定清晰、可衡量、与项目紧密相关的绩效目标。同时建立绩效目标动态调整机制，根据项目实际情况变化及时调整绩效目标，确保其有效指导项目实施和评价。</w:t>
      </w:r>
    </w:p>
    <w:p w14:paraId="399D407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42C98CA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136F6C56">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02AAE11">
        <w:pPr>
          <w:pStyle w:val="12"/>
          <w:jc w:val="center"/>
        </w:pPr>
        <w:r>
          <w:fldChar w:fldCharType="begin"/>
        </w:r>
        <w:r>
          <w:instrText xml:space="preserve">PAGE   \* MERGEFORMAT</w:instrText>
        </w:r>
        <w:r>
          <w:fldChar w:fldCharType="separate"/>
        </w:r>
        <w:r>
          <w:rPr>
            <w:lang w:val="zh-CN"/>
          </w:rPr>
          <w:t>2</w:t>
        </w:r>
        <w:r>
          <w:fldChar w:fldCharType="end"/>
        </w:r>
      </w:p>
    </w:sdtContent>
  </w:sdt>
  <w:p w14:paraId="52A2DD2E">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A3421D4"/>
    <w:rsid w:val="6C3A69EF"/>
    <w:rsid w:val="77333D25"/>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14912</Words>
  <Characters>15572</Characters>
  <Lines>4</Lines>
  <Paragraphs>1</Paragraphs>
  <TotalTime>10</TotalTime>
  <ScaleCrop>false</ScaleCrop>
  <LinksUpToDate>false</LinksUpToDate>
  <CharactersWithSpaces>15610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2025-09-22T07:57:22Z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