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6E5F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B9A04FB">
      <w:pPr>
        <w:spacing w:line="540" w:lineRule="exact"/>
        <w:jc w:val="center"/>
        <w:rPr>
          <w:rFonts w:ascii="华文中宋" w:hAnsi="华文中宋" w:eastAsia="华文中宋" w:cs="宋体"/>
          <w:b/>
          <w:kern w:val="0"/>
          <w:sz w:val="52"/>
          <w:szCs w:val="52"/>
        </w:rPr>
      </w:pPr>
    </w:p>
    <w:p w14:paraId="7E7E6106">
      <w:pPr>
        <w:spacing w:line="540" w:lineRule="exact"/>
        <w:jc w:val="center"/>
        <w:rPr>
          <w:rFonts w:ascii="华文中宋" w:hAnsi="华文中宋" w:eastAsia="华文中宋" w:cs="宋体"/>
          <w:b/>
          <w:kern w:val="0"/>
          <w:sz w:val="52"/>
          <w:szCs w:val="52"/>
        </w:rPr>
      </w:pPr>
    </w:p>
    <w:p w14:paraId="04E09BB9">
      <w:pPr>
        <w:spacing w:line="540" w:lineRule="exact"/>
        <w:jc w:val="center"/>
        <w:rPr>
          <w:rFonts w:ascii="华文中宋" w:hAnsi="华文中宋" w:eastAsia="华文中宋" w:cs="宋体"/>
          <w:b/>
          <w:kern w:val="0"/>
          <w:sz w:val="52"/>
          <w:szCs w:val="52"/>
        </w:rPr>
      </w:pPr>
    </w:p>
    <w:p w14:paraId="012D8834">
      <w:pPr>
        <w:spacing w:line="540" w:lineRule="exact"/>
        <w:jc w:val="center"/>
        <w:rPr>
          <w:rFonts w:ascii="华文中宋" w:hAnsi="华文中宋" w:eastAsia="华文中宋" w:cs="宋体"/>
          <w:b/>
          <w:kern w:val="0"/>
          <w:sz w:val="52"/>
          <w:szCs w:val="52"/>
        </w:rPr>
      </w:pPr>
    </w:p>
    <w:p w14:paraId="4F917EA4">
      <w:pPr>
        <w:spacing w:line="540" w:lineRule="exact"/>
        <w:jc w:val="center"/>
        <w:rPr>
          <w:rFonts w:ascii="华文中宋" w:hAnsi="华文中宋" w:eastAsia="华文中宋" w:cs="宋体"/>
          <w:b/>
          <w:kern w:val="0"/>
          <w:sz w:val="52"/>
          <w:szCs w:val="52"/>
        </w:rPr>
      </w:pPr>
    </w:p>
    <w:p w14:paraId="10F8A8D8">
      <w:pPr>
        <w:spacing w:line="540" w:lineRule="exact"/>
        <w:jc w:val="center"/>
        <w:rPr>
          <w:rFonts w:ascii="华文中宋" w:hAnsi="华文中宋" w:eastAsia="华文中宋" w:cs="宋体"/>
          <w:b/>
          <w:kern w:val="0"/>
          <w:sz w:val="52"/>
          <w:szCs w:val="52"/>
        </w:rPr>
      </w:pPr>
    </w:p>
    <w:p w14:paraId="3F87C15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2B4B1BE">
      <w:pPr>
        <w:spacing w:line="540" w:lineRule="exact"/>
        <w:jc w:val="center"/>
        <w:rPr>
          <w:rFonts w:ascii="华文中宋" w:hAnsi="华文中宋" w:eastAsia="华文中宋" w:cs="宋体"/>
          <w:b/>
          <w:kern w:val="0"/>
          <w:sz w:val="52"/>
          <w:szCs w:val="52"/>
        </w:rPr>
      </w:pPr>
    </w:p>
    <w:p w14:paraId="1CAEBD9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19D6013">
      <w:pPr>
        <w:spacing w:line="540" w:lineRule="exact"/>
        <w:jc w:val="center"/>
        <w:rPr>
          <w:rFonts w:hAnsi="宋体" w:eastAsia="仿宋_GB2312" w:cs="宋体"/>
          <w:kern w:val="0"/>
          <w:sz w:val="30"/>
          <w:szCs w:val="30"/>
        </w:rPr>
      </w:pPr>
    </w:p>
    <w:p w14:paraId="3C1A4936">
      <w:pPr>
        <w:spacing w:line="540" w:lineRule="exact"/>
        <w:jc w:val="center"/>
        <w:rPr>
          <w:rFonts w:hAnsi="宋体" w:eastAsia="仿宋_GB2312" w:cs="宋体"/>
          <w:kern w:val="0"/>
          <w:sz w:val="30"/>
          <w:szCs w:val="30"/>
        </w:rPr>
      </w:pPr>
    </w:p>
    <w:p w14:paraId="592FDA65">
      <w:pPr>
        <w:spacing w:line="540" w:lineRule="exact"/>
        <w:jc w:val="center"/>
        <w:rPr>
          <w:rFonts w:hAnsi="宋体" w:eastAsia="仿宋_GB2312" w:cs="宋体"/>
          <w:kern w:val="0"/>
          <w:sz w:val="30"/>
          <w:szCs w:val="30"/>
        </w:rPr>
      </w:pPr>
    </w:p>
    <w:p w14:paraId="14D52856">
      <w:pPr>
        <w:spacing w:line="540" w:lineRule="exact"/>
        <w:jc w:val="center"/>
        <w:rPr>
          <w:rFonts w:hAnsi="宋体" w:eastAsia="仿宋_GB2312" w:cs="宋体"/>
          <w:kern w:val="0"/>
          <w:sz w:val="30"/>
          <w:szCs w:val="30"/>
        </w:rPr>
      </w:pPr>
    </w:p>
    <w:p w14:paraId="3616B1B3">
      <w:pPr>
        <w:spacing w:line="540" w:lineRule="exact"/>
        <w:jc w:val="center"/>
        <w:rPr>
          <w:rFonts w:hAnsi="宋体" w:eastAsia="仿宋_GB2312" w:cs="宋体"/>
          <w:kern w:val="0"/>
          <w:sz w:val="30"/>
          <w:szCs w:val="30"/>
        </w:rPr>
      </w:pPr>
    </w:p>
    <w:p w14:paraId="50ABA6C2">
      <w:pPr>
        <w:spacing w:line="540" w:lineRule="exact"/>
        <w:jc w:val="center"/>
        <w:rPr>
          <w:rFonts w:hAnsi="宋体" w:eastAsia="仿宋_GB2312" w:cs="宋体"/>
          <w:kern w:val="0"/>
          <w:sz w:val="30"/>
          <w:szCs w:val="30"/>
        </w:rPr>
      </w:pPr>
    </w:p>
    <w:p w14:paraId="75627422">
      <w:pPr>
        <w:spacing w:line="540" w:lineRule="exact"/>
        <w:rPr>
          <w:rFonts w:hAnsi="宋体" w:eastAsia="仿宋_GB2312" w:cs="宋体"/>
          <w:kern w:val="0"/>
          <w:sz w:val="30"/>
          <w:szCs w:val="30"/>
        </w:rPr>
      </w:pPr>
    </w:p>
    <w:p w14:paraId="4F2E9D1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964D6A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2024年中央财政基本公共卫生服务补助资金</w:t>
      </w:r>
    </w:p>
    <w:p w14:paraId="60BC3C9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呼图壁县雀尔沟镇卫生院</w:t>
      </w:r>
    </w:p>
    <w:p w14:paraId="2118AA2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呼图壁县雀尔沟镇卫生院</w:t>
      </w:r>
    </w:p>
    <w:p w14:paraId="34E7947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赛里汗</w:t>
      </w:r>
    </w:p>
    <w:p w14:paraId="1FF2909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2025年03月13日</w:t>
      </w:r>
    </w:p>
    <w:p w14:paraId="1CDC20EB">
      <w:pPr>
        <w:spacing w:line="700" w:lineRule="exact"/>
        <w:ind w:firstLine="708" w:firstLineChars="236"/>
        <w:jc w:val="left"/>
        <w:rPr>
          <w:rFonts w:hAnsi="宋体" w:eastAsia="仿宋_GB2312" w:cs="宋体"/>
          <w:kern w:val="0"/>
          <w:sz w:val="30"/>
          <w:szCs w:val="30"/>
        </w:rPr>
      </w:pPr>
    </w:p>
    <w:p w14:paraId="23295ADD">
      <w:pPr>
        <w:spacing w:line="540" w:lineRule="exact"/>
        <w:rPr>
          <w:rStyle w:val="18"/>
          <w:rFonts w:ascii="黑体" w:hAnsi="黑体" w:eastAsia="黑体"/>
          <w:b w:val="0"/>
          <w:spacing w:val="-4"/>
          <w:sz w:val="32"/>
          <w:szCs w:val="32"/>
        </w:rPr>
      </w:pPr>
    </w:p>
    <w:p w14:paraId="4DA973D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B34DE2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04A3C1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基本公共卫生服务补助资金项目是基于财政部、国家卫生健康委联合下发的《关于下达2024年基本公共卫生服务补助资金预算的通知》（财社〔2023〕153号）等文件要求设立的，旨在进一步强化基层医疗卫生服务能力，推动公共卫生服务均等化。随着我国慢性病负担日益加重，高血压、糖尿病等慢性病患者占比超过30%，而基层医疗机构在疾病预防、健康管理等方面仍存在短板，因此该项目的实施具有迫切的必要性，可通过资金直达机制优化资源配置，提升服务效率。项目实施后，预计可实现三大目标：一是将人均基本公共卫生服务经费标准提高，同比增长；二是扩大慢性阻塞性肺疾病等新增病种健康管理覆盖面，强化“平疫结合”能力；三是通过智能监管和绩效考评，确保资金安全高效使用，最终推动基层卫生院服务质效提升，增强群众健康获得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（1）项目名称：2024年基本公共卫生服务补助资金（以下简称“该项目”或“项目”）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一、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③卫生材料支出：如消杀用品、试剂、注射器等耗材。④小型医疗设备购置：单台件不超过20万元的低值医用设备，以提升服务能力。⑤政府购买服务：若基层机构服务能力不足，可通过政府购买方式委托其他医疗机构提供公共卫生服务。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1、疾病预防控制：地方病防治、重大传染病防控（如登革热、霍乱）、疫苗冷链维护等。2、妇幼健康：产前筛查、新生儿疾病筛查、宫颈癌和乳腺癌检查等。3、食品安全与营养：食品污染监测、营养健康宣传等。4、职业病防治：重点职业病监测、放射防护等。5、健康促进：控烟履约、健康素养监测等。三、主要内容①资金分配方式：1、采用“因素法+绩效考核”分配，常住人口数、服务任务量、财力状况等为主要考量因素。2、绩效考核奖惩资金占比不低于10%，动态调整分配。②重点任务：1、强化慢性病管理（如高血压、糖尿病）、老年人健康服务、医养结合等。2、扩大新增病种（如慢性阻塞性肺疾病）健康管理覆盖面。3、推进家庭医生签约服务，补助标准为每人30元。③监管与绩效：1、资金全程监控，标注“中央直达资金”标识，确保专款专用。2、实施绩效评价，结果与下一年度资金分配挂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实施主体：呼图壁县雀尔沟镇卫生院。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基本公共卫生服务补助资金项目实施以来，我院严格按照项目要求分阶段推进各项工作并取得显著成效。在1-3月的准备阶段，重点开展人员能力建设，组织3场次专业培训覆盖医务人员30人次，同时完成辖区居民健康档案的更新与电子化录入工作，建档率达85%以上；4-6月集中开展重点人群健康管理服务，为65岁以上老年人提供免费健康体检45人次，体检完成率达95%；7-10月持续深化慢性病管理和妇幼保健服务，规范管理高血压和糖尿病患者，随访率均保持在85%以上，孕产妇系统管理率达98%，新生儿访视率达100%。通过分阶段、有重点地推进项目实施，不仅提升了基层医疗服务能力，更有效保障了重点人群的健康权益，群众满意度持续提高，充分体现了补助资金在提升基层公共卫生服务质量方面的关键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1、提供基本医疗服务，开展农村常见病、多发病以及明确的慢性非传染性 疾病的诊疗。2、贯彻落实国家基本药物制度，实施基本药物零差率销售。药品 实行统一采购、统一配送的基本药物采购机制。3、协助开展突发公共卫生事件 应急调查和组织工作，承担区域内公共卫生信息的收集和报告。4、开展康复治 疗、康复训练，提供计划生育技术指导与服务。5、对所属村卫生室实行一体化管理，承担对村卫生室和乡村医生的业务管理和指导。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呼图壁县雀尔沟镇卫生院无下属预算单位，下设3个处室，分别是：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一、职能科室：包括财务科、综合业务办、护理部；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二、医技科室：包括药剂科、检验科、功能科、放射科；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三、临床科室：包括内儿科门诊、住院部、公共卫生科。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呼图壁县雀尔沟镇卫生院编制数25，实有人数36人，其中：在职22人，增加0人；退休14人，增加0人；离休0人，增加0人。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本项目预算安排总额为72.31万元，资金来源为2024年基本公共卫生服务补助资金，其中：财政资金72.31万元，其他资金0万元，2024年实际收到预算资金72.31万元，预算资金到位率为100%。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截至2024年12月31日，本项目实际支付资金72.31万元，预算执行率100%。本项目资金主要用于支付人员经费费用47.79万元、公用经费费用16.56万元。</w:t>
      </w:r>
    </w:p>
    <w:p w14:paraId="30FA637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F84AD8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基本公共卫生服务补助资金项目的总体目标是通过系统化的基层卫生服务体系建设，全面提升辖区居民的健康管理水平和服务可及性。项目以乡镇卫生院为核心实施单位，重点加强对村卫生室的业务指导与支持，全年开展业务指导2次，确保基层医疗服务同质化、规范化发展。通过推进老年人健康管理，完成515人的建档数，建立稳定的医患服务关系，为居民提供连续、综合的健康管理。项目着力加强慢性病防控，完成慢病患者的规范随访管理，有效控制病情发展。同时持续完善老年人健康管理建设，实现老年人健康管理档案率达到90%，为精准化健康服务提供数据支撑。最终实现基层医疗服务能力显著提升，重点人群健康管理全面加强，公共卫生服务均等化水平不断提高，切实增强辖区居民的健康获得感和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“开展业务指导次数”指标，预期指标值为“≥2次”；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“老年人健康管理建档数”指标，预期指标值为“≥900人”；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“老年人健康管理率”指标，预期指标值为“≥90%”；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“高血压患者健康管理随访评估费用”指标，预期指标值为“=52元/人次”；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“肺核患者健康管理费用”指标，预期指标值为“=1200元/人次”；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“患者满意度”指标，预期指标值为“≥90%”。</w:t>
      </w:r>
    </w:p>
    <w:p w14:paraId="0725E48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E8BE34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C953BC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此次我单位根据《财政支出绩效评价管理暂行办法》（财预〔2020〕10号）文件要求实施评价工作，本次评价对象为2024年基本公共卫生服务补助资金项目，评价核心为项目资金、项目产出、项目效益。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（五）《财政部国家卫生健康委关于下达2024年基本公共卫生服务补助资金预算的通知》（财社〔2023〕153号），明确了资金使用范围和绩效目标要求；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（六）《国家基本公共卫生服务规范（第三版）》，规定了各项服务的具体内容和质量标准；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（七）《基本公共卫生服务补助资金管理办法》（财社〔2022〕31号），对资金管理、使用和绩效考核提出了具体要求；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（八）《关于做好2024年基本公共卫生服务项目工作的通知》（国卫基层发〔2023〕1号），细化了年度重点任务和考核指标；</w:t>
      </w:r>
    </w:p>
    <w:p w14:paraId="72AE6EA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1C03A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关键绩效指标法、成本效益分析法、满意度调查法以及过程追踪法对项目进行评价，旨在通过综合分析影响绩效目标实现、实施效果的内外部因素，从而评价本项目绩效。三级指标分析环节：总体采用目标管理法、关键绩效指标法、成本效益分析法、满意度调查法以及过程追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1、目标管理法：通过对比项目实际完成情况与预设绩效目标（如服务覆盖率、随访率等量化指标），评估目标达成程度，衡量项目实施效果。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2、关键绩效指标法（KPI）：选取核心指标（如电子健康档案建档率、慢性病规范管理率等）进行量化考核，反映项目重点任务的完成质量。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3、成本效益分析法：评估资金投入与产出效益的比例关系，分析公共卫生服务的经济性和资源利用效率。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4、满意度调查法：通过问卷调查或访谈收集服务对象（如居民、医务人员）的满意度反馈，衡量服务质量和社会效益。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5、过程追踪法：动态监测项目实施各环节（如资金拨付、服务开展等），确保流程合规和及时纠偏。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B5953A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4A966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赛里汗（评价小组组长）：主要负责项目策划和监督，全面负责项目绩效评价办稿的最终质量，对评估人员出具的最终报告质量进行复核，确保评估结果的客观性；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阿依夏木古丽·阿山（评价小组组员）：主要负责资料的收集，取证、数据统计分析；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陈丽莎（评价小组组员）：主要负责主要负责项目报告的制定，指标的研判，数据分析及报告撰写。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经调研了解，该项目主要受益群体包括居民。我们根据绩效评价目标和绩效指标体系，设计满意度调查问卷进行问卷调查，其中居民受益对象共选取样本20人，共发放问卷20份，最终收回20份。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54D281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BAE3B8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部分达成年初设立的绩效目标，在实施过程中取得了良好的成效，具体表现在：通过2024年基本公共卫生服务补助资金项目的实施，完成了对6个村卫生室的业务指导、515名老年人健康管理建档数，实现了老年人健康管理率90%的产出目标，发挥了提升基层医疗服务能力、增强重点人群健康管理水平、促进公共卫生服务均等化的显著效益。但在实施过程中也存在一些不足：部分偏远村落的健康服务覆盖仍不够全面，老年群体对电子健康档案的使用接受度较低，慢性病管理的长期随访依从性有待提高，以及基层医务人员专业能力与日益增长的服务需求之间存在一定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此次绩效评价通过绩效评价小组论证的评价指标体系及评分标准，采用因素分析法和比较法对本项目绩效进行客观评价，本项目共设置三级指标数量20个，实现三级指标数量18个，总体完成率为</w:t>
      </w:r>
      <w:r>
        <w:rPr>
          <w:rStyle w:val="18"/>
          <w:rFonts w:hint="eastAsia" w:ascii="楷体" w:hAnsi="楷体" w:eastAsia="楷体"/>
          <w:b w:val="0"/>
          <w:bCs w:val="0"/>
          <w:spacing w:val="-4"/>
          <w:sz w:val="32"/>
          <w:szCs w:val="32"/>
          <w:lang w:val="en-US" w:eastAsia="zh-CN"/>
        </w:rPr>
        <w:t>100.00</w:t>
      </w:r>
      <w:r>
        <w:rPr>
          <w:rStyle w:val="18"/>
          <w:rFonts w:hint="eastAsia" w:ascii="楷体" w:hAnsi="楷体" w:eastAsia="楷体"/>
          <w:b w:val="0"/>
          <w:bCs w:val="0"/>
          <w:spacing w:val="-4"/>
          <w:sz w:val="32"/>
          <w:szCs w:val="32"/>
        </w:rPr>
        <w:t>%。最终评分结果：总分为9</w:t>
      </w:r>
      <w:r>
        <w:rPr>
          <w:rStyle w:val="18"/>
          <w:rFonts w:hint="eastAsia" w:ascii="楷体" w:hAnsi="楷体" w:eastAsia="楷体"/>
          <w:b w:val="0"/>
          <w:bCs w:val="0"/>
          <w:spacing w:val="-4"/>
          <w:sz w:val="32"/>
          <w:szCs w:val="32"/>
          <w:lang w:val="en-US" w:eastAsia="zh-CN"/>
        </w:rPr>
        <w:t>2</w:t>
      </w:r>
      <w:bookmarkStart w:id="0" w:name="_GoBack"/>
      <w:bookmarkEnd w:id="0"/>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项目产出类指标共设置5个，满分指标4个，得分率91.44%；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项目效益类指标共设置2个，满分指标1个，得分率94.45%。</w:t>
      </w:r>
    </w:p>
    <w:p w14:paraId="3BC047F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A020EC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40444A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基本医疗卫生与健康促进法》（2019年）明确要求建立健全基本公共卫生服务体系，保障城乡居民公平获得基本公共卫生服务；《预算法》及《基本公共卫生服务补助资金管理办法》（财社〔2022〕31号）规范资金管理，确保专款专用；与《"十四五"国民健康规划》提出的"强化基层公共卫生服务能力"目标直接衔接，支持乡村振兴战略中"健康乡村"建设要求。本项目立项符合国家卫健委《关于做好2024年基本公共卫生服务工作的通知》明确项目任务清单，包括慢性病管理、妇幼保健等12类服务；紧密对接《"千县工程"县医院综合能力提升工作方案》，通过资金下沉强化县域医共体网底功能。本项目立项符合《呼图壁县二十里店镇卫生院配置内设机构和人员编制规定》中职责范围中的“医疗防疫职能、保健任务、村卫生室指导、会计制度适配性”，属于我单位履职所需；根据《财政资金直接支付申请书》，本项目资金性质为“公共财政预算”功能分类为“基本公共卫生服务”经济分类为“其他工资福利支出、维修（护）费、办公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下达2024年基本公共卫生服务补助资金预算的通知》（财社〔2023〕153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72.31万元用于完成老人健康管理建档数不少于900人，开展业务指导次数不少于2次，缩小城乡居民公共卫生差距，成本控制率100%”；本项目实际工作内容为：该项目实际完成完成家庭签约，进行全民体检工作，并开展村卫生指导等工作，其中：家庭医生签约人数达到5673人，老年人健康档案数达到515人，开展村卫生指导次数2次。通过实施该项目，使辖区内健康危害因素、健康问题得到改善。；绩效目标与实际工作内容一致，两者具有相关性;本项目预算申请资金72.31万元，预算确定资金量与实际工作任务相匹配。本项目按照绩效目标完成了数量指标、质量指标、时效指标、成本指标，有效保障辖区内健康危害因素、健康问题，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本项目本项目预算编制采用"三结合"的科学方法：政策要求与实际需求相结合、历史数据与市场调研相结合、定量分析与专家论证相结合。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科学编制具体体现---基础数据支撑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①服务人口精准测算：基于辖区11060常住人口（公安部门最新数据）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②服务量科学预估：慢性病管理：根据上年度实际管理人数2800人，结合5%增长率测算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③老年人健康体检：按65岁以上人口占比15%计算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④成本参数市场化：耗材单价采用最近3个月市场询价中位数；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预算申请内容为本项目拟投入72.31万元用于完成老人健康管理建档数不少于900人，开展业务指导次数不少于2次，缩小城乡居民公共卫生差距，成本控制率100%，项目实际内容为截至 2024 年 12 月 31 日，该项目实际完成完成家庭签约，进行全民体检工作，并开展村卫生指导等工作，其中：家庭医生签约人数达到5673人，老年人健康档案数达到515人，开展村卫生指导次数2次。通过实施该项目，使辖区内健康危害因素、健康问题得到改善。，预算申请与《基本公共卫生服务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72.31万元，我单位在预算申请中严格按照单位标准和数量进行核算，其中：其他工资福利支出47.79万元、办公费0.25万元、印刷费3.25万元、电费0.4万元、邮电费0.4万元、取暖费3.66万元、维修（护）费6万元、专用材料费0.07万元、委托业务费0.72万元、其他交通费用1.81万元、生活补助0.64万元、专用设备购置7.32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基本公共卫生服务补助资金项目资金的请示》和《基本公共卫生服务补助资金项目实施方案》为依据进行资金分配，预算资金分配依据充分。根据《基本公共卫生服务补助资金项目资金下达文件》文件显示，本项目实际到位资金72.31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1092B3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7A147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本项目预算资金为72.31万元，其中：本级财政安排资金72.31万元，其他资金0万元，实际到位资金72.31万元，资金到位率=（实际到位资金/预算资金）×100.00%=（72.31/72.31）*100.00%=100%。得分=资金到位率*分值=100%*4=4分。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本项目实际支出资金72.31万元，预算执行率=（实际支出资金/实际到位资金）×100.00%=（72.31/72.31）*100.00%=100%。得分=预算执行率*分值=100%*5=5分。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雀尔沟镇卫生院单位资金管理办法》《基本公共卫生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雀尔沟镇卫生院资金管理办法》《呼图壁县雀尔沟镇卫生院收支业务管理制度》《呼图壁县雀尔沟镇卫生院政府采购业务管理制度》《呼图壁县雀尔沟镇卫生院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基本公共卫生服务补助资金项目工作领导小组，由党组书记赛里汗任组长，负责项目的组织工作；努尔热依任副组长，负责项目的实施工作；组员包括：阿依夏木古丽·阿山和陈丽莎，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E446E6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F3584C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项目产出类指标由3个二级指标和5个三级指标构成，权重分20分，实际得分18分。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“开展村卫生室业务指导次数”指标：预期指标值为“≥2次”，实际完成指标值为“=2次”，指标完成率为100.0%。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“老年人健康管理建档数”指标：预期指标值为“≥900人”，实际完成指标值为“=515人”，指标完成率为57.22%。（偏差率为42.78%，偏差原因主要为：因本年未进行加随，老年人健康管理建档数减少。）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“老年人健康管理率”指标：预期指标值为“≥90%”，实际完成指标值为“=90%”，指标完成率为100.0%。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“项目完成合格率”指标：预期指标值为“＝100%”，实际完成指标值为“=100%”，指标完成率为100.0%。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“高血压患者健康管理随访评估费用”指标：预期指标值为“＝52元/人次”，实际完成指标值为“＝52元/人次”，指标完成率为100%。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“肺核患者健康管理费用”指标：预期指标值为“＝1200元/人次”，实际完成指标值为“＝1200元/人次”，指标完成率为100%。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2AFB29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A1C647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项目效益类指标由2个二级指标和2个三级指标构成，权重分30.0分，实际得分28分。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“缩小城乡居民公共卫生差距”指标：预期指标值为“良好”，实际完成指标值为“达到预期指标”，指标完成率为100.0%。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9176C2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“患者满意度”指标：预期指标值为“≥90%”，实际完成指标值为“=90%”，指标完成率为80%。（偏差率为20%，偏差原因主要为：因卫生院基础设施陈旧，设备老化，导致患者满意度未达到预期指标值。）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综上所述，本指标满分为10分，根据评分标准得8分。</w:t>
      </w:r>
    </w:p>
    <w:p w14:paraId="0BEF58F9">
      <w:pPr>
        <w:spacing w:line="540" w:lineRule="exact"/>
        <w:ind w:firstLine="567"/>
        <w:rPr>
          <w:rStyle w:val="18"/>
          <w:rFonts w:hint="eastAsia" w:ascii="楷体" w:hAnsi="楷体" w:eastAsia="楷体"/>
          <w:b w:val="0"/>
          <w:bCs w:val="0"/>
          <w:spacing w:val="-4"/>
          <w:sz w:val="32"/>
          <w:szCs w:val="32"/>
        </w:rPr>
      </w:pPr>
    </w:p>
    <w:p w14:paraId="7FD67C08">
      <w:pPr>
        <w:spacing w:line="540" w:lineRule="exact"/>
        <w:ind w:firstLine="567"/>
        <w:rPr>
          <w:rStyle w:val="18"/>
          <w:rFonts w:ascii="楷体" w:hAnsi="楷体" w:eastAsia="楷体"/>
          <w:spacing w:val="-4"/>
          <w:sz w:val="32"/>
          <w:szCs w:val="32"/>
        </w:rPr>
      </w:pPr>
    </w:p>
    <w:p w14:paraId="586644B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24AE2B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卫生院建立了由主要领导挂帅、多科室协同的工作机制，通过明确职责分工、定期召开推进会等方式，确保项目有序推进。注重发挥村卫生室网底作用，形成乡村两级联动服务模式，同时加强人员培训，提升服务团队专业能力，为项目实施提供有力组织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方面，创新采用信息化手段实现服务全过程监管，建立标准化服务流程和质量控制体系。通过细化任务清单、强化绩效考核、实施动态监测等措施，确保各项服务规范开展。特别注重重点人群健康管理，建立分类服务机制，实现精准化健康服务，有效提升服务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严格执行专项资金管理制度，实行专账核算、专人管理。建立资金使用审批流程和内控制度，确保资金使用合规安全。创新采用"预算-执行-分析-调整"闭环管理模式，定期开展资金使用效益分析，提高资金使用效率。同时主动接受审计监督，确保每一分资金都用在刀刃上，切实发挥资金最大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一、问题：老年人健康档案建档数未达标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1、信息采集渠道单一：目前主要依靠卫生院门诊和集中体检采集信息，未能有效覆盖居家养老和行动不便的老年人群体。2、健康意识不足：部分老年人对建立健康档案的重要性认识不够，存在"没病不用建档"的传统观念。3、服务可及性受限：体检时间安排不合理，与农忙时节冲突、部分偏远村居交通不便、部分老人因听力、视力障碍影响沟通。4、信息化应用障碍：部分老年人不会使用智能手机，无法及时接收建档通知和查询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二、问题：慢性病随访质量待提高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原因分析：随访形式以电话为主缺乏针对性，部分患者依从性差，医务人员随访技巧不足。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三、问题：重点人群服务覆盖率不足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原因分析：流动人口管理难度大，部分老年人行动不便，健康宣教方式单一导致居民参与意愿低。</w:t>
      </w:r>
    </w:p>
    <w:p w14:paraId="1B83258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82CB77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一、问题：老年人健康档案建档数未达标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建议及措施：1、拓展信息采集渠道：开展"健康档案入户"行动，组织医护团队上门服务、与养老机构、老年活动中心合作设立临时采集点、利用慢性病随访、疫苗接种等时机同步完善档案。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2、加强宣传引导：邀请已建档老人现身说法，用实际案例说明建档益处、子女协助宣传，提高老人接受度。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3、优化服务方式：提供接送服务或安排流动体检车下乡、配备老花镜、助听器等便民设施。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4、创新技术应用：开通电话预约和查询专线、推行"健康档案明白卡"，纸质版简明易懂。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二、问题：慢性病随访质量待提高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建议及措施：推行分类随访制度，按病情风险等级制定随访方案；开展情景模拟培训提升沟通技巧；建立患者自我管理小组，增强互动性。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三、问题：重点人群服务覆盖率不足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建议及措施：推行"网格化+信息化"管理模式，联合村委会开展入户服务；增设流动服务点，为行动不便人群提供上门体检；创新采用短视频、直播等新媒体开展健康宣教。</w:t>
      </w:r>
    </w:p>
    <w:p w14:paraId="745F2D4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7A939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329DE4C">
      <w:pPr>
        <w:spacing w:line="540" w:lineRule="exact"/>
        <w:ind w:firstLine="567"/>
        <w:rPr>
          <w:rStyle w:val="18"/>
          <w:rFonts w:ascii="仿宋" w:hAnsi="仿宋" w:eastAsia="仿宋"/>
          <w:b w:val="0"/>
          <w:spacing w:val="-4"/>
          <w:sz w:val="32"/>
          <w:szCs w:val="32"/>
        </w:rPr>
      </w:pPr>
    </w:p>
    <w:p w14:paraId="68F0E3C2">
      <w:pPr>
        <w:spacing w:line="540" w:lineRule="exact"/>
        <w:ind w:firstLine="567"/>
        <w:rPr>
          <w:rStyle w:val="18"/>
          <w:rFonts w:ascii="仿宋" w:hAnsi="仿宋" w:eastAsia="仿宋"/>
          <w:b w:val="0"/>
          <w:spacing w:val="-4"/>
          <w:sz w:val="32"/>
          <w:szCs w:val="32"/>
        </w:rPr>
      </w:pPr>
    </w:p>
    <w:p w14:paraId="41956317">
      <w:pPr>
        <w:spacing w:line="540" w:lineRule="exact"/>
        <w:ind w:firstLine="567"/>
        <w:rPr>
          <w:rStyle w:val="18"/>
          <w:rFonts w:ascii="仿宋" w:hAnsi="仿宋" w:eastAsia="仿宋"/>
          <w:b w:val="0"/>
          <w:spacing w:val="-4"/>
          <w:sz w:val="32"/>
          <w:szCs w:val="32"/>
        </w:rPr>
      </w:pPr>
    </w:p>
    <w:p w14:paraId="732F19AF">
      <w:pPr>
        <w:spacing w:line="540" w:lineRule="exact"/>
        <w:ind w:firstLine="567"/>
        <w:rPr>
          <w:rStyle w:val="18"/>
          <w:rFonts w:ascii="仿宋" w:hAnsi="仿宋" w:eastAsia="仿宋"/>
          <w:b w:val="0"/>
          <w:spacing w:val="-4"/>
          <w:sz w:val="32"/>
          <w:szCs w:val="32"/>
        </w:rPr>
      </w:pPr>
    </w:p>
    <w:p w14:paraId="2BF753B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D689080">
        <w:pPr>
          <w:pStyle w:val="12"/>
          <w:jc w:val="center"/>
        </w:pPr>
        <w:r>
          <w:fldChar w:fldCharType="begin"/>
        </w:r>
        <w:r>
          <w:instrText xml:space="preserve">PAGE   \* MERGEFORMAT</w:instrText>
        </w:r>
        <w:r>
          <w:fldChar w:fldCharType="separate"/>
        </w:r>
        <w:r>
          <w:rPr>
            <w:lang w:val="zh-CN"/>
          </w:rPr>
          <w:t>2</w:t>
        </w:r>
        <w:r>
          <w:fldChar w:fldCharType="end"/>
        </w:r>
      </w:p>
    </w:sdtContent>
  </w:sdt>
  <w:p w14:paraId="2659511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01B9B"/>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12433</Words>
  <Characters>13130</Characters>
  <Lines>4</Lines>
  <Paragraphs>1</Paragraphs>
  <TotalTime>8</TotalTime>
  <ScaleCrop>false</ScaleCrop>
  <LinksUpToDate>false</LinksUpToDate>
  <CharactersWithSpaces>13172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2025-08-12T08:14:27Z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