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76C05B">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03F7A7C">
      <w:pPr>
        <w:spacing w:line="540" w:lineRule="exact"/>
        <w:jc w:val="center"/>
        <w:rPr>
          <w:rFonts w:ascii="华文中宋" w:hAnsi="华文中宋" w:eastAsia="华文中宋" w:cs="宋体"/>
          <w:b/>
          <w:kern w:val="0"/>
          <w:sz w:val="52"/>
          <w:szCs w:val="52"/>
        </w:rPr>
      </w:pPr>
    </w:p>
    <w:p w14:paraId="2F7E3DA5">
      <w:pPr>
        <w:spacing w:line="540" w:lineRule="exact"/>
        <w:jc w:val="center"/>
        <w:rPr>
          <w:rFonts w:ascii="华文中宋" w:hAnsi="华文中宋" w:eastAsia="华文中宋" w:cs="宋体"/>
          <w:b/>
          <w:kern w:val="0"/>
          <w:sz w:val="52"/>
          <w:szCs w:val="52"/>
        </w:rPr>
      </w:pPr>
    </w:p>
    <w:p w14:paraId="5602966D">
      <w:pPr>
        <w:spacing w:line="540" w:lineRule="exact"/>
        <w:jc w:val="center"/>
        <w:rPr>
          <w:rFonts w:ascii="华文中宋" w:hAnsi="华文中宋" w:eastAsia="华文中宋" w:cs="宋体"/>
          <w:b/>
          <w:kern w:val="0"/>
          <w:sz w:val="52"/>
          <w:szCs w:val="52"/>
        </w:rPr>
      </w:pPr>
    </w:p>
    <w:p w14:paraId="101477A5">
      <w:pPr>
        <w:spacing w:line="540" w:lineRule="exact"/>
        <w:jc w:val="center"/>
        <w:rPr>
          <w:rFonts w:ascii="华文中宋" w:hAnsi="华文中宋" w:eastAsia="华文中宋" w:cs="宋体"/>
          <w:b/>
          <w:kern w:val="0"/>
          <w:sz w:val="52"/>
          <w:szCs w:val="52"/>
        </w:rPr>
      </w:pPr>
    </w:p>
    <w:p w14:paraId="2A03ABD4">
      <w:pPr>
        <w:spacing w:line="540" w:lineRule="exact"/>
        <w:jc w:val="center"/>
        <w:rPr>
          <w:rFonts w:ascii="华文中宋" w:hAnsi="华文中宋" w:eastAsia="华文中宋" w:cs="宋体"/>
          <w:b/>
          <w:kern w:val="0"/>
          <w:sz w:val="52"/>
          <w:szCs w:val="52"/>
        </w:rPr>
      </w:pPr>
    </w:p>
    <w:p w14:paraId="12CF8FA3">
      <w:pPr>
        <w:spacing w:line="540" w:lineRule="exact"/>
        <w:jc w:val="center"/>
        <w:rPr>
          <w:rFonts w:ascii="华文中宋" w:hAnsi="华文中宋" w:eastAsia="华文中宋" w:cs="宋体"/>
          <w:b/>
          <w:kern w:val="0"/>
          <w:sz w:val="52"/>
          <w:szCs w:val="52"/>
        </w:rPr>
      </w:pPr>
    </w:p>
    <w:p w14:paraId="57293B9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CEF962C">
      <w:pPr>
        <w:spacing w:line="540" w:lineRule="exact"/>
        <w:jc w:val="center"/>
        <w:rPr>
          <w:rFonts w:ascii="华文中宋" w:hAnsi="华文中宋" w:eastAsia="华文中宋" w:cs="宋体"/>
          <w:b/>
          <w:kern w:val="0"/>
          <w:sz w:val="52"/>
          <w:szCs w:val="52"/>
        </w:rPr>
      </w:pPr>
    </w:p>
    <w:p w14:paraId="53B2D0DF">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754C5A1D">
      <w:pPr>
        <w:spacing w:line="540" w:lineRule="exact"/>
        <w:jc w:val="center"/>
        <w:rPr>
          <w:rFonts w:hAnsi="宋体" w:eastAsia="仿宋_GB2312" w:cs="宋体"/>
          <w:kern w:val="0"/>
          <w:sz w:val="30"/>
          <w:szCs w:val="30"/>
        </w:rPr>
      </w:pPr>
    </w:p>
    <w:p w14:paraId="3C850AC4">
      <w:pPr>
        <w:spacing w:line="540" w:lineRule="exact"/>
        <w:jc w:val="center"/>
        <w:rPr>
          <w:rFonts w:hAnsi="宋体" w:eastAsia="仿宋_GB2312" w:cs="宋体"/>
          <w:kern w:val="0"/>
          <w:sz w:val="30"/>
          <w:szCs w:val="30"/>
        </w:rPr>
      </w:pPr>
    </w:p>
    <w:p w14:paraId="1400EA22">
      <w:pPr>
        <w:spacing w:line="540" w:lineRule="exact"/>
        <w:jc w:val="center"/>
        <w:rPr>
          <w:rFonts w:hAnsi="宋体" w:eastAsia="仿宋_GB2312" w:cs="宋体"/>
          <w:kern w:val="0"/>
          <w:sz w:val="30"/>
          <w:szCs w:val="30"/>
        </w:rPr>
      </w:pPr>
    </w:p>
    <w:p w14:paraId="32D78037">
      <w:pPr>
        <w:spacing w:line="540" w:lineRule="exact"/>
        <w:jc w:val="center"/>
        <w:rPr>
          <w:rFonts w:hAnsi="宋体" w:eastAsia="仿宋_GB2312" w:cs="宋体"/>
          <w:kern w:val="0"/>
          <w:sz w:val="30"/>
          <w:szCs w:val="30"/>
        </w:rPr>
      </w:pPr>
    </w:p>
    <w:p w14:paraId="08307A12">
      <w:pPr>
        <w:spacing w:line="540" w:lineRule="exact"/>
        <w:jc w:val="center"/>
        <w:rPr>
          <w:rFonts w:hAnsi="宋体" w:eastAsia="仿宋_GB2312" w:cs="宋体"/>
          <w:kern w:val="0"/>
          <w:sz w:val="30"/>
          <w:szCs w:val="30"/>
        </w:rPr>
      </w:pPr>
    </w:p>
    <w:p w14:paraId="63D88AD8">
      <w:pPr>
        <w:spacing w:line="540" w:lineRule="exact"/>
        <w:jc w:val="center"/>
        <w:rPr>
          <w:rFonts w:hAnsi="宋体" w:eastAsia="仿宋_GB2312" w:cs="宋体"/>
          <w:kern w:val="0"/>
          <w:sz w:val="30"/>
          <w:szCs w:val="30"/>
        </w:rPr>
      </w:pPr>
    </w:p>
    <w:p w14:paraId="276078F2">
      <w:pPr>
        <w:spacing w:line="540" w:lineRule="exact"/>
        <w:rPr>
          <w:rFonts w:hAnsi="宋体" w:eastAsia="仿宋_GB2312" w:cs="宋体"/>
          <w:kern w:val="0"/>
          <w:sz w:val="30"/>
          <w:szCs w:val="30"/>
        </w:rPr>
      </w:pPr>
    </w:p>
    <w:p w14:paraId="5E79189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B36C4B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bookmarkStart w:id="0" w:name="_GoBack"/>
      <w:bookmarkEnd w:id="0"/>
      <w:r>
        <w:rPr>
          <w:rStyle w:val="18"/>
          <w:rFonts w:hint="eastAsia" w:ascii="楷体" w:hAnsi="楷体" w:eastAsia="楷体"/>
          <w:spacing w:val="-4"/>
          <w:sz w:val="32"/>
          <w:szCs w:val="32"/>
        </w:rPr>
        <w:t>2024年城乡义务教育补助经费（中央直达资金）（小学公用经费）</w:t>
      </w:r>
    </w:p>
    <w:p w14:paraId="6B763363">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呼图壁县雀尔沟镇小学</w:t>
      </w:r>
    </w:p>
    <w:p w14:paraId="1E9A3051">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呼图壁县雀尔沟镇小学</w:t>
      </w:r>
    </w:p>
    <w:p w14:paraId="0775960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李金艳</w:t>
      </w:r>
    </w:p>
    <w:p w14:paraId="202093F7">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2025年03月14日</w:t>
      </w:r>
    </w:p>
    <w:p w14:paraId="5B37024C">
      <w:pPr>
        <w:spacing w:line="700" w:lineRule="exact"/>
        <w:ind w:firstLine="708" w:firstLineChars="236"/>
        <w:jc w:val="left"/>
        <w:rPr>
          <w:rFonts w:hAnsi="宋体" w:eastAsia="仿宋_GB2312" w:cs="宋体"/>
          <w:kern w:val="0"/>
          <w:sz w:val="30"/>
          <w:szCs w:val="30"/>
        </w:rPr>
      </w:pPr>
    </w:p>
    <w:p w14:paraId="19709228">
      <w:pPr>
        <w:spacing w:line="540" w:lineRule="exact"/>
        <w:rPr>
          <w:rStyle w:val="18"/>
          <w:rFonts w:ascii="黑体" w:hAnsi="黑体" w:eastAsia="黑体"/>
          <w:b w:val="0"/>
          <w:spacing w:val="-4"/>
          <w:sz w:val="32"/>
          <w:szCs w:val="32"/>
        </w:rPr>
      </w:pPr>
    </w:p>
    <w:p w14:paraId="782CDDA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C7F5CA4">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2A71E4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根据《关于提前下达2024年城乡义务教育补助经费预算的通知》等文件精神，按照中央财政承担比例不低于60%的城乡义务教育经费保障机制要求，呼图壁县雀尔沟镇小学作为地处农牧区交界的基层学校，公用经费长期处于全县平均水平以下，现有资金难以覆盖冬季采暖、信息化设备维护及校园安全设施更新等刚性支出，2023年该校公用经费缺口达23%，严重制约教育教学质量提升。项目实施后，预计可使该校生均公用经费保障水平提高至自治区标准的100%，重点支持智慧校园建设、教学资源采购及基础设施改造，确保2024年实现班均多媒体设备覆盖率95%、校园安防系统数字化率100%、生均图书增量15%的目标，切实巩固义务教育优质均衡发展成果，为边疆民族地区教育公平提供可持续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（1）项目名称：2024年城乡义务教育补助经费（中央直达资金）（小学公用经费）项目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（2）项目主要内容：本项目拟投入61.73（项目预算）万元用于完成日常教育教学活动的合理经费支出内容，通过项目的实施，促进学校日常运转的发展，完善教育教学，提高了教学水平。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实施主体：呼图壁县雀尔沟镇小学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雀尔沟镇小学围绕2024年城乡义务教育补助经费（中央直达资金）项目实施，严格遵循规范流程推进。前期通过需求调研、方案论证及预算细化，明确公用经费重点投向智慧教学设备、安防系统升级和图书资源补充领域，协同教育、财政等部门完成可行性审核；招投标环节依据政府采购法规公开遴选优质供应商，竞争性磋商确定兼具资质与性价比的服务方，确保资金使用效益最大化；实施过程分阶段推进设备采购、安装调试及配套改造，引入第三方监理全程监督进度质量，动态解决农牧区校舍布线改造、冬季施工保障等难题；验收环节由多部门联合组成专家组，对照合同技术参数逐项核验多媒体教学设备功能、安防系统运行稳定性及图书采购清单，同步开展资金审计确保支出合规；项目投入使用后，班均多媒体设备覆盖率提升至95%，校园安防实现全区域数字化监测预警，生均图书增量达15%，有效缓解公用经费结构性短缺问题，为教育教学活动提供稳定支撑，助力边疆基层学校办学条件与育人质量同步跃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雀尔沟镇小学作为边疆农牧区基层义务教育学校，主要承担辖区内适龄儿童小学阶段基础教育职能，全面落实国家课程标准，实施德智体美劳全面发展的素质教育，保障少数民族学生、农牧民子女及留守儿童平等接受义务教育的权利。其核心职能包括：通过规范化教学管理推进基础教育质量提升，依托课程教学、实践活动及校园文化建设培养学生核心素养；结合边疆多民族聚居特点，开展国家通用语言文字教育，促进民族团结进步；利用中央直达资金等专项经费改善办学条件，优化教学资源配置，缩小城乡教育差距；同时履行校园安全管理、家校协同育人等社会服务职能，助力乡村振兴和基层教育公平可持续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呼图壁县雀尔沟镇小学单位无下属预算单位，下设5个处室，分别是教务处、总务处、财务室、书记室、校长室。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呼图壁县雀尔沟镇小学单位编制数41，实有人数76，期中：在职人数 76 人，退休 81 人，增加 0 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本项目预算安排总额为61.73万元，资金来源为财政资金61.73万元，2024年实际收到预算资金61.73万元，预算资金到位率为100%。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截至2024年12月31日，本项目实际支付资金61.73万元，预算执行率100%。本项目资金主要用于支付学校运转及维护费用51.3万元、培训费用4.43万元、办公费用6万元。</w:t>
      </w:r>
    </w:p>
    <w:p w14:paraId="041DFCA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C2DE4B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 年城乡义务教育补助经费项目实施后，旨在让全国城乡小学足额获取公用经费，推动各地小学教学耗材和图书资料采购数量大幅增长，教学耗材能充分满足日常教学需求，人均新增课外读物达一定数量。同时，保障各小学按计划完成校园设施的维修维护，确保学校基础设施完好率维持在较高水平。助力教师培训活动全面开展，让每位教师每年至少参与一次高质量的专业培训，提升教师专业素养。最终显著提升城乡小学教育教学质量，增强学生学习体验，助力学生德智体美劳全面发展，缩小城乡、区域之间的小学教育差距，推动义务教育优质均衡发展，使学生、家长和教师对小学教育的满意度达到既定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义务教育阶段学生人数指标，预期指标值为“&gt;=616人”；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“享受学生和教职工人数”指标，预期指标值为“&gt;=677人”；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“办公费用”指标，预期指标值为“&lt;=6万元”；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“培训费用”指标，预期指标值为“&lt;=4.43万元”；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“学校运转及维护费用”指标，预期指标值为“&lt;=51.30万元”；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“改善办学水平”指标，达到预期指标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“家长满意度”指标，预期指标值为“&gt;=95%”。</w:t>
      </w:r>
    </w:p>
    <w:p w14:paraId="752E72A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B2008C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AB182B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城乡义务教育补助经费（中央直达资金）（小学公用经费）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（5）《关于2024年城乡义务教育补助经费指标到位的通知》（财教〔2023〕95号）：明确资金分配原则、使用范围及绩效目标要求。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（6）《中央财政支持义务教育学校公用经费补助资金管理办法》：规定资金“保基本、补短板、提质量”的使用方向，要求重点保障教学活动和基本运转需求。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（7）新疆维吾尔自治区《城乡义务教育补助经费管理实施细则》：细化公用经费支出结构、绩效监控机制及边疆地区倾斜政策。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（8）昌吉州教育局、财政局联合发布的《义务教育学校项目绩效评价操作指南》：明确评价指标框架、数据采集标准及结果应用要求。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（9）《关于2024年城乡义务教育补助经费中央资金到位的通知》（财教〔2024〕90号）：明确资金分配原则、使用范围及绩效目标要求。</w:t>
      </w:r>
    </w:p>
    <w:p w14:paraId="7B5892D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86B497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目标管理法、成本效益分析法、问卷调查法对项目进行评价，旨在通过综合分析影响绩效目标实现、实施效果的内外部因素，从而评价本项目绩效。三级指标分析环节：目标管理法、成本效益分析法、问卷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1.目标管理法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以项目预设的绩效目标（如班均多媒体覆盖率、生均图书增量等）为核心，通过对比实际完成数据与目标值的差异，衡量资金使用效率和目标达成度，体现“目标导向、结果控制”原则。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2.成本效益分析法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通过量化项目投入（中央直达资金额度）与产出效益（如设备覆盖率提升、教学条件改善等）的比例关系，评估资金使用的经济性和效益性，验证是否实现“低投入、高产出”的资源配置目标。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问卷调查法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通过设计面向师生、家长的满意度问卷（如设备使用体验、校园安全感知等），收集主观反馈数据，评估项目在服务对象群体中的实际成效和社会认可度。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D4C085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657E2E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李金艳（评价小组组长）：主要负责项目策划和监督，全面负责项目绩效评价办稿的最终质量，对评估人员出具的最终报告质量进行复核，确保评估结果的客观性；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木合亚提（评价小组组员）：主要负责资料的收集，取证、数据统计分析；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努尔哈孜（评价小组组员）：主要负责主要负责项目报告的制定，指标的研判，数据分析及报告撰写。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2024年3月3日-3月15日，评价工作进入实施阶段。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学生、教师。我们根据绩效评价目标和绩效指标体系，设计满意度调查问卷进行问卷调查，其中学生受益对象共选取样本38人，共发放问卷38份，最终收回38份；教师受益对象共选取样本38人，共发放问卷38份，最终收回38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F11744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7E0262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在教学资源扩充方面，学校凭借补助资金，采购了充足的教学耗材，如粉笔、作业本、实验器材等，满足了全年教学需求；新购置课外书籍 1000 余册，人均新增课外读物5本，丰富了学生的课余知识储备，达成了教学资源采购的产出目标。在硬件设施维护上，完成了校园水电设施的全面检修教室桌椅的更新，确保教学环境安全、舒适。同时，通过组织教师参加专业培训，显著提升了教师的教学水平与专业素养，发挥了助力教学质量提升的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然而，项目实施过程中仍存在一些不足。在资金使用方面，部分采购流程繁琐，导致部分教学设备采购进度滞后，影响了教学活动的及时开展。此外，在教师培训内容的针对性上有待加强，部分培训内容与学校实际教学需求结合不够紧密，降低了培训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100%。最终评分结果：总分为100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项目产出类指标共设置3个，满分指标3个，得分率100%；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项目成本类指标共设置3个，满分指标3个，得分率100%；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4390E09C">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FC3B3E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12BD5BF">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本项目立项符合《中华人民共和国教育法》明确国家保障义务教育经费投入，促进教育公平，支持农村和边远地区学校改善办学条件。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华人民共和国义务教育法》规定义务教育经费由国务院和地方各级政府依法保障，重点向农村、民族和边远贫困地区倾斜。《中央财政义务教育补助资金管理办法》规范城乡义务教育补助资金的使用范围，强调公用经费应优先保障学校基本运转和教学需求。符合国家法律法规、国民经济发展规划和相关政策；本项目立项符合《国务院关于进一步完善城乡义务教育经费保障机制的通知》明确中央财政对地方义务教育公用经费的分担比例（如西部地区不低于60%），强化直达资金精准惠及基层学校。符合行业发展规划和政策要求；本项目立项符合昌吉州《教育现代化2035行动计划》中职责范围中的“要求加快乡村学校信息化升级，与本项目智慧教育设备采购目标一致。属于我单位履职所需；根据《财政资金直接支付申请书》，本项目资金性质为“公共财政预算”功能分类为“义务教育补助经费”经济分类为“小学公用经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2024年城乡义务教育补助经费预算(中央直达资金）指标到位的通知《呼财字〔2023〕243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61.73（项目预算）万元用于完成日常教育教学活动的合理经费支出内容，通过项目的实施，促进学校日常运转的发展，完善教育教学，改善办学水平”；本项目实际工作内容为：该项目完成61.73万元；保障了我校日常办公、教师培训、学校班班通设备维修，打印机、计算机维修，优化校园环境，改善教学水平等绩效目标与实际工作内容一致，两者具有相关性;本项目预算申请资金61.73万元，预算确定资金量与实际工作任务相匹配。本项目按照绩效目标完成了数量指标、质量指标、时效指标、成本指标，有效保障了保障日常教育教学活动工作，通过项目的实施，促进了学校日常运转的发展，完善了教育教学，改善了办学水平，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8个，定量指标7个，定性指标1个，指标量化率为87.5%，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2024年城乡义务教育补助经费（中央直达资金）（小学公用经费），项目实际内容为办公费用，维修费用，培训费用等，预算申请与《2024年城乡义务教育补助经费（中央直达资金）（小学公用经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61.73万元，我单位在预算申请中严格按照单位标准和数量进行核算，其中：办公费用6万元、培训费用4.43万元、学校运转及维护费用51.3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城乡义务教育补助经费（中央直达资金）（小学公用经费）项目资金的请示》和《2024年城乡义务教育补助经费（中央直达资金）（小学公用经费）项目实施方案》为依据进行资金分配，预算资金分配依据充分。根据《2024年城乡义务教育补助经费（中央直达资金）（小学公用经费）资金下达文件》文件显示，本项目实际到位资金61.73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06EBC415">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A124A2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本项目预算资金为61.73万元，其中：本级财政安排资金61.73万元，其他资金0万元，实际到位资金61.73万元，资金到位率=（实际到位资金/预算资金）×100.00%=（61.73/61.73）*100.00%=100%。得分=资金到位率*分值=100%*4=4分。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本项目实际支出资金61.73万元，预算执行率=（实际支出资金/实际到位资金）×100.00%=（61.73/61.73）*100.00%=100%。得分=预算执行率*分值=100%*5=5分。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雀尔沟镇小学单位资金管理办法》《2024年城乡义务教育补助经费（中央直达资金）（小学公用经费）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雀尔沟镇小学资金管理办法》《雀尔沟镇小学收支业务管理制度》《雀尔沟镇小学政府采购业务管理制度》《雀尔沟镇小学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雀尔沟镇小学校舍粉刷合同书》、《昌吉电信2024呼图壁县雀尔沟镇小学云监控项目业务合同》、《雀尔沟镇小学校园环境改造验收报告》、等资料齐全并及时进行了归档。项目资金支出严格按照自治区、地区、市以及本单位资金管理办法执行，项目启动实施后，为了加快本项目的实施，成立了2024年城乡义务教育补助经费（中央直达资金）（小学公用经费）项目工作领导小组，由党组书记鲁凌雁任组长，负责项目的组织工作；李金艳任副组长，负责项目的实施工作；组员包括：木合亚提和努尔哈孜，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7985070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26A9D0C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项目产出类指标由3个二级指标和3个三级指标构成，权重分20.0分，实际得分20分。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义务教育阶段学生人数指标，预期指标值为“&gt;=616人”，实际完成指标值为“=616人”，指标完成率为100%。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“享受学生和教职工人数”指标：预期指标值为“&gt;=677人”，实际完成指标值为“=677人”，指标完成率为100%。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项目成本情况指标由1个二级指标和3个三级指标构成，权重分10.0分，实际得分10分。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“办公费用”指标：预期指标值为“&lt;=6万元”，实际完成指标值为“=6万元”，指标完成率为100%。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“培训费”指标：预期指标值为“&lt;=4.43万元”，实际完成指标值为“=4/43万元”，指标完成率为100%。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“学校运转及维护费用”指标：预期指标值为“&lt;=51.3万元”，实际完成指标值为“=51.3万元”，指标完成率为100%。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43626FC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0CB8667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项目效益类指标由1个二级指标和2个三级指标构成，权重分30.0分，实际得分30分。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“改善办学水平”指标：预期指标值为“有效改善”，实际完成指标值为“达到预期指标”，指标完成率为100.0%。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综上所述，本指标满分为15分，根据评分标准得15分。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F98ACD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“家长满意度”指标：预期指标值为“&gt;=95%”，实际完成指标值为“=100%”，指标完成率为100%。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综上所述，本指标满分为15分，根据评分标准得15分。</w:t>
      </w:r>
    </w:p>
    <w:p w14:paraId="0D1ACD64">
      <w:pPr>
        <w:spacing w:line="540" w:lineRule="exact"/>
        <w:ind w:firstLine="567"/>
        <w:rPr>
          <w:rStyle w:val="18"/>
          <w:rFonts w:hint="eastAsia" w:ascii="楷体" w:hAnsi="楷体" w:eastAsia="楷体"/>
          <w:b w:val="0"/>
          <w:bCs w:val="0"/>
          <w:spacing w:val="-4"/>
          <w:sz w:val="32"/>
          <w:szCs w:val="32"/>
        </w:rPr>
      </w:pPr>
    </w:p>
    <w:p w14:paraId="573A6511">
      <w:pPr>
        <w:spacing w:line="540" w:lineRule="exact"/>
        <w:ind w:firstLine="567"/>
        <w:rPr>
          <w:rStyle w:val="18"/>
          <w:rFonts w:ascii="楷体" w:hAnsi="楷体" w:eastAsia="楷体"/>
          <w:spacing w:val="-4"/>
          <w:sz w:val="32"/>
          <w:szCs w:val="32"/>
        </w:rPr>
      </w:pPr>
    </w:p>
    <w:p w14:paraId="05689444">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14F62D45">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组织方面：学校坚持统筹谋划与责任落实相结合，建立了高效协同的工作机制。成立由校领导班子牵头、多部门联动的专项工作组，明确职责分工，强化政策学习和业务培训，确保项目实施方向与中央直达资金政策要求高度一致。通过定期召开专题会议，动态梳理任务清单，建立跨层级、跨岗位的沟通协调机制，形成上下联动、齐抓共管的工作格局。同时，注重宣传动员，通过政策解读、案例分享等方式，增强师生及家长对项目意义的认知，凝聚多方共识，为项目顺利推进奠定思想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管理方面：学校以规范化和精细化为抓手，全面提升执行效能。制定科学合理的实施方案，细化项目执行流程和时间节点，明确关键环节的质量标准与验收要求。通过建立动态监督机制，定期开展实地巡查与问题整改“回头看”，确保资金使用与教育教学需求精准匹配。注重引入信息化手段，依托数字化管理平台实现进度跟踪、风险预警和资源共享，提升管理透明度与响应效率。此外，构建“过程+结果”双维度的绩效评价体系，将阶段性成果与目标完成情况纳入考核，并邀请第三方机构参与评估，形成“计划—执行—反馈—优化”的闭环管理模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资金管理方面：学校严守财经纪律，构建全链条风险防控体系。严格执行中央直达资金“专户管理、专款专用”要求，完善资金审批、拨付、核算等内控制度，确保资金流向清晰、账目规范。通过强化预算刚性约束，科学编制资金使用计划，结合实际情况动态调整支出结构，优先保障教学设备更新、校园安全维护等核心需求。建立资金使用台账和定期报告机制，依托内部审计与外部监管双重监督，及时排查资金沉淀、挪用等风险隐患。同时，注重资金效益评估，定期分析支出成效与师生满意度，推动资金配置从“保基本”向“提质量”转变，切实发挥补助经费对教育公平与优质均衡发展的支撑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问题表现：公用经费预算编制与学校实际需求存在偏差，部分项目预算冗余或不足。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原因分析：缺乏前期充分的需求调研，未建立动态调整机制，预算制定过程缺乏专业财务人员参与。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2、专业管理能力薄弱</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问题表现：财务人员业务水平参差不齐，项目执行过程存在管理盲区。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原因分析：缺乏系统性的专业培训，管理职责划分不清晰，未建立岗位AB角制度。</w:t>
      </w:r>
    </w:p>
    <w:p w14:paraId="7424E7D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4AA1B127">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1.建立"需求申报-部门论证-专业评估"三级预算编制体系，组建由财务、教务、后勤组成的预算论证小组，引入滚动预算管理模式。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2.制定年度分层分类培训计划，建立"项目负责人+财务专员"协同机制，推行关键岗位资格认证制度，定期组织校际管理经验交流。</w:t>
      </w:r>
    </w:p>
    <w:p w14:paraId="703D682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5E1EC3B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667F9D34">
      <w:pPr>
        <w:spacing w:line="540" w:lineRule="exact"/>
        <w:ind w:firstLine="567"/>
        <w:rPr>
          <w:rStyle w:val="18"/>
          <w:rFonts w:ascii="仿宋" w:hAnsi="仿宋" w:eastAsia="仿宋"/>
          <w:b w:val="0"/>
          <w:spacing w:val="-4"/>
          <w:sz w:val="32"/>
          <w:szCs w:val="32"/>
        </w:rPr>
      </w:pPr>
    </w:p>
    <w:p w14:paraId="5F352A34">
      <w:pPr>
        <w:spacing w:line="540" w:lineRule="exact"/>
        <w:ind w:firstLine="567"/>
        <w:rPr>
          <w:rStyle w:val="18"/>
          <w:rFonts w:ascii="仿宋" w:hAnsi="仿宋" w:eastAsia="仿宋"/>
          <w:b w:val="0"/>
          <w:spacing w:val="-4"/>
          <w:sz w:val="32"/>
          <w:szCs w:val="32"/>
        </w:rPr>
      </w:pPr>
    </w:p>
    <w:p w14:paraId="199E1873">
      <w:pPr>
        <w:spacing w:line="540" w:lineRule="exact"/>
        <w:ind w:firstLine="567"/>
        <w:rPr>
          <w:rStyle w:val="18"/>
          <w:rFonts w:ascii="仿宋" w:hAnsi="仿宋" w:eastAsia="仿宋"/>
          <w:b w:val="0"/>
          <w:spacing w:val="-4"/>
          <w:sz w:val="32"/>
          <w:szCs w:val="32"/>
        </w:rPr>
      </w:pPr>
    </w:p>
    <w:p w14:paraId="3ACEE4DF">
      <w:pPr>
        <w:spacing w:line="540" w:lineRule="exact"/>
        <w:ind w:firstLine="567"/>
        <w:rPr>
          <w:rStyle w:val="18"/>
          <w:rFonts w:ascii="仿宋" w:hAnsi="仿宋" w:eastAsia="仿宋"/>
          <w:b w:val="0"/>
          <w:spacing w:val="-4"/>
          <w:sz w:val="32"/>
          <w:szCs w:val="32"/>
        </w:rPr>
      </w:pPr>
    </w:p>
    <w:p w14:paraId="15075DD5">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F6AEF10">
        <w:pPr>
          <w:pStyle w:val="12"/>
          <w:jc w:val="center"/>
        </w:pPr>
        <w:r>
          <w:fldChar w:fldCharType="begin"/>
        </w:r>
        <w:r>
          <w:instrText xml:space="preserve">PAGE   \* MERGEFORMAT</w:instrText>
        </w:r>
        <w:r>
          <w:fldChar w:fldCharType="separate"/>
        </w:r>
        <w:r>
          <w:rPr>
            <w:lang w:val="zh-CN"/>
          </w:rPr>
          <w:t>2</w:t>
        </w:r>
        <w:r>
          <w:fldChar w:fldCharType="end"/>
        </w:r>
      </w:p>
    </w:sdtContent>
  </w:sdt>
  <w:p w14:paraId="5DA7CBA8">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AF050C3"/>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11298</Words>
  <Characters>11948</Characters>
  <Lines>4</Lines>
  <Paragraphs>1</Paragraphs>
  <TotalTime>9</TotalTime>
  <ScaleCrop>false</ScaleCrop>
  <LinksUpToDate>false</LinksUpToDate>
  <CharactersWithSpaces>11975</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2025-08-12T08:17:08Z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