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321A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DCC2C45">
      <w:pPr>
        <w:spacing w:line="540" w:lineRule="exact"/>
        <w:jc w:val="center"/>
        <w:rPr>
          <w:rFonts w:ascii="华文中宋" w:hAnsi="华文中宋" w:eastAsia="华文中宋" w:cs="宋体"/>
          <w:b/>
          <w:kern w:val="0"/>
          <w:sz w:val="52"/>
          <w:szCs w:val="52"/>
        </w:rPr>
      </w:pPr>
    </w:p>
    <w:p w14:paraId="7FBE6B34">
      <w:pPr>
        <w:spacing w:line="540" w:lineRule="exact"/>
        <w:jc w:val="center"/>
        <w:rPr>
          <w:rFonts w:ascii="华文中宋" w:hAnsi="华文中宋" w:eastAsia="华文中宋" w:cs="宋体"/>
          <w:b/>
          <w:kern w:val="0"/>
          <w:sz w:val="52"/>
          <w:szCs w:val="52"/>
        </w:rPr>
      </w:pPr>
    </w:p>
    <w:p w14:paraId="5D6ED4AC">
      <w:pPr>
        <w:spacing w:line="540" w:lineRule="exact"/>
        <w:jc w:val="center"/>
        <w:rPr>
          <w:rFonts w:ascii="华文中宋" w:hAnsi="华文中宋" w:eastAsia="华文中宋" w:cs="宋体"/>
          <w:b/>
          <w:kern w:val="0"/>
          <w:sz w:val="52"/>
          <w:szCs w:val="52"/>
        </w:rPr>
      </w:pPr>
    </w:p>
    <w:p w14:paraId="5D7E4624">
      <w:pPr>
        <w:spacing w:line="540" w:lineRule="exact"/>
        <w:jc w:val="center"/>
        <w:rPr>
          <w:rFonts w:ascii="华文中宋" w:hAnsi="华文中宋" w:eastAsia="华文中宋" w:cs="宋体"/>
          <w:b/>
          <w:kern w:val="0"/>
          <w:sz w:val="52"/>
          <w:szCs w:val="52"/>
        </w:rPr>
      </w:pPr>
    </w:p>
    <w:p w14:paraId="7E49350B">
      <w:pPr>
        <w:spacing w:line="540" w:lineRule="exact"/>
        <w:jc w:val="center"/>
        <w:rPr>
          <w:rFonts w:ascii="华文中宋" w:hAnsi="华文中宋" w:eastAsia="华文中宋" w:cs="宋体"/>
          <w:b/>
          <w:kern w:val="0"/>
          <w:sz w:val="52"/>
          <w:szCs w:val="52"/>
        </w:rPr>
      </w:pPr>
    </w:p>
    <w:p w14:paraId="6A577743">
      <w:pPr>
        <w:spacing w:line="540" w:lineRule="exact"/>
        <w:jc w:val="center"/>
        <w:rPr>
          <w:rFonts w:ascii="华文中宋" w:hAnsi="华文中宋" w:eastAsia="华文中宋" w:cs="宋体"/>
          <w:b/>
          <w:kern w:val="0"/>
          <w:sz w:val="52"/>
          <w:szCs w:val="52"/>
        </w:rPr>
      </w:pPr>
    </w:p>
    <w:p w14:paraId="5D40B82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B9B9F2D">
      <w:pPr>
        <w:spacing w:line="540" w:lineRule="exact"/>
        <w:jc w:val="center"/>
        <w:rPr>
          <w:rFonts w:ascii="华文中宋" w:hAnsi="华文中宋" w:eastAsia="华文中宋" w:cs="宋体"/>
          <w:b/>
          <w:kern w:val="0"/>
          <w:sz w:val="52"/>
          <w:szCs w:val="52"/>
        </w:rPr>
      </w:pPr>
    </w:p>
    <w:p w14:paraId="5FC21BB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CC57614">
      <w:pPr>
        <w:spacing w:line="540" w:lineRule="exact"/>
        <w:jc w:val="center"/>
        <w:rPr>
          <w:rFonts w:hAnsi="宋体" w:eastAsia="仿宋_GB2312" w:cs="宋体"/>
          <w:kern w:val="0"/>
          <w:sz w:val="30"/>
          <w:szCs w:val="30"/>
        </w:rPr>
      </w:pPr>
    </w:p>
    <w:p w14:paraId="0CC9E36E">
      <w:pPr>
        <w:spacing w:line="540" w:lineRule="exact"/>
        <w:jc w:val="center"/>
        <w:rPr>
          <w:rFonts w:hAnsi="宋体" w:eastAsia="仿宋_GB2312" w:cs="宋体"/>
          <w:kern w:val="0"/>
          <w:sz w:val="30"/>
          <w:szCs w:val="30"/>
        </w:rPr>
      </w:pPr>
    </w:p>
    <w:p w14:paraId="482F5E25">
      <w:pPr>
        <w:spacing w:line="540" w:lineRule="exact"/>
        <w:jc w:val="center"/>
        <w:rPr>
          <w:rFonts w:hAnsi="宋体" w:eastAsia="仿宋_GB2312" w:cs="宋体"/>
          <w:kern w:val="0"/>
          <w:sz w:val="30"/>
          <w:szCs w:val="30"/>
        </w:rPr>
      </w:pPr>
    </w:p>
    <w:p w14:paraId="52F94BD5">
      <w:pPr>
        <w:spacing w:line="540" w:lineRule="exact"/>
        <w:jc w:val="center"/>
        <w:rPr>
          <w:rFonts w:hAnsi="宋体" w:eastAsia="仿宋_GB2312" w:cs="宋体"/>
          <w:kern w:val="0"/>
          <w:sz w:val="30"/>
          <w:szCs w:val="30"/>
        </w:rPr>
      </w:pPr>
    </w:p>
    <w:p w14:paraId="5822EC74">
      <w:pPr>
        <w:spacing w:line="540" w:lineRule="exact"/>
        <w:jc w:val="center"/>
        <w:rPr>
          <w:rFonts w:hAnsi="宋体" w:eastAsia="仿宋_GB2312" w:cs="宋体"/>
          <w:kern w:val="0"/>
          <w:sz w:val="30"/>
          <w:szCs w:val="30"/>
        </w:rPr>
      </w:pPr>
    </w:p>
    <w:p w14:paraId="654F17C2">
      <w:pPr>
        <w:spacing w:line="540" w:lineRule="exact"/>
        <w:jc w:val="center"/>
        <w:rPr>
          <w:rFonts w:hAnsi="宋体" w:eastAsia="仿宋_GB2312" w:cs="宋体"/>
          <w:kern w:val="0"/>
          <w:sz w:val="30"/>
          <w:szCs w:val="30"/>
        </w:rPr>
      </w:pPr>
    </w:p>
    <w:p w14:paraId="34BFBDC1">
      <w:pPr>
        <w:spacing w:line="540" w:lineRule="exact"/>
        <w:rPr>
          <w:rFonts w:hAnsi="宋体" w:eastAsia="仿宋_GB2312" w:cs="宋体"/>
          <w:kern w:val="0"/>
          <w:sz w:val="30"/>
          <w:szCs w:val="30"/>
        </w:rPr>
      </w:pPr>
    </w:p>
    <w:p w14:paraId="4C2A06B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CF68CE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关于申请拨付昌吉州青少年示范性综合和实践基地服务中心解决访问案件经费</w:t>
      </w:r>
    </w:p>
    <w:p w14:paraId="74B98E5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昌吉州青少年示</w:t>
      </w:r>
      <w:bookmarkStart w:id="0" w:name="_GoBack"/>
      <w:bookmarkEnd w:id="0"/>
      <w:r>
        <w:rPr>
          <w:rStyle w:val="18"/>
          <w:rFonts w:hint="eastAsia" w:ascii="楷体" w:hAnsi="楷体" w:eastAsia="楷体"/>
          <w:spacing w:val="-4"/>
          <w:sz w:val="28"/>
          <w:szCs w:val="28"/>
        </w:rPr>
        <w:t>范性综合实践基地服务中心</w:t>
      </w:r>
    </w:p>
    <w:p w14:paraId="153FE3C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昌吉州青少年示范性综合实践基地服务中心</w:t>
      </w:r>
    </w:p>
    <w:p w14:paraId="704D4052">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李培军</w:t>
      </w:r>
    </w:p>
    <w:p w14:paraId="1D2D081A">
      <w:pPr>
        <w:spacing w:line="540" w:lineRule="exact"/>
        <w:ind w:firstLine="720" w:firstLineChars="200"/>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49857A97">
      <w:pPr>
        <w:spacing w:line="700" w:lineRule="exact"/>
        <w:ind w:firstLine="708" w:firstLineChars="236"/>
        <w:jc w:val="left"/>
        <w:rPr>
          <w:rFonts w:hAnsi="宋体" w:eastAsia="仿宋_GB2312" w:cs="宋体"/>
          <w:kern w:val="0"/>
          <w:sz w:val="30"/>
          <w:szCs w:val="30"/>
        </w:rPr>
      </w:pPr>
    </w:p>
    <w:p w14:paraId="401335E7">
      <w:pPr>
        <w:spacing w:line="540" w:lineRule="exact"/>
        <w:rPr>
          <w:rStyle w:val="18"/>
          <w:rFonts w:ascii="黑体" w:hAnsi="黑体" w:eastAsia="黑体"/>
          <w:b w:val="0"/>
          <w:spacing w:val="-4"/>
          <w:sz w:val="32"/>
          <w:szCs w:val="32"/>
        </w:rPr>
      </w:pPr>
    </w:p>
    <w:p w14:paraId="411069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DC44D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C6C21F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加强青少年实践基地建设与债务风险防控的指导意见（2023-28号）》文件精神，针对当前全国青少年实践基地中债务负担率超过40%的现状，约60%的基地因公用资金不足导致课程缩减、设备老化及社会服务能力弱化，严重制约实践教育功能发挥。本项目通过化解债务专项经费支持，重点解决历史债务积压与可持续运营矛盾，优化基地资源配置，恢复标准化课程供给及设施维护能力，预计可实现65%的存量债务化解目标，推动基地年均服务青少年人次提升30%，服务覆盖率由现有58%增至75%，同步建立“债务防控+教育提质”协同机制，为全国同类基地提供可推广的债务风险化解与功能优化范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（1）项目名称：关于申请拨付解决</w:t>
      </w:r>
      <w:r>
        <w:rPr>
          <w:rStyle w:val="18"/>
          <w:rFonts w:hint="eastAsia" w:ascii="楷体" w:hAnsi="楷体" w:eastAsia="楷体"/>
          <w:b w:val="0"/>
          <w:bCs w:val="0"/>
          <w:spacing w:val="-4"/>
          <w:sz w:val="32"/>
          <w:szCs w:val="32"/>
          <w:lang w:val="en-US" w:eastAsia="zh-CN"/>
        </w:rPr>
        <w:t>访问</w:t>
      </w:r>
      <w:r>
        <w:rPr>
          <w:rStyle w:val="18"/>
          <w:rFonts w:hint="eastAsia" w:ascii="楷体" w:hAnsi="楷体" w:eastAsia="楷体"/>
          <w:b w:val="0"/>
          <w:bCs w:val="0"/>
          <w:spacing w:val="-4"/>
          <w:sz w:val="32"/>
          <w:szCs w:val="32"/>
        </w:rPr>
        <w:t>案件经费项目（以下简称“该项目”或“项目”）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于2018年6月在呼图壁县博坤商贸有限公司订购办公电脑和打印机2.24（项目预算）万元，因近年来县财政紧张，未向实践基地拨付公用经费，致使基地无力偿还该笔费用，拖欠至今，导致该公司在2023年3月将这笔欠款投诉至信访局。2024年7月为呼图壁县博坤商贸有限公司支付设备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实施主体：昌吉州青少年示范性综合实践基地服务中心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实施时间：本项目实施周期为2024年1月-2024年7月。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实施情况：本项目于2018年6月开始实施，截止2018年7月已全部完成，于2024年7月将2.24万元支付给呼图壁县博坤商贸有限公司办公电脑及打印机款。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1、负责昌吉州、呼图壁周边县市小学综合实践活动的组织、协调和服务保障工作；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2、开展学工、学农、学军、科普和技术创新教育、生命安全教育、环保和可持续发展教育等综合实践教育活动；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3、管理和指导呼图壁县和周边县市各中小学开展社会实践活动。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4、负责实践课程资源的开发、教材的选定或编写以及活动项目实施规程的制定和实践效果评估等工作。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青少年示范性综合实践基地服务中心为财政全额预算管理的事业单位，属独立的核算单位，无下属预算单位，下设综合办、教务办、党建办等3个科室。2024年度我单位总编制数7个，实有人数7人，其中在职人员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根据呼教发【2023】34号文件，下达2024年关于申请拨付解决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案件经费项目资金，预算安排资金总额2.24万元，其中财政资金2.24万元，2024年实际收到预算资金2.24万元，预算资金到位率为100%。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截至2024年12月31日，本项目实际支付资金2.24万元，预算执行率100%。项目资金主要用于支付解决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案件经费项目费用2.24万元。</w:t>
      </w:r>
    </w:p>
    <w:p w14:paraId="07CCC5A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5C9F4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昌吉州青少年示范性综合实践基地的拨付解决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案件经费项目通过完善基础设施、优化活动内容、提高资金使用效率、增强社会满意度和解决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案件，全面提升青少年示范性综合实践基地的综合服务能力，推动素质教育的深入实施，为青少年的全面发展提供有力支持。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“涉及案件经费数量”指标，预期指标值为“&gt;＝1个”；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“购买设备数量”指标，预期指标值为“&gt;＝1个”；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“购置设备的质量合格率”指标，预期指标值为“=100%”；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“改善办学条件”指标，预期指标值为“有效改善”；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348B93B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9EC68D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BFA1C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此次我单位根据《财政支出绩效评价管理暂行办法》（财预〔2020〕10号）文件要求实施评价工作，本次评价对象为关于申请拨付</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18DDDEA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12258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定量分析法：通过量化指标（如参保率、保费补贴资金到位率、赔付率等）进行数据统计与趋势分析，衡量政策执行效率和资金使用效果。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定性分析法：通过访谈、问卷调查、实地调研等方式，收集农户、保险公司及政府部门的主观反馈，评估政策满意度、实施障碍及社会影响。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成本效益分析法：通过比较项目投入（如财政补贴资金）与产出（如风险保障金额、减少的灾后损失），评估资金使用效益。。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73CFF8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68D64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李莉（评价组组长）：主要负责项目策划和监督，全面负责项目绩效评价办稿的最终质量，对评估人员出具的最终报告质量进行复核，确保评估结果的客观性；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张雅莉（评价组组员）：主要负责资料的收集，取证、数据统计分析；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朱英辉（评价组成员）：主要负责主要负责项目报告的制定，指标的研判，数据分析及报告撰写。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35F3B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11FB21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从一定程度上改善了教学条件，提高教学质量，保障单位正常运转，确保各类综合实践、研学旅行等活动正常开展，更大发挥校外育人职能和阵地作用。该项目预算执行率达100%，项目预期绩效目标及各项具体指标均已全部达成。但在实施过程中也存在一些不足：更多地关注设备的购置，而忽视了课程和活动内容的丰富性和创新性，导致实践基地的综合服务能力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0E220B0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8A0CF4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4C0D96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十四五”教育事业发展规划配置内设机构和人员编制规定》中职责范围中的“优化农村学校办学条件”的核心任务，落实《教育强国建设规划纲要（2023-2027年）》关于“缩小城乡教育差距”的战略导向”，符合行业发展规划和政策要求；本项目立项符合《昌吉州青少年示范性综合实践基地管理中心单位配置内设机构和人员编制规定》中职责范围中的“负责昌吉州、呼图壁周边县市小学综合实践活动的组织、协调和服务保障工作”，属于我单位履职所需；根据《财政资金直接支付申请书》，本项目资金性质为“公共财政预算”功能分类为“小学教育”经济分类为“资本性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2.24（项目预算）万元用于完成日常教育教学活动的合理经费支出内容，通过项目的实施，促进了基地计划拓展实践项目，提升设施水平；本项目实际工作内容为：该项目实际完成2.24万元，改善了办学条件，提供多样化的实践课程，满足青少年日益增长的实践教育需求；绩效目标与实际工作内容一致，两者具有相关性;本项目预算申请资金2.24万元，预算确定资金量与实际工作任务相匹配。本项目按照绩效目标完成了数量指标、质量指标、时效指标、成本指标，有效改善了办学条件，提供多样化的实践课程，满足青少年日益增长的实践教育需求。通过该项目的实施，满足青少年日益增长的实践教育需求。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本项目预算编制通过以前年度采购的设备价格单得出，即预算编制较科学且经过论证；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预算申请内容为2.24万元，项目实际内容为关于申请拨付解决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案件经费项目，预算申请与《关于申请拨付昌吉州青少年示范性综合实践基地公用经费请示》中涉及的项目内容匹配；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本项目预算申请资金2.24万元，我单位在预算申请中严格按照单位标准和数量进行核算，本项目预算额度测算依据充分，严格按照标准编制，预算确定资金量与实际工作任务相匹配；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昌吉州青少年示范性综合实践基地公用经费请示》为依据进行资金分配，预算资金分配依据充分。根据《关于申请拨付昌吉州青少年示范性综合实践基地公用经费请示》文件显示，本项目实际到位资金2.24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06AB9D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AE0F5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本项目预算资金为2.24万元，其中：本级财政安排资金2.24万元，其他资金0万元，实际到位资金2.24万元，资金到位率=（实际到位资金/预算资金）×100.00%=（2.24/2.24）*100.00%=100%。得分=资金到位率*分值=100%*4=4分。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本项目实际支出资金2.24万元，预算执行率=（实际支出资金/实际到位资金）×100.00%=（2.24/2.24）*100.00%=100%。得分=预算执行率*分值=100%*5=5分。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青少年示范性综合实践基地资金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青少年示范性综合实践基地资金管理制度》《昌吉州青少年示范性综合实践基地收支业务管理制度》《昌吉州青少年示范性综合实践基地政府采购业务管理制度》《昌吉州青少年示范性综合实践基地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签订的合同、发票等资料齐全并及时进行了归档。项目资金支出严格按照自治区、地区、市以及本单位资金管理办法执行，项目启动实施后，为了加快本项目的实施，成立了由基地主任李莉任组长，负责项目的组织工作；李培军任副组长，负责项目的实施工作；组员包括：张雅莉和朱英辉，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60C963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50D47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项目产出类指标由3个二级指标和5个三级指标构成，权重分20分，实际得分20分。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“涉及案件经费数量”指标：预期指标值为“&gt;=1个”，实际完成指标值为“=1个”，指标完成率为100.0%。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“购买设备数量”指标，预期指标值为“&gt;=1个”，实际指标值为“=1个”，指标完成率为100.0%。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“购买设备的质量合格率”指标：预期指标值为“=100%”，实际完成指标值为“=100%”，指标完成率为100%。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0EF7CF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2CD2C5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“改善办公条件”指标：预期指标值为“有效改善”，实际完成指标值为“达到预期指标”，指标完成率为100.0%。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F05D1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AEB4AD8">
      <w:pPr>
        <w:spacing w:line="540" w:lineRule="exact"/>
        <w:ind w:firstLine="567"/>
        <w:rPr>
          <w:rStyle w:val="18"/>
          <w:rFonts w:hint="eastAsia" w:ascii="楷体" w:hAnsi="楷体" w:eastAsia="楷体"/>
          <w:b w:val="0"/>
          <w:bCs w:val="0"/>
          <w:spacing w:val="-4"/>
          <w:sz w:val="32"/>
          <w:szCs w:val="32"/>
        </w:rPr>
      </w:pPr>
    </w:p>
    <w:p w14:paraId="40538790">
      <w:pPr>
        <w:spacing w:line="540" w:lineRule="exact"/>
        <w:ind w:firstLine="567"/>
        <w:rPr>
          <w:rStyle w:val="18"/>
          <w:rFonts w:ascii="楷体" w:hAnsi="楷体" w:eastAsia="楷体"/>
          <w:spacing w:val="-4"/>
          <w:sz w:val="32"/>
          <w:szCs w:val="32"/>
        </w:rPr>
      </w:pPr>
    </w:p>
    <w:p w14:paraId="3230FFF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E59146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昌吉州青少年示范性综合实践基地在实施解决</w:t>
      </w:r>
      <w:r>
        <w:rPr>
          <w:rStyle w:val="18"/>
          <w:rFonts w:hint="eastAsia" w:ascii="楷体" w:hAnsi="楷体" w:eastAsia="楷体"/>
          <w:b w:val="0"/>
          <w:bCs w:val="0"/>
          <w:spacing w:val="-4"/>
          <w:sz w:val="32"/>
          <w:szCs w:val="32"/>
          <w:lang w:eastAsia="zh-CN"/>
        </w:rPr>
        <w:t>访问</w:t>
      </w:r>
      <w:r>
        <w:rPr>
          <w:rStyle w:val="18"/>
          <w:rFonts w:hint="eastAsia" w:ascii="楷体" w:hAnsi="楷体" w:eastAsia="楷体"/>
          <w:b w:val="0"/>
          <w:bCs w:val="0"/>
          <w:spacing w:val="-4"/>
          <w:sz w:val="32"/>
          <w:szCs w:val="32"/>
        </w:rPr>
        <w:t>案件经费项目过程中，形成了可推广的综合性管理经验。项目组织方面，构建多部门协同机制，成立专项工作组统筹规划，通过定期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等机制，确保资金使用合规性与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（二）存在问题及原因分析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问题三：跨部门协同信息共享不畅    </w:t>
      </w:r>
    </w:p>
    <w:p w14:paraId="5CA29F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64C956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1、问题一改进建议：分层分类开展专项培训，针对资金管理、工程监管等环节定制课程；建立“导师制”帮扶机制，邀请行业专家驻点指导，提升团队政策执行力与专业技术水平。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3.问题三改进建议：搭建跨部门数据共享平台，统一项目信息录入标准与更新频率；定期召开联席会议通报进展，明确交叉职责边界，通过数据互认提升监管效能与协作透明度。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41EFCDF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EC6AF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1AF5611">
      <w:pPr>
        <w:spacing w:line="540" w:lineRule="exact"/>
        <w:ind w:firstLine="567"/>
        <w:rPr>
          <w:rStyle w:val="18"/>
          <w:rFonts w:ascii="仿宋" w:hAnsi="仿宋" w:eastAsia="仿宋"/>
          <w:b w:val="0"/>
          <w:spacing w:val="-4"/>
          <w:sz w:val="32"/>
          <w:szCs w:val="32"/>
        </w:rPr>
      </w:pPr>
    </w:p>
    <w:p w14:paraId="6C854B3E">
      <w:pPr>
        <w:spacing w:line="540" w:lineRule="exact"/>
        <w:ind w:firstLine="567"/>
        <w:rPr>
          <w:rStyle w:val="18"/>
          <w:rFonts w:ascii="仿宋" w:hAnsi="仿宋" w:eastAsia="仿宋"/>
          <w:b w:val="0"/>
          <w:spacing w:val="-4"/>
          <w:sz w:val="32"/>
          <w:szCs w:val="32"/>
        </w:rPr>
      </w:pPr>
    </w:p>
    <w:p w14:paraId="2EA09CED">
      <w:pPr>
        <w:spacing w:line="540" w:lineRule="exact"/>
        <w:ind w:firstLine="567"/>
        <w:rPr>
          <w:rStyle w:val="18"/>
          <w:rFonts w:ascii="仿宋" w:hAnsi="仿宋" w:eastAsia="仿宋"/>
          <w:b w:val="0"/>
          <w:spacing w:val="-4"/>
          <w:sz w:val="32"/>
          <w:szCs w:val="32"/>
        </w:rPr>
      </w:pPr>
    </w:p>
    <w:p w14:paraId="6DAEAD4D">
      <w:pPr>
        <w:spacing w:line="540" w:lineRule="exact"/>
        <w:ind w:firstLine="567"/>
        <w:rPr>
          <w:rStyle w:val="18"/>
          <w:rFonts w:ascii="仿宋" w:hAnsi="仿宋" w:eastAsia="仿宋"/>
          <w:b w:val="0"/>
          <w:spacing w:val="-4"/>
          <w:sz w:val="32"/>
          <w:szCs w:val="32"/>
        </w:rPr>
      </w:pPr>
    </w:p>
    <w:p w14:paraId="5B8997A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4776ACB">
        <w:pPr>
          <w:pStyle w:val="12"/>
          <w:jc w:val="center"/>
        </w:pPr>
        <w:r>
          <w:fldChar w:fldCharType="begin"/>
        </w:r>
        <w:r>
          <w:instrText xml:space="preserve">PAGE   \* MERGEFORMAT</w:instrText>
        </w:r>
        <w:r>
          <w:fldChar w:fldCharType="separate"/>
        </w:r>
        <w:r>
          <w:rPr>
            <w:lang w:val="zh-CN"/>
          </w:rPr>
          <w:t>2</w:t>
        </w:r>
        <w:r>
          <w:fldChar w:fldCharType="end"/>
        </w:r>
      </w:p>
    </w:sdtContent>
  </w:sdt>
  <w:p w14:paraId="32B4C89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A865AB"/>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9371</Words>
  <Characters>9930</Characters>
  <Lines>4</Lines>
  <Paragraphs>1</Paragraphs>
  <TotalTime>21</TotalTime>
  <ScaleCrop>false</ScaleCrop>
  <LinksUpToDate>false</LinksUpToDate>
  <CharactersWithSpaces>9965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2025-08-08T08:56:48Z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