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9D8C0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F6EDCD9">
      <w:pPr>
        <w:spacing w:line="540" w:lineRule="exact"/>
        <w:jc w:val="center"/>
        <w:rPr>
          <w:rFonts w:ascii="华文中宋" w:hAnsi="华文中宋" w:eastAsia="华文中宋" w:cs="宋体"/>
          <w:b/>
          <w:kern w:val="0"/>
          <w:sz w:val="52"/>
          <w:szCs w:val="52"/>
        </w:rPr>
      </w:pPr>
    </w:p>
    <w:p w14:paraId="337C79B9">
      <w:pPr>
        <w:spacing w:line="540" w:lineRule="exact"/>
        <w:jc w:val="center"/>
        <w:rPr>
          <w:rFonts w:ascii="华文中宋" w:hAnsi="华文中宋" w:eastAsia="华文中宋" w:cs="宋体"/>
          <w:b/>
          <w:kern w:val="0"/>
          <w:sz w:val="52"/>
          <w:szCs w:val="52"/>
        </w:rPr>
      </w:pPr>
    </w:p>
    <w:p w14:paraId="78F8B197">
      <w:pPr>
        <w:spacing w:line="540" w:lineRule="exact"/>
        <w:jc w:val="center"/>
        <w:rPr>
          <w:rFonts w:ascii="华文中宋" w:hAnsi="华文中宋" w:eastAsia="华文中宋" w:cs="宋体"/>
          <w:b/>
          <w:kern w:val="0"/>
          <w:sz w:val="52"/>
          <w:szCs w:val="52"/>
        </w:rPr>
      </w:pPr>
    </w:p>
    <w:p w14:paraId="3B92AFDA">
      <w:pPr>
        <w:spacing w:line="540" w:lineRule="exact"/>
        <w:jc w:val="center"/>
        <w:rPr>
          <w:rFonts w:ascii="华文中宋" w:hAnsi="华文中宋" w:eastAsia="华文中宋" w:cs="宋体"/>
          <w:b/>
          <w:kern w:val="0"/>
          <w:sz w:val="52"/>
          <w:szCs w:val="52"/>
        </w:rPr>
      </w:pPr>
    </w:p>
    <w:p w14:paraId="011F02F6">
      <w:pPr>
        <w:spacing w:line="540" w:lineRule="exact"/>
        <w:jc w:val="center"/>
        <w:rPr>
          <w:rFonts w:ascii="华文中宋" w:hAnsi="华文中宋" w:eastAsia="华文中宋" w:cs="宋体"/>
          <w:b/>
          <w:kern w:val="0"/>
          <w:sz w:val="52"/>
          <w:szCs w:val="52"/>
        </w:rPr>
      </w:pPr>
    </w:p>
    <w:p w14:paraId="1D9CB5DC">
      <w:pPr>
        <w:spacing w:line="540" w:lineRule="exact"/>
        <w:jc w:val="center"/>
        <w:rPr>
          <w:rFonts w:ascii="华文中宋" w:hAnsi="华文中宋" w:eastAsia="华文中宋" w:cs="宋体"/>
          <w:b/>
          <w:kern w:val="0"/>
          <w:sz w:val="52"/>
          <w:szCs w:val="52"/>
        </w:rPr>
      </w:pPr>
    </w:p>
    <w:p w14:paraId="734425E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27AB03E">
      <w:pPr>
        <w:spacing w:line="540" w:lineRule="exact"/>
        <w:jc w:val="center"/>
        <w:rPr>
          <w:rFonts w:ascii="华文中宋" w:hAnsi="华文中宋" w:eastAsia="华文中宋" w:cs="宋体"/>
          <w:b/>
          <w:kern w:val="0"/>
          <w:sz w:val="52"/>
          <w:szCs w:val="52"/>
        </w:rPr>
      </w:pPr>
    </w:p>
    <w:p w14:paraId="4D89AEE2">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334D3376">
      <w:pPr>
        <w:spacing w:line="540" w:lineRule="exact"/>
        <w:jc w:val="center"/>
        <w:rPr>
          <w:rFonts w:hAnsi="宋体" w:eastAsia="仿宋_GB2312" w:cs="宋体"/>
          <w:kern w:val="0"/>
          <w:sz w:val="30"/>
          <w:szCs w:val="30"/>
        </w:rPr>
      </w:pPr>
    </w:p>
    <w:p w14:paraId="01BE1D6E">
      <w:pPr>
        <w:spacing w:line="540" w:lineRule="exact"/>
        <w:jc w:val="center"/>
        <w:rPr>
          <w:rFonts w:hAnsi="宋体" w:eastAsia="仿宋_GB2312" w:cs="宋体"/>
          <w:kern w:val="0"/>
          <w:sz w:val="30"/>
          <w:szCs w:val="30"/>
        </w:rPr>
      </w:pPr>
    </w:p>
    <w:p w14:paraId="43FAF8D8">
      <w:pPr>
        <w:spacing w:line="540" w:lineRule="exact"/>
        <w:jc w:val="center"/>
        <w:rPr>
          <w:rFonts w:hAnsi="宋体" w:eastAsia="仿宋_GB2312" w:cs="宋体"/>
          <w:kern w:val="0"/>
          <w:sz w:val="30"/>
          <w:szCs w:val="30"/>
        </w:rPr>
      </w:pPr>
    </w:p>
    <w:p w14:paraId="4D2448A4">
      <w:pPr>
        <w:spacing w:line="540" w:lineRule="exact"/>
        <w:jc w:val="center"/>
        <w:rPr>
          <w:rFonts w:hAnsi="宋体" w:eastAsia="仿宋_GB2312" w:cs="宋体"/>
          <w:kern w:val="0"/>
          <w:sz w:val="30"/>
          <w:szCs w:val="30"/>
        </w:rPr>
      </w:pPr>
    </w:p>
    <w:p w14:paraId="05560462">
      <w:pPr>
        <w:spacing w:line="540" w:lineRule="exact"/>
        <w:jc w:val="center"/>
        <w:rPr>
          <w:rFonts w:hAnsi="宋体" w:eastAsia="仿宋_GB2312" w:cs="宋体"/>
          <w:kern w:val="0"/>
          <w:sz w:val="30"/>
          <w:szCs w:val="30"/>
        </w:rPr>
      </w:pPr>
    </w:p>
    <w:p w14:paraId="47651AA9">
      <w:pPr>
        <w:spacing w:line="540" w:lineRule="exact"/>
        <w:jc w:val="center"/>
        <w:rPr>
          <w:rFonts w:hAnsi="宋体" w:eastAsia="仿宋_GB2312" w:cs="宋体"/>
          <w:kern w:val="0"/>
          <w:sz w:val="30"/>
          <w:szCs w:val="30"/>
        </w:rPr>
      </w:pPr>
    </w:p>
    <w:p w14:paraId="061B06E8">
      <w:pPr>
        <w:spacing w:line="540" w:lineRule="exact"/>
        <w:rPr>
          <w:rFonts w:hAnsi="宋体" w:eastAsia="仿宋_GB2312" w:cs="宋体"/>
          <w:kern w:val="0"/>
          <w:sz w:val="30"/>
          <w:szCs w:val="30"/>
        </w:rPr>
      </w:pPr>
    </w:p>
    <w:p w14:paraId="19933146">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E3C5BA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呼图壁县石梯子乡2021年村民服务中心建设项目</w:t>
      </w:r>
    </w:p>
    <w:p w14:paraId="5B4DD7A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石梯子哈萨克族乡人民政府办公室</w:t>
      </w:r>
    </w:p>
    <w:p w14:paraId="716A1647">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石梯子哈萨克族乡人民政府办公室</w:t>
      </w:r>
    </w:p>
    <w:p w14:paraId="43156928">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岳志亮</w:t>
      </w:r>
    </w:p>
    <w:p w14:paraId="16165B5C">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2025年05月20日</w:t>
      </w:r>
    </w:p>
    <w:p w14:paraId="376B0988">
      <w:pPr>
        <w:spacing w:line="700" w:lineRule="exact"/>
        <w:ind w:firstLine="708" w:firstLineChars="236"/>
        <w:jc w:val="left"/>
        <w:rPr>
          <w:rFonts w:hAnsi="宋体" w:eastAsia="仿宋_GB2312" w:cs="宋体"/>
          <w:kern w:val="0"/>
          <w:sz w:val="30"/>
          <w:szCs w:val="30"/>
        </w:rPr>
      </w:pPr>
    </w:p>
    <w:p w14:paraId="28A4CF38">
      <w:pPr>
        <w:spacing w:line="540" w:lineRule="exact"/>
        <w:rPr>
          <w:rStyle w:val="18"/>
          <w:rFonts w:ascii="黑体" w:hAnsi="黑体" w:eastAsia="黑体"/>
          <w:b w:val="0"/>
          <w:spacing w:val="-4"/>
          <w:sz w:val="32"/>
          <w:szCs w:val="32"/>
        </w:rPr>
      </w:pPr>
    </w:p>
    <w:p w14:paraId="4EE7C01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276A5F4">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079450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石梯子乡2021年村民服务中心建设项目是贯彻落实《新疆维吾尔自治区乡村振兴战略规划（2018-2022年）》和《昌吉回族自治州农村公共服务体系提质增效三年行动计划》的重要举措，旨在破解全乡公共服务设施覆盖不足、功能滞后等短板。项目背景基于全乡原村级服务中心覆盖率仅65%，且约40%的场所因面积狭小或功能单一无法满足村民政务办理、文化活动和技能培训需求，导致基层服务半径过大、群众满意度偏低。实施必要性体现在通过标准化建设打破服务资源分散化、利用率不足50%的困境，推动乡村治理现代化与公共服务均等化。项目建成后预期实现行政村服务中心100%全覆盖，服务功能整合度提升至90%以上，年均开展惠民活动80场次，惠及全乡95%以上常住人口，切实增强基层治理效能和村民获得感。随着呼图壁县域经济的辐射发展，石梯子乡的便民服务质量难尽如人意，目前石呼图壁县石梯子乡西力克特村、多斯特克村、霍斯托别村、东沟村村民委员会大院内只有村委办公室及库房，没有集中的 村民服务设施和专属的村民文化活动室。为了进一步提升对村民服务质量和水平、满足群众多元化办事需求，经石梯子乡党委、政府研究，计划新建石梯子乡西力克特村、多斯特克村、霍斯托别村、东沟村村民服务中心， 内设民生保障、社会事业、政策咨询、旅游引导等服务区，方便群众快捷、准确、一站式办理相关事项，满足石梯子乡各村村民对便民服务的需求，丰富了人民群众业余文化生活，保证了访惠聚工作的更好开展。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（1）项目名称：呼图壁县石梯子乡2021年村民服务中心建设项目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2021年根据《下达2021年第二批新疆、西藏、四省涉藏州县建设专项中央基建投资预算（拨款）》、（昌州财办建【2021】10号），该项目于2023年1月14日由呼图壁县石梯子哈萨克族乡人民政府向呼图壁县发展和改革委员会递交了《关于上报昌吉州呼图壁县石梯子乡2021年村民服务中心建设项目可行性研究报告的请示》；2023年5月19日，可研报告（代项目建议书）经昌吉回族自治州发展和改革委员会批复立项。立项批复西力克特村建筑面积500平方米；多斯特克村建筑面积300平方米；霍斯托别村建筑面积500平方米；东沟村建筑面积500平方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实施主体：石梯子哈萨克族乡人民政府。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实施情况：2024年2月23日发布招标公告，明确了项目规模、建设地点、工期要求等关键信息，计划2024年3月25日开工，2024年7月2日竣工，总工期100天（日历日） 。最终确定中标单位为新疆博际建筑工程有限责任公司。施工单位按照设计要求和施工规范有序开展建设工作，在建设过程中，严格把控工程质量和施工安全，合理安排施工进度。针对施工过程中遇到的技术难题和天气等不利因素，及时采取应对措施，确保项目顺利推进。按照计划于2024年7月2日竣工，完成了四个村服务中心的主体工程建设，包括建筑物的框架搭建、墙体砌筑、内部装修等，同时完善了配套设施建设，如水电安装、消防设施配备等，使服务中心具备了基本的使用功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（1）贯彻执行党和国家的有关方针、政策、法律和法规；执行上级政府的决定和命令；拟订适合本乡实际的具体政策措施，并有效地组织实施。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（2）组织制订并实施本乡经济和社会发展中长期规划，搞好经济发展的总体布局和产业结构的调整。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（3）按照《企业法》，指导企业转换经营机制和建立现代企业制度，加快本乡工业和第三产业发展；完善统分结合的双经营体制，发展村级集体经济。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（4）负责组织编制本乡建设的总体规划，并组织实施，抓好本乡建设用地的规划管理工作。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（5）负责本乡的科技、教育、文化、卫生等事业发展和计划生育工作；负责本乡社会治安综合治理，维护社会稳定。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（6）编制本乡财政预决算计划，负责经费的划拨和核算工作。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石梯子哈萨克族乡人民政府无下属预算单位，下设5个处室，分别是：农业发展服务中心、公共文化服务中心、村镇建设发展中心、综治和网格化服务中心、便民服务中心。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w:t>
      </w:r>
      <w:r>
        <w:rPr>
          <w:rStyle w:val="18"/>
          <w:rFonts w:hint="eastAsia" w:ascii="楷体" w:hAnsi="楷体" w:eastAsia="楷体"/>
          <w:b w:val="0"/>
          <w:bCs w:val="0"/>
          <w:spacing w:val="-4"/>
          <w:sz w:val="32"/>
          <w:szCs w:val="32"/>
          <w:lang w:eastAsia="zh-CN"/>
        </w:rPr>
        <w:t>427.50</w:t>
      </w:r>
      <w:r>
        <w:rPr>
          <w:rStyle w:val="18"/>
          <w:rFonts w:hint="eastAsia" w:ascii="楷体" w:hAnsi="楷体" w:eastAsia="楷体"/>
          <w:b w:val="0"/>
          <w:bCs w:val="0"/>
          <w:spacing w:val="-4"/>
          <w:sz w:val="32"/>
          <w:szCs w:val="32"/>
        </w:rPr>
        <w:t>万元，资金来源为中央预算内资金，其中：财政资金</w:t>
      </w:r>
      <w:r>
        <w:rPr>
          <w:rStyle w:val="18"/>
          <w:rFonts w:hint="eastAsia" w:ascii="楷体" w:hAnsi="楷体" w:eastAsia="楷体"/>
          <w:b w:val="0"/>
          <w:bCs w:val="0"/>
          <w:spacing w:val="-4"/>
          <w:sz w:val="32"/>
          <w:szCs w:val="32"/>
          <w:lang w:eastAsia="zh-CN"/>
        </w:rPr>
        <w:t>427.50</w:t>
      </w:r>
      <w:r>
        <w:rPr>
          <w:rStyle w:val="18"/>
          <w:rFonts w:hint="eastAsia" w:ascii="楷体" w:hAnsi="楷体" w:eastAsia="楷体"/>
          <w:b w:val="0"/>
          <w:bCs w:val="0"/>
          <w:spacing w:val="-4"/>
          <w:sz w:val="32"/>
          <w:szCs w:val="32"/>
        </w:rPr>
        <w:t>万元，其他资金0万元，2024年实际收到预算资金</w:t>
      </w:r>
      <w:r>
        <w:rPr>
          <w:rStyle w:val="18"/>
          <w:rFonts w:hint="eastAsia" w:ascii="楷体" w:hAnsi="楷体" w:eastAsia="楷体"/>
          <w:b w:val="0"/>
          <w:bCs w:val="0"/>
          <w:spacing w:val="-4"/>
          <w:sz w:val="32"/>
          <w:szCs w:val="32"/>
          <w:lang w:eastAsia="zh-CN"/>
        </w:rPr>
        <w:t>427.50</w:t>
      </w:r>
      <w:r>
        <w:rPr>
          <w:rStyle w:val="18"/>
          <w:rFonts w:hint="eastAsia" w:ascii="楷体" w:hAnsi="楷体" w:eastAsia="楷体"/>
          <w:b w:val="0"/>
          <w:bCs w:val="0"/>
          <w:spacing w:val="-4"/>
          <w:sz w:val="32"/>
          <w:szCs w:val="32"/>
        </w:rPr>
        <w:t>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w:t>
      </w:r>
      <w:r>
        <w:rPr>
          <w:rStyle w:val="18"/>
          <w:rFonts w:hint="eastAsia" w:ascii="楷体" w:hAnsi="楷体" w:eastAsia="楷体"/>
          <w:b w:val="0"/>
          <w:bCs w:val="0"/>
          <w:spacing w:val="-4"/>
          <w:sz w:val="32"/>
          <w:szCs w:val="32"/>
          <w:lang w:eastAsia="zh-CN"/>
        </w:rPr>
        <w:t>427.50</w:t>
      </w:r>
      <w:r>
        <w:rPr>
          <w:rStyle w:val="18"/>
          <w:rFonts w:hint="eastAsia" w:ascii="楷体" w:hAnsi="楷体" w:eastAsia="楷体"/>
          <w:b w:val="0"/>
          <w:bCs w:val="0"/>
          <w:spacing w:val="-4"/>
          <w:sz w:val="32"/>
          <w:szCs w:val="32"/>
        </w:rPr>
        <w:t>万元，预算执行率100%。本项目资金主要用于支付工程款411.96万元、待摊费用15.54万元。</w:t>
      </w:r>
    </w:p>
    <w:p w14:paraId="4840A33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BFAA7B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石梯子哈萨克族乡人民政府实施的2021年村民服务中心建设项目通过新建霍斯托别村、西力克特村、多斯特克村、东沟村四个村服务中心各一栋，总建筑面积1800平方米。均为地上一层建筑、框架结构，抗震设防烈度8度，耐火等级为二级，设计使用年限为50年。村民服务中心的建设是农村党员教育管理的必备物质条件，是增强农村基层党组织向心力的重要载体；也是村民大会、学习、宣讲、培训、文化活动 、的重要场地，开展村民服务中心的建设工作，有利于营造基层和谐有序的社会 环境，有利于建设基层和谐文化，有利于培育社会主义新型群众，有利于更好地凝聚群众 、抵制渗透， 树立基层党组织执政一方得形象。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“村社区个数”指标，预期指标值为“大于等于4个”；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“建筑面积”指标，预期指标值为“大于等于1800平方米”；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“服务中心验收合格率”指标，预期指标值为“大于等于100%”；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“村民服务中心建设标准”指标，预期指标值为“大于等于100%”；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“村民服务中心建设标准”指标，预期指标值为“小于等于120万元/个”；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“解决农村社会事务能力”指标，预期指标值为“良好”；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“村民满意度”指标，预期指标值为“大于等于100%”。</w:t>
      </w:r>
    </w:p>
    <w:p w14:paraId="671AE9D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8C487C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95047E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此次我单位根据《财政支出绩效评价管理暂行办法》（财预〔2020〕10号）文件要求实施评价工作，本次评价对象为石梯子哈萨克族乡人民政府，评价核心为项目资金、项目产出、项目效益。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(5)《基本建设项目竣工财务决算管理暂行办法》（财建【2016】503号）。</w:t>
      </w:r>
    </w:p>
    <w:p w14:paraId="755DFAC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777E2F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比较分析法、目标评估法、问卷调查法对项目进行评价，旨在通过综合分析影响绩效目标实现、实施效果的内外部因素，从而评价本项目绩效。三级指标分析环节：成本效益分析法，比较分析法、目标评估法、问卷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成本效益分析法：通过量化项目的资金投入与产出效益，评估资金使用效率，衡量单位成本是否产生预期培训效果或社会价值。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比较分析法：将培训前后的代表履职能力数据（如议案质量、调研成果数量）进行对比，分析能力提升幅度与项目目标的契合度。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目标评估法：以预设的绩效目标（如参训率、满意度、议案达标率）为基准，逐项核查实际完成情况，判断项目目标实现程度。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问卷调查法：通过设计满意度、知识掌握度等量表，收集参训代表对课程内容、教学方式的主观反馈，评估培训体验与知识转化效果。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AF6E61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DD67A0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岳致亮（评价小组组长）：主要负责项目策划和监督，全面负责项目绩效评价办稿的最终质量，对评估人员出具的最终报告质量进行复核，确保评估结果的客观性；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古丽娜（评价小组组员）：主要负责资料的收集，取证、数据统计分析；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李学智（评价小组组员）：主要负责主要负责项目报告的制定，指标的研判，数据分析及报告撰写。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霍斯托别村、西力克特村、东沟村、多斯特克村。我们根据绩效评价目标和绩效指标体系，设计满意度调查问卷进行问卷调查，其中西力克特村受益对象共选取样本19人，共发放问卷19份，最终收回19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E9F809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4C5B768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4个村民服务中心建设，提升了乡村便民服务质量和水平，丰富农村业余文化生活内容，传播科技知识和致富技能等。但在实施过程中也存在一些不足：一是对村民得调研不够充分，导致服务中心的功能区域设置不合理。二是没有充分考虑到村庄未来的发展人口变化，建设的规模较小，后期难以满足村的日益增长的服务需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0%。最终评分结果：总分为100.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w:t>
      </w:r>
    </w:p>
    <w:p w14:paraId="3C118324">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CB2560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A9BDB9B">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务院办公厅关于印发，“十四五”城乡社区服务体系建设规划的通知》：“要求加强农村地区普惠新、基础性、兜底性服务能力建设，全面推进乡村振兴，促进农民农村共同富裕。建设村民服务中心可以完善村级综合服务设施，提升农村社区服务能力，满足农民生产生活需求。”本项目立项符合《下达2021年第二批新疆、西藏、四省涉藏州县建设专项中央基建投资预算（拨款）》：“要加强资金管理，专款专用，切实提高资金使用效率。贯彻好“资金跟着项目走”原则，加快项目实施，尽快完成实物量工作，提高资金执行进度和使用效率内容”。本项目立项符合《石梯子哈萨克族乡人民政府单位配置内设机构和人员编制规定》中职责范围中的“组织制订并实施本乡经济和社会发展中长期规划，搞好经济发展的总体布局和产业结构的调整”，属于我单位履职所需；根据《财政资金直接支付申请书》，本项目资金性质为“公共财政预算”功能分类为“其他城乡社区公共设施支出”经济分类为“房屋建筑物购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根据《下达2021年第二批新疆、西藏、四省涉藏州县建设专项中央基建投资预算（拨款）》、（昌州财办建【2021】10号）文件要求，我单位上报《关于上报昌吉州呼图壁县石梯子乡2021年村民服务中心建设项目可行性研究报告（代项目建议书）的请示》、（呼发改投资【2023】44号），经昌吉州发展和改革委员会审核，下发《昌吉州发改委关于呼图壁县石梯子乡2021年村民服务中心建设项目可行性研究报告（代项目建议书）的批复》（昌州发改投资〔2023〕98号）批复文件，本项目正式设立。经查看，该项目立项过程产生的相关文件，符合相关要求。本项目为基础建设类项目，属于经常性项目，不涉及事前绩效评估和风险评估，已委托新疆东鹏伟业工程管理有限公司编制《呼图壁县石梯子乡2021年村民服务中心建设项目可行性研究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4个村民服务中心建设的验收率，建设的标准，解决农村社会事务能力”；本项目实际工作内容为：完成了4座村民服务中心建设，建立健全村民服务设施，完善村民委员会服务体系，提升乡村便民服务质量和水平；绩效目标与实际工作内容一致，两者具有相关性;本项目预算申请资金</w:t>
      </w:r>
      <w:r>
        <w:rPr>
          <w:rStyle w:val="18"/>
          <w:rFonts w:hint="eastAsia" w:ascii="楷体" w:hAnsi="楷体" w:eastAsia="楷体"/>
          <w:b w:val="0"/>
          <w:bCs w:val="0"/>
          <w:spacing w:val="-4"/>
          <w:sz w:val="32"/>
          <w:szCs w:val="32"/>
          <w:lang w:eastAsia="zh-CN"/>
        </w:rPr>
        <w:t>427.50</w:t>
      </w:r>
      <w:r>
        <w:rPr>
          <w:rStyle w:val="18"/>
          <w:rFonts w:hint="eastAsia" w:ascii="楷体" w:hAnsi="楷体" w:eastAsia="楷体"/>
          <w:b w:val="0"/>
          <w:bCs w:val="0"/>
          <w:spacing w:val="-4"/>
          <w:sz w:val="32"/>
          <w:szCs w:val="32"/>
        </w:rPr>
        <w:t>万元，预算确定资金量与实际工作任务相匹配。本项目按照绩效目标完成了数量指标、质量指标、时效指标、成本指标，切实增强了群众获得感，为乡村振兴奠定了坚实基础。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7个，定量指标6个，定性指标1个，指标量化率为85.71%，量化率达100%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本项目预算编制通过招投标与可行性研究得出，即预算编制较科学且经过论证；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呼图壁县石梯子乡2021年村民服务中心建设项目，项目实际内容为成完成了4座村民服务中心的建设，预算申请与《下达2021年第二批新疆、西藏、四省涉藏州县建设专项中央基建投资预算（拨款）》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w:t>
      </w:r>
      <w:r>
        <w:rPr>
          <w:rStyle w:val="18"/>
          <w:rFonts w:hint="eastAsia" w:ascii="楷体" w:hAnsi="楷体" w:eastAsia="楷体"/>
          <w:b w:val="0"/>
          <w:bCs w:val="0"/>
          <w:spacing w:val="-4"/>
          <w:sz w:val="32"/>
          <w:szCs w:val="32"/>
          <w:lang w:eastAsia="zh-CN"/>
        </w:rPr>
        <w:t>427.50</w:t>
      </w:r>
      <w:r>
        <w:rPr>
          <w:rStyle w:val="18"/>
          <w:rFonts w:hint="eastAsia" w:ascii="楷体" w:hAnsi="楷体" w:eastAsia="楷体"/>
          <w:b w:val="0"/>
          <w:bCs w:val="0"/>
          <w:spacing w:val="-4"/>
          <w:sz w:val="32"/>
          <w:szCs w:val="32"/>
        </w:rPr>
        <w:t>万元，我单位在预算申请中严格按照分项成本进行核算，其中：工程费：372.4万元；预备费:55.1万元。本项目预算额度测算依据充分，严格按照标准编制，预算确定资金量与实际工作任务相匹配；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上报昌吉州呼图壁县石梯子乡2021年村民服务中心建设项目可行性研究报告（代项目建议书）的请示》和《呼图壁县石梯子哈萨克族乡2021年村民服务中心建设项目实施方案》为依据进行资金分配，预算资金分配依据充分。根据《下达2021年第二批新疆、西藏、四省涉藏州县建设专项中央基建投资预算（拨款）》文件显示，本项目实际到位资金</w:t>
      </w:r>
      <w:r>
        <w:rPr>
          <w:rStyle w:val="18"/>
          <w:rFonts w:hint="eastAsia" w:ascii="楷体" w:hAnsi="楷体" w:eastAsia="楷体"/>
          <w:b w:val="0"/>
          <w:bCs w:val="0"/>
          <w:spacing w:val="-4"/>
          <w:sz w:val="32"/>
          <w:szCs w:val="32"/>
          <w:lang w:eastAsia="zh-CN"/>
        </w:rPr>
        <w:t>427.50</w:t>
      </w:r>
      <w:r>
        <w:rPr>
          <w:rStyle w:val="18"/>
          <w:rFonts w:hint="eastAsia" w:ascii="楷体" w:hAnsi="楷体" w:eastAsia="楷体"/>
          <w:b w:val="0"/>
          <w:bCs w:val="0"/>
          <w:spacing w:val="-4"/>
          <w:sz w:val="32"/>
          <w:szCs w:val="32"/>
        </w:rPr>
        <w:t>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0F291E49">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845853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w:t>
      </w:r>
      <w:r>
        <w:rPr>
          <w:rStyle w:val="18"/>
          <w:rFonts w:hint="eastAsia" w:ascii="楷体" w:hAnsi="楷体" w:eastAsia="楷体"/>
          <w:b w:val="0"/>
          <w:bCs w:val="0"/>
          <w:spacing w:val="-4"/>
          <w:sz w:val="32"/>
          <w:szCs w:val="32"/>
          <w:lang w:eastAsia="zh-CN"/>
        </w:rPr>
        <w:t>427.50</w:t>
      </w:r>
      <w:r>
        <w:rPr>
          <w:rStyle w:val="18"/>
          <w:rFonts w:hint="eastAsia" w:ascii="楷体" w:hAnsi="楷体" w:eastAsia="楷体"/>
          <w:b w:val="0"/>
          <w:bCs w:val="0"/>
          <w:spacing w:val="-4"/>
          <w:sz w:val="32"/>
          <w:szCs w:val="32"/>
        </w:rPr>
        <w:t>万元，其中：本级财政安排资金</w:t>
      </w:r>
      <w:r>
        <w:rPr>
          <w:rStyle w:val="18"/>
          <w:rFonts w:hint="eastAsia" w:ascii="楷体" w:hAnsi="楷体" w:eastAsia="楷体"/>
          <w:b w:val="0"/>
          <w:bCs w:val="0"/>
          <w:spacing w:val="-4"/>
          <w:sz w:val="32"/>
          <w:szCs w:val="32"/>
          <w:lang w:eastAsia="zh-CN"/>
        </w:rPr>
        <w:t>427.50</w:t>
      </w:r>
      <w:r>
        <w:rPr>
          <w:rStyle w:val="18"/>
          <w:rFonts w:hint="eastAsia" w:ascii="楷体" w:hAnsi="楷体" w:eastAsia="楷体"/>
          <w:b w:val="0"/>
          <w:bCs w:val="0"/>
          <w:spacing w:val="-4"/>
          <w:sz w:val="32"/>
          <w:szCs w:val="32"/>
        </w:rPr>
        <w:t>万元，其他资金0万元，实际到位资金</w:t>
      </w:r>
      <w:r>
        <w:rPr>
          <w:rStyle w:val="18"/>
          <w:rFonts w:hint="eastAsia" w:ascii="楷体" w:hAnsi="楷体" w:eastAsia="楷体"/>
          <w:b w:val="0"/>
          <w:bCs w:val="0"/>
          <w:spacing w:val="-4"/>
          <w:sz w:val="32"/>
          <w:szCs w:val="32"/>
          <w:lang w:eastAsia="zh-CN"/>
        </w:rPr>
        <w:t>427.50</w:t>
      </w:r>
      <w:r>
        <w:rPr>
          <w:rStyle w:val="18"/>
          <w:rFonts w:hint="eastAsia" w:ascii="楷体" w:hAnsi="楷体" w:eastAsia="楷体"/>
          <w:b w:val="0"/>
          <w:bCs w:val="0"/>
          <w:spacing w:val="-4"/>
          <w:sz w:val="32"/>
          <w:szCs w:val="32"/>
        </w:rPr>
        <w:t>万元，资金到位率=（实际到位资金/预算资金）×100.00%=（</w:t>
      </w:r>
      <w:r>
        <w:rPr>
          <w:rStyle w:val="18"/>
          <w:rFonts w:hint="eastAsia" w:ascii="楷体" w:hAnsi="楷体" w:eastAsia="楷体"/>
          <w:b w:val="0"/>
          <w:bCs w:val="0"/>
          <w:spacing w:val="-4"/>
          <w:sz w:val="32"/>
          <w:szCs w:val="32"/>
          <w:lang w:eastAsia="zh-CN"/>
        </w:rPr>
        <w:t>427.50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427.50</w:t>
      </w:r>
      <w:r>
        <w:rPr>
          <w:rStyle w:val="18"/>
          <w:rFonts w:hint="eastAsia" w:ascii="楷体" w:hAnsi="楷体" w:eastAsia="楷体"/>
          <w:b w:val="0"/>
          <w:bCs w:val="0"/>
          <w:spacing w:val="-4"/>
          <w:sz w:val="32"/>
          <w:szCs w:val="32"/>
        </w:rPr>
        <w:t>）*100.00%=100.</w:t>
      </w:r>
      <w:r>
        <w:rPr>
          <w:rStyle w:val="18"/>
          <w:rFonts w:hint="eastAsia" w:ascii="楷体" w:hAnsi="楷体" w:eastAsia="楷体"/>
          <w:b w:val="0"/>
          <w:bCs w:val="0"/>
          <w:spacing w:val="-4"/>
          <w:sz w:val="32"/>
          <w:szCs w:val="32"/>
          <w:lang w:val="en-US" w:eastAsia="zh-CN"/>
        </w:rPr>
        <w:t>0</w:t>
      </w:r>
      <w:bookmarkStart w:id="0" w:name="_GoBack"/>
      <w:bookmarkEnd w:id="0"/>
      <w:r>
        <w:rPr>
          <w:rStyle w:val="18"/>
          <w:rFonts w:hint="eastAsia" w:ascii="楷体" w:hAnsi="楷体" w:eastAsia="楷体"/>
          <w:b w:val="0"/>
          <w:bCs w:val="0"/>
          <w:spacing w:val="-4"/>
          <w:sz w:val="32"/>
          <w:szCs w:val="32"/>
        </w:rPr>
        <w:t>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综上所述，本指标满分为4.00分，根据评分标准得XX分，本项目资金分配合理。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w:t>
      </w:r>
      <w:r>
        <w:rPr>
          <w:rStyle w:val="18"/>
          <w:rFonts w:hint="eastAsia" w:ascii="楷体" w:hAnsi="楷体" w:eastAsia="楷体"/>
          <w:b w:val="0"/>
          <w:bCs w:val="0"/>
          <w:spacing w:val="-4"/>
          <w:sz w:val="32"/>
          <w:szCs w:val="32"/>
          <w:lang w:eastAsia="zh-CN"/>
        </w:rPr>
        <w:t>427.50</w:t>
      </w:r>
      <w:r>
        <w:rPr>
          <w:rStyle w:val="18"/>
          <w:rFonts w:hint="eastAsia" w:ascii="楷体" w:hAnsi="楷体" w:eastAsia="楷体"/>
          <w:b w:val="0"/>
          <w:bCs w:val="0"/>
          <w:spacing w:val="-4"/>
          <w:sz w:val="32"/>
          <w:szCs w:val="32"/>
        </w:rPr>
        <w:t>万元，预算执行率=（实际支出资金/实际到位资金）×100.00%=（</w:t>
      </w:r>
      <w:r>
        <w:rPr>
          <w:rStyle w:val="18"/>
          <w:rFonts w:hint="eastAsia" w:ascii="楷体" w:hAnsi="楷体" w:eastAsia="楷体"/>
          <w:b w:val="0"/>
          <w:bCs w:val="0"/>
          <w:spacing w:val="-4"/>
          <w:sz w:val="32"/>
          <w:szCs w:val="32"/>
          <w:lang w:eastAsia="zh-CN"/>
        </w:rPr>
        <w:t>427.50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427.50</w:t>
      </w:r>
      <w:r>
        <w:rPr>
          <w:rStyle w:val="18"/>
          <w:rFonts w:hint="eastAsia" w:ascii="楷体" w:hAnsi="楷体" w:eastAsia="楷体"/>
          <w:b w:val="0"/>
          <w:bCs w:val="0"/>
          <w:spacing w:val="-4"/>
          <w:sz w:val="32"/>
          <w:szCs w:val="32"/>
        </w:rPr>
        <w:t>）*100.00%=100%。得分=预算执行率*分值=100%*5=5分。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石梯子哈萨克族乡人民政府资金管理办法》《呼图壁县石梯子哈萨克族乡人民政府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石梯子哈萨克族乡人民政府资金管理办法》《呼图壁县石梯子哈萨克族乡人民政府收支业务管理制度》《呼图壁县石梯子哈萨克族乡人民政府政府采购业务管理制度》《呼图壁县石梯子哈萨克族乡人民政府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可行性研究报告、竣工结算等资料齐全并及时进行了归档。项目资金支出严格按照自治区、地区、市以及本单位资金管理办法执行，项目启动实施后，为了加快本项目的实施，成立了呼图壁县石梯子乡2021年村民服务中心建设项目工作领导小组，由党组书记杨钊任组长，负责项目的组织工作；岳致亮任副组长，负责项目的实施工作；组员包括：李学智和古丽娜，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0575087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77E2B5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项目产出类指标由3个二级指标和4个三级指标构成，权重分20.0分，实际得分20.0分。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“村社区个数”指标：预期指标值为“&gt;=4个”，实际完成指标值为“=4个”，指标完成率为100.0%。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“建筑面积”指标：预期指标值为“&gt;=1800平方米”，实际完成指标值为“=1800平方米”，指标完成率为100.0%。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“服务中心验收合格率”指标：预期指标值为“&gt;=100%”，实际完成指标值为“=100%”，指标完成率为100%。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“村民服务中心建设及时率”指标：预期指标值为“&gt;=100%”，实际完成指标值为“=100%”，指标完成率为100%。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项目成本情况指标由3个二级指标和1个三级指标构成，权重分10.0分，实际得分10分。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“村民服务中心建设”指标：预期指标值为“&lt;=120万元/个”，实际完成指标值为“=120万元/个”，指标完成率为100%。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4CC1458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72207D2">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项目效益类指标由3个二级指标和1个三级指标构成，权重分30.0分，实际得分30分。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“解决农村社会事务能力”指标：预期指标值为“良好”，实际完成指标值为“达到预期指标”，指标完成率为100.0%。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804F54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“村民满意度”指标：预期指标值为“&gt;=100%”，实际完成指标值为“=100%”，指标完成率为100%。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1772B757">
      <w:pPr>
        <w:spacing w:line="540" w:lineRule="exact"/>
        <w:ind w:firstLine="567"/>
        <w:rPr>
          <w:rStyle w:val="18"/>
          <w:rFonts w:hint="eastAsia" w:ascii="楷体" w:hAnsi="楷体" w:eastAsia="楷体"/>
          <w:b w:val="0"/>
          <w:bCs w:val="0"/>
          <w:spacing w:val="-4"/>
          <w:sz w:val="32"/>
          <w:szCs w:val="32"/>
        </w:rPr>
      </w:pPr>
    </w:p>
    <w:p w14:paraId="70EEC851">
      <w:pPr>
        <w:spacing w:line="540" w:lineRule="exact"/>
        <w:ind w:firstLine="567"/>
        <w:rPr>
          <w:rStyle w:val="18"/>
          <w:rFonts w:ascii="楷体" w:hAnsi="楷体" w:eastAsia="楷体"/>
          <w:spacing w:val="-4"/>
          <w:sz w:val="32"/>
          <w:szCs w:val="32"/>
        </w:rPr>
      </w:pPr>
    </w:p>
    <w:p w14:paraId="5F385149">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411F070">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1、项目组织方面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过程中，构建了多方协同的高效组织架构，形成乡镇党委统筹、村委会落实、专业团队协作的联动机制。通过成立专项工作小组，明确职责分工，确保规划、设计、施工各环节责任到人。注重发挥基层党组织的引领作用，充分调动村民代表参与项目需求调研和方案论证，确保建设内容贴近群众实际需求。同时，强化与第三方设计单位、施工企业的沟通协调，建立定期会商机制，及时化解难点问题，保障项目推进方向与基层治理目标高度契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严格执行全流程规范化管理，通过制定阶段性目标与动态跟踪机制，实现进度与质量双控。推行“清单化+台账化”管理模式，对施工节点、材料验收、安全标准等关键环节进行全过程留痕，确保问题可追溯、责任可倒查。创新引入多主体联合监督机制，由监理单位、村务监督委员会、村民代表共同组成质量巡查组，定期开展现场检查，形成“专业指导+群众监督”的双重保障。此外，注重安全生产与文明施工管理，通过隐患排查、应急演练等措施，实现项目全程零事故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建立透明规范的财务管理体系，严格执行“专户管理、专款专用”制度，确保资金流向清晰可控。通过分层审批、分级负责的支付流程，强化资金使用的合规性审查，杜绝超支挪用现象。创新资金监督方式，整合纪检、审计、村民代表等多方力量，定期开展联合检查与账目公示，保障资金使用全程公开透明。同时，注重成本效益分析，优化资源配置，在保证工程质量的前提下合理压缩非必要开支，最大限度提升资金使用效率，为同类项目树立了精细化管理的标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1.问题：村民参与深度不足，需求调研覆盖面有限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原因分析：项目前期需求征集方式较为单一，部分村民特别是外出务工人员、老年群体等未能充分表达意见，导致部分功能设计与实际需求存在偏差。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2.问题：施工进度受外部因素影响较大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原因分析：项目对不可预见因素（如极端天气、材料供应波动等）的预判不足，应急预案不够完善，导致阶段性工期延误。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3.问题：质量监管专业性需进一步提升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原因分析：联合监督机制中村民代表缺乏专业技术知识，对隐蔽工程、材料标准等关键环节的监管存在盲区，过度依赖监理单位。</w:t>
      </w:r>
    </w:p>
    <w:p w14:paraId="3B51B4D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671097EA">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1、建立多元化参与机制，通过线上问卷、入户走访、村民议事会等形式扩大调研覆盖范围，重点针对特殊群体开展定向沟通，确保需求分析更全面精准。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2、优化项目推进计划，提前制定风险防控预案，建立动态调整机制。加强与供应商、气象部门的联动，储备应急物资，提升抗风险能力。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3、定期组织村民监督员开展工程质量基础培训，邀请第三方专业机构参与关键节点验收，形成“技术指导+群众监督”互补模式。</w:t>
      </w:r>
    </w:p>
    <w:p w14:paraId="02B76B1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7907CA4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7EA0E348">
      <w:pPr>
        <w:spacing w:line="540" w:lineRule="exact"/>
        <w:ind w:firstLine="567"/>
        <w:rPr>
          <w:rStyle w:val="18"/>
          <w:rFonts w:ascii="仿宋" w:hAnsi="仿宋" w:eastAsia="仿宋"/>
          <w:b w:val="0"/>
          <w:spacing w:val="-4"/>
          <w:sz w:val="32"/>
          <w:szCs w:val="32"/>
        </w:rPr>
      </w:pPr>
    </w:p>
    <w:p w14:paraId="5C300C2B">
      <w:pPr>
        <w:spacing w:line="540" w:lineRule="exact"/>
        <w:ind w:firstLine="567"/>
        <w:rPr>
          <w:rStyle w:val="18"/>
          <w:rFonts w:ascii="仿宋" w:hAnsi="仿宋" w:eastAsia="仿宋"/>
          <w:b w:val="0"/>
          <w:spacing w:val="-4"/>
          <w:sz w:val="32"/>
          <w:szCs w:val="32"/>
        </w:rPr>
      </w:pPr>
    </w:p>
    <w:p w14:paraId="6AF27455">
      <w:pPr>
        <w:spacing w:line="540" w:lineRule="exact"/>
        <w:ind w:firstLine="567"/>
        <w:rPr>
          <w:rStyle w:val="18"/>
          <w:rFonts w:ascii="仿宋" w:hAnsi="仿宋" w:eastAsia="仿宋"/>
          <w:b w:val="0"/>
          <w:spacing w:val="-4"/>
          <w:sz w:val="32"/>
          <w:szCs w:val="32"/>
        </w:rPr>
      </w:pPr>
    </w:p>
    <w:p w14:paraId="162A0003">
      <w:pPr>
        <w:spacing w:line="540" w:lineRule="exact"/>
        <w:ind w:firstLine="567"/>
        <w:rPr>
          <w:rStyle w:val="18"/>
          <w:rFonts w:ascii="仿宋" w:hAnsi="仿宋" w:eastAsia="仿宋"/>
          <w:b w:val="0"/>
          <w:spacing w:val="-4"/>
          <w:sz w:val="32"/>
          <w:szCs w:val="32"/>
        </w:rPr>
      </w:pPr>
    </w:p>
    <w:p w14:paraId="56B01915">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E248811">
        <w:pPr>
          <w:pStyle w:val="12"/>
          <w:jc w:val="center"/>
        </w:pPr>
        <w:r>
          <w:fldChar w:fldCharType="begin"/>
        </w:r>
        <w:r>
          <w:instrText xml:space="preserve">PAGE   \* MERGEFORMAT</w:instrText>
        </w:r>
        <w:r>
          <w:fldChar w:fldCharType="separate"/>
        </w:r>
        <w:r>
          <w:rPr>
            <w:lang w:val="zh-CN"/>
          </w:rPr>
          <w:t>2</w:t>
        </w:r>
        <w:r>
          <w:fldChar w:fldCharType="end"/>
        </w:r>
      </w:p>
    </w:sdtContent>
  </w:sdt>
  <w:p w14:paraId="429050F9">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62A6BF4"/>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11229</Words>
  <Characters>11898</Characters>
  <Lines>4</Lines>
  <Paragraphs>1</Paragraphs>
  <TotalTime>9</TotalTime>
  <ScaleCrop>false</ScaleCrop>
  <LinksUpToDate>false</LinksUpToDate>
  <CharactersWithSpaces>11921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2025-08-12T09:39:20Z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