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highlight w:val="none"/>
        </w:rPr>
      </w:pPr>
      <w:bookmarkStart w:id="1" w:name="_GoBack"/>
    </w:p>
    <w:p>
      <w:pPr>
        <w:pStyle w:val="7"/>
        <w:rPr>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呼图壁县苗木花卉产业园区管理委员会2025年部门预算公开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left="638" w:leftChars="304"/>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2025年呼图壁县苗木花卉产业园区管理委员会部门概况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2025年部门预算公开表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四、财政拨款收支预算总体情况表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w:t>
      </w:r>
      <w:r>
        <w:rPr>
          <w:rFonts w:hint="eastAsia" w:ascii="仿宋_GB2312" w:hAnsi="仿宋_GB2312" w:eastAsia="仿宋_GB2312" w:cs="仿宋_GB2312"/>
          <w:kern w:val="0"/>
          <w:sz w:val="32"/>
          <w:szCs w:val="32"/>
          <w:highlight w:val="none"/>
          <w:lang w:eastAsia="zh-Hans"/>
        </w:rPr>
        <w:t>上年结转</w:t>
      </w:r>
      <w:r>
        <w:rPr>
          <w:rFonts w:hint="eastAsia" w:ascii="仿宋_GB2312" w:hAnsi="仿宋_GB2312" w:eastAsia="仿宋_GB2312" w:cs="仿宋_GB2312"/>
          <w:kern w:val="0"/>
          <w:sz w:val="32"/>
          <w:szCs w:val="32"/>
          <w:highlight w:val="none"/>
        </w:rPr>
        <w:t>结余</w:t>
      </w:r>
      <w:r>
        <w:rPr>
          <w:rFonts w:hint="eastAsia" w:ascii="仿宋_GB2312" w:hAnsi="仿宋_GB2312" w:eastAsia="仿宋_GB2312" w:cs="仿宋_GB2312"/>
          <w:kern w:val="0"/>
          <w:sz w:val="32"/>
          <w:szCs w:val="32"/>
          <w:highlight w:val="none"/>
          <w:lang w:eastAsia="zh-Hans"/>
        </w:rPr>
        <w:t>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2025年部门预算情况说明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一、关于呼图壁县苗木花卉产业园区管理委员会2025年收支预算情况的总体说明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二、关于呼图壁县苗木花卉产业园区管理委员会2025年收入预算情况说明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三、关于呼图壁县苗木花卉产业园区管理委员会2025年支出预算情况说明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仿宋_GB2312" w:eastAsia="仿宋_GB2312" w:cs="仿宋_GB2312"/>
          <w:kern w:val="0"/>
          <w:sz w:val="32"/>
          <w:szCs w:val="32"/>
          <w:highlight w:val="none"/>
        </w:rPr>
        <w:t>呼图壁县苗木花卉产业园区管理委员会2025</w:t>
      </w:r>
      <w:r>
        <w:rPr>
          <w:rFonts w:hint="eastAsia" w:ascii="仿宋_GB2312" w:hAnsi="仿宋_GB2312" w:eastAsia="仿宋_GB2312" w:cs="仿宋_GB2312"/>
          <w:bCs/>
          <w:kern w:val="0"/>
          <w:sz w:val="32"/>
          <w:szCs w:val="32"/>
          <w:highlight w:val="none"/>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呼图壁县苗木花卉产业园区管理委员会2025年</w:t>
      </w:r>
      <w:r>
        <w:rPr>
          <w:rFonts w:hint="eastAsia" w:ascii="仿宋_GB2312" w:hAnsi="仿宋_GB2312" w:eastAsia="仿宋_GB2312" w:cs="仿宋_GB2312"/>
          <w:spacing w:val="-6"/>
          <w:kern w:val="0"/>
          <w:sz w:val="32"/>
          <w:szCs w:val="32"/>
          <w:highlight w:val="none"/>
        </w:rPr>
        <w:t>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呼图壁县苗木花卉产业园区管理委员会2025年</w:t>
      </w:r>
      <w:r>
        <w:rPr>
          <w:rFonts w:hint="eastAsia" w:ascii="仿宋_GB2312" w:hAnsi="仿宋_GB2312" w:eastAsia="仿宋_GB2312" w:cs="仿宋_GB2312"/>
          <w:spacing w:val="-6"/>
          <w:kern w:val="0"/>
          <w:sz w:val="32"/>
          <w:szCs w:val="32"/>
          <w:highlight w:val="none"/>
        </w:rPr>
        <w:t>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呼图壁县苗木花卉产业园区管理委员会2025年</w:t>
      </w:r>
      <w:r>
        <w:rPr>
          <w:rFonts w:hint="eastAsia" w:ascii="仿宋_GB2312" w:hAnsi="仿宋_GB2312" w:eastAsia="仿宋_GB2312" w:cs="仿宋_GB2312"/>
          <w:spacing w:val="-6"/>
          <w:kern w:val="0"/>
          <w:sz w:val="32"/>
          <w:szCs w:val="32"/>
          <w:highlight w:val="none"/>
        </w:rPr>
        <w:t>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、关于呼图壁县苗木花卉产业园区管理委员会2025年政府性基金预算拨款情况说明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关于呼图壁县苗木花卉产业园区管理委员会2025年国有资本经营预算拨款情况说明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、关于呼图壁县苗木花卉产业园区管理委员会2025年</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eastAsia="zh-Hans"/>
        </w:rPr>
        <w:t>一</w:t>
      </w:r>
      <w:r>
        <w:rPr>
          <w:rFonts w:hint="eastAsia" w:ascii="仿宋_GB2312" w:hAnsi="仿宋_GB2312" w:eastAsia="仿宋_GB2312" w:cs="仿宋_GB2312"/>
          <w:kern w:val="0"/>
          <w:sz w:val="32"/>
          <w:szCs w:val="32"/>
          <w:highlight w:val="none"/>
        </w:rPr>
        <w:t>、关于呼图壁县苗木花卉产业园区管理委员会2025年上年结转结余预算情况说明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  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2025年呼图壁县苗木花卉产业园区管理委员会概况</w:t>
      </w:r>
    </w:p>
    <w:p>
      <w:pPr>
        <w:widowControl/>
        <w:spacing w:line="540" w:lineRule="exact"/>
        <w:jc w:val="center"/>
        <w:outlineLvl w:val="1"/>
        <w:rPr>
          <w:rFonts w:ascii="宋体" w:hAnsi="宋体"/>
          <w:b/>
          <w:kern w:val="0"/>
          <w:sz w:val="32"/>
          <w:szCs w:val="32"/>
          <w:highlight w:val="none"/>
        </w:rPr>
      </w:pP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1、贯彻落实国家、区、州、县人民政府的各项方针、政策，研究编制并组织实施苗木花卉产业园区及葡萄产业发展的总体规划、经济发展中长期规划及年度工作计划，研究制定园区管理办法、相关优惠政策，经县人民政府批准后，负责组织实施；</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2、负责园区企业的准入工作，指导和协调园区苗木花卉企业、合作社、协会、个体苗圃运行，做好园区企业、合作社、协会、个体苗圃的产前、产中、产后服务工作；</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3、负责产业园区的招商引资、对外经济技术合作工作，按规定权限和程序申报产业园区的投资项目；</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4、培育苗木花卉市场体系，发展第三方物流和综合性物流业务，为客户提供采挖、装卸、配送和进出口等一条龙服务；</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5、负责协调相关部门为入园企业提供金融、法律、公证、产权交易、劳动用工管理等中介服务工作；</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6、开展苗木花卉产业信息服务；</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7、负责新疆苗木花卉博览会筹备各项工作；</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8、负责管理园区各项基础设施、公共设施，发展园区公益事业；</w:t>
      </w:r>
    </w:p>
    <w:p>
      <w:pPr>
        <w:widowControl/>
        <w:spacing w:line="540" w:lineRule="exact"/>
        <w:ind w:firstLine="640" w:firstLineChars="200"/>
        <w:jc w:val="left"/>
        <w:rPr>
          <w:rFonts w:ascii="仿宋_GB2312" w:hAnsi="宋体" w:eastAsia="仿宋_GB2312" w:cs="宋体"/>
          <w:bCs/>
          <w:kern w:val="0"/>
          <w:sz w:val="32"/>
          <w:szCs w:val="32"/>
          <w:highlight w:val="none"/>
        </w:rPr>
      </w:pPr>
      <w:r>
        <w:rPr>
          <w:rFonts w:eastAsia="仿宋_GB2312"/>
          <w:color w:val="000000"/>
          <w:sz w:val="32"/>
          <w:szCs w:val="32"/>
          <w:highlight w:val="none"/>
        </w:rPr>
        <w:t>9、承办县委、县人民政府交办的其他事项。</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呼图壁县苗木花卉产业园区管理委员会无下属预算单位，</w:t>
      </w:r>
      <w:r>
        <w:rPr>
          <w:rFonts w:hint="eastAsia" w:ascii="仿宋_GB2312" w:hAnsi="黑体" w:eastAsia="仿宋_GB2312" w:cs="宋体"/>
          <w:bCs/>
          <w:kern w:val="0"/>
          <w:sz w:val="32"/>
          <w:szCs w:val="32"/>
          <w:highlight w:val="none"/>
        </w:rPr>
        <w:t>下设3个处室，分别是：</w:t>
      </w:r>
      <w:r>
        <w:rPr>
          <w:rFonts w:eastAsia="仿宋_GB2312"/>
          <w:color w:val="000000"/>
          <w:sz w:val="32"/>
          <w:szCs w:val="32"/>
          <w:highlight w:val="none"/>
        </w:rPr>
        <w:t>综合办公室、产业发展局、博览事务局</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呼图壁县苗木花卉产业园区管理委员会</w:t>
      </w:r>
      <w:r>
        <w:rPr>
          <w:rFonts w:hint="eastAsia" w:ascii="仿宋_GB2312" w:hAnsi="宋体" w:eastAsia="仿宋_GB2312" w:cs="宋体"/>
          <w:kern w:val="0"/>
          <w:sz w:val="32"/>
          <w:szCs w:val="32"/>
          <w:highlight w:val="none"/>
        </w:rPr>
        <w:t>编制数11，实有人数12人，其中：在职11人，增加0人；退休1人，增加0人；离休0人，增加0人。</w:t>
      </w:r>
    </w:p>
    <w:p>
      <w:pPr>
        <w:widowControl/>
        <w:spacing w:line="540" w:lineRule="exact"/>
        <w:ind w:firstLine="640"/>
        <w:jc w:val="left"/>
        <w:rPr>
          <w:rFonts w:ascii="仿宋_GB2312" w:hAnsi="宋体" w:eastAsia="仿宋_GB2312" w:cs="宋体"/>
          <w:kern w:val="0"/>
          <w:sz w:val="32"/>
          <w:szCs w:val="32"/>
          <w:highlight w:val="none"/>
        </w:rPr>
        <w:sectPr>
          <w:footerReference r:id="rId5" w:type="default"/>
          <w:pgSz w:w="11906" w:h="16838"/>
          <w:pgMar w:top="2098" w:right="1531" w:bottom="1984" w:left="1531" w:header="851" w:footer="992" w:gutter="0"/>
          <w:pgNumType w:fmt="numberInDash"/>
          <w:cols w:space="720" w:num="1"/>
          <w:docGrid w:linePitch="312" w:charSpace="0"/>
        </w:sectPr>
      </w:pPr>
      <w:r>
        <w:rPr>
          <w:rFonts w:hint="eastAsia" w:ascii="仿宋_GB2312" w:hAnsi="宋体" w:eastAsia="仿宋_GB2312" w:cs="宋体"/>
          <w:kern w:val="0"/>
          <w:sz w:val="32"/>
          <w:szCs w:val="32"/>
          <w:highlight w:val="none"/>
        </w:rPr>
        <w:t xml:space="preserve">   </w:t>
      </w: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第二部分  2025年部门预算公开表</w:t>
      </w:r>
    </w:p>
    <w:p>
      <w:pPr>
        <w:widowControl/>
        <w:spacing w:line="240" w:lineRule="exact"/>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部门收支总体情况表</w:t>
      </w:r>
    </w:p>
    <w:p>
      <w:pPr>
        <w:widowControl/>
        <w:spacing w:line="280" w:lineRule="exact"/>
        <w:jc w:val="center"/>
        <w:outlineLvl w:val="1"/>
        <w:rPr>
          <w:rFonts w:ascii="仿宋_GB2312" w:hAnsi="宋体" w:eastAsia="仿宋_GB2312"/>
          <w:b/>
          <w:kern w:val="0"/>
          <w:sz w:val="32"/>
          <w:szCs w:val="32"/>
          <w:highlight w:val="none"/>
        </w:rPr>
      </w:pPr>
    </w:p>
    <w:p>
      <w:pPr>
        <w:widowControl/>
        <w:wordWrap w:val="0"/>
        <w:topLinePunct/>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1"/>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b/>
                <w:kern w:val="0"/>
                <w:szCs w:val="21"/>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390.06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261.06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261.06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2.政府性基金预算拨款</w:t>
            </w:r>
            <w:r>
              <w:rPr>
                <w:rFonts w:hint="eastAsia" w:ascii="仿宋_GB2312" w:hAnsi="宋体" w:eastAsia="仿宋_GB2312" w:cs="宋体"/>
                <w:kern w:val="0"/>
                <w:szCs w:val="21"/>
                <w:highlight w:val="none"/>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55.89</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其中：国有资本经营收入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上级国有资本经营预算安排转移支付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38.33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4.财政专户核拨</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5.单位资金</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129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其中：事业收入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249.09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上级补助收入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附属单位上缴收入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215 资源勘探</w:t>
            </w:r>
            <w:r>
              <w:rPr>
                <w:rFonts w:hint="eastAsia" w:ascii="仿宋_GB2312" w:hAnsi="宋体" w:eastAsia="仿宋_GB2312" w:cs="宋体"/>
                <w:kern w:val="0"/>
                <w:szCs w:val="21"/>
                <w:highlight w:val="none"/>
                <w:lang w:eastAsia="zh-Hans"/>
              </w:rPr>
              <w:t>工业</w:t>
            </w:r>
            <w:r>
              <w:rPr>
                <w:rFonts w:hint="eastAsia" w:ascii="仿宋_GB2312" w:hAnsi="宋体" w:eastAsia="仿宋_GB2312" w:cs="宋体"/>
                <w:kern w:val="0"/>
                <w:szCs w:val="21"/>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事业单位经营收入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其他收入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129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2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二、上年结转结余</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19.9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1.财政拨款结转</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19.9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19.9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51.64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政府性基金预算拨款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Cs w:val="21"/>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Cs w:val="21"/>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409.96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409.96</w:t>
            </w:r>
            <w:r>
              <w:rPr>
                <w:rFonts w:hint="eastAsia" w:ascii="仿宋_GB2312" w:hAnsi="宋体" w:eastAsia="仿宋_GB2312" w:cs="宋体"/>
                <w:kern w:val="0"/>
                <w:szCs w:val="21"/>
                <w:highlight w:val="none"/>
              </w:rPr>
              <w:t>　</w:t>
            </w:r>
          </w:p>
        </w:tc>
      </w:tr>
    </w:tbl>
    <w:p>
      <w:pPr>
        <w:widowControl/>
        <w:spacing w:line="280" w:lineRule="exact"/>
        <w:outlineLvl w:val="1"/>
        <w:rPr>
          <w:rFonts w:ascii="仿宋_GB2312" w:hAnsi="宋体" w:eastAsia="仿宋_GB2312"/>
          <w:b/>
          <w:color w:val="FF0000"/>
          <w:kern w:val="0"/>
          <w:sz w:val="28"/>
          <w:szCs w:val="32"/>
          <w:highlight w:val="none"/>
        </w:r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表2</w:t>
      </w:r>
    </w:p>
    <w:p>
      <w:pPr>
        <w:widowControl/>
        <w:spacing w:line="440" w:lineRule="exact"/>
        <w:jc w:val="center"/>
        <w:outlineLvl w:val="1"/>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部门收入总体情况表</w:t>
      </w:r>
    </w:p>
    <w:p>
      <w:pPr>
        <w:widowControl/>
        <w:spacing w:line="44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1"/>
        <w:tblW w:w="9893" w:type="dxa"/>
        <w:tblInd w:w="-450" w:type="dxa"/>
        <w:tblLayout w:type="fixed"/>
        <w:tblCellMar>
          <w:top w:w="0" w:type="dxa"/>
          <w:left w:w="108" w:type="dxa"/>
          <w:bottom w:w="0" w:type="dxa"/>
          <w:right w:w="108" w:type="dxa"/>
        </w:tblCellMar>
      </w:tblPr>
      <w:tblGrid>
        <w:gridCol w:w="428"/>
        <w:gridCol w:w="465"/>
        <w:gridCol w:w="358"/>
        <w:gridCol w:w="797"/>
        <w:gridCol w:w="797"/>
        <w:gridCol w:w="722"/>
        <w:gridCol w:w="726"/>
        <w:gridCol w:w="655"/>
        <w:gridCol w:w="714"/>
        <w:gridCol w:w="643"/>
        <w:gridCol w:w="631"/>
        <w:gridCol w:w="736"/>
        <w:gridCol w:w="583"/>
        <w:gridCol w:w="536"/>
        <w:gridCol w:w="676"/>
        <w:gridCol w:w="426"/>
      </w:tblGrid>
      <w:tr>
        <w:tblPrEx>
          <w:tblCellMar>
            <w:top w:w="0" w:type="dxa"/>
            <w:left w:w="108" w:type="dxa"/>
            <w:bottom w:w="0" w:type="dxa"/>
            <w:right w:w="108" w:type="dxa"/>
          </w:tblCellMar>
        </w:tblPrEx>
        <w:trPr>
          <w:trHeight w:val="2669"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highlight w:val="none"/>
              </w:rPr>
            </w:pPr>
            <w:r>
              <w:rPr>
                <w:rFonts w:hint="eastAsia" w:ascii="仿宋_GB2312" w:eastAsia="仿宋_GB2312"/>
                <w:b/>
                <w:sz w:val="18"/>
                <w:szCs w:val="18"/>
                <w:highlight w:val="none"/>
              </w:rPr>
              <w:t>功能分类科目编码</w:t>
            </w:r>
          </w:p>
        </w:tc>
        <w:tc>
          <w:tcPr>
            <w:tcW w:w="79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highlight w:val="none"/>
              </w:rPr>
            </w:pPr>
            <w:r>
              <w:rPr>
                <w:rFonts w:hint="eastAsia" w:ascii="仿宋_GB2312" w:eastAsia="仿宋_GB2312"/>
                <w:b/>
                <w:sz w:val="18"/>
                <w:szCs w:val="18"/>
                <w:highlight w:val="none"/>
              </w:rPr>
              <w:t>功能分类科目名称</w:t>
            </w:r>
          </w:p>
        </w:tc>
        <w:tc>
          <w:tcPr>
            <w:tcW w:w="79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8"/>
                <w:szCs w:val="18"/>
                <w:highlight w:val="none"/>
              </w:rPr>
            </w:pPr>
            <w:r>
              <w:rPr>
                <w:rFonts w:hint="eastAsia" w:ascii="仿宋_GB2312" w:eastAsia="仿宋_GB2312"/>
                <w:b/>
                <w:sz w:val="18"/>
                <w:szCs w:val="18"/>
                <w:highlight w:val="none"/>
              </w:rPr>
              <w:t>总  计</w:t>
            </w:r>
          </w:p>
        </w:tc>
        <w:tc>
          <w:tcPr>
            <w:tcW w:w="4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highlight w:val="none"/>
              </w:rPr>
            </w:pPr>
            <w:r>
              <w:rPr>
                <w:rFonts w:hint="eastAsia" w:ascii="仿宋_GB2312" w:hAnsi="宋体" w:eastAsia="仿宋_GB2312" w:cs="宋体"/>
                <w:b/>
                <w:sz w:val="18"/>
                <w:szCs w:val="18"/>
                <w:highlight w:val="none"/>
              </w:rPr>
              <w:t>财  政  拨  款  (  补  助  )</w:t>
            </w:r>
          </w:p>
        </w:tc>
        <w:tc>
          <w:tcPr>
            <w:tcW w:w="58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highlight w:val="none"/>
              </w:rPr>
            </w:pPr>
            <w:r>
              <w:rPr>
                <w:rFonts w:hint="eastAsia" w:ascii="仿宋_GB2312" w:eastAsia="仿宋_GB2312"/>
                <w:b/>
                <w:sz w:val="18"/>
                <w:szCs w:val="18"/>
                <w:highlight w:val="none"/>
              </w:rPr>
              <w:t>财政专户（教育收费）</w:t>
            </w:r>
          </w:p>
        </w:tc>
        <w:tc>
          <w:tcPr>
            <w:tcW w:w="5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highlight w:val="none"/>
              </w:rPr>
            </w:pPr>
            <w:r>
              <w:rPr>
                <w:rFonts w:hint="eastAsia" w:ascii="仿宋_GB2312" w:eastAsia="仿宋_GB2312"/>
                <w:b/>
                <w:sz w:val="18"/>
                <w:szCs w:val="18"/>
                <w:highlight w:val="none"/>
              </w:rPr>
              <w:t>单位资金</w:t>
            </w:r>
          </w:p>
        </w:tc>
        <w:tc>
          <w:tcPr>
            <w:tcW w:w="67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highlight w:val="none"/>
              </w:rPr>
            </w:pPr>
            <w:r>
              <w:rPr>
                <w:rFonts w:hint="eastAsia" w:ascii="仿宋_GB2312" w:eastAsia="仿宋_GB2312"/>
                <w:b/>
                <w:sz w:val="18"/>
                <w:szCs w:val="18"/>
                <w:highlight w:val="none"/>
              </w:rPr>
              <w:t>财政拨款结转</w:t>
            </w:r>
          </w:p>
        </w:tc>
        <w:tc>
          <w:tcPr>
            <w:tcW w:w="42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highlight w:val="none"/>
              </w:rPr>
            </w:pPr>
            <w:r>
              <w:rPr>
                <w:rFonts w:hint="eastAsia" w:ascii="仿宋_GB2312" w:eastAsia="仿宋_GB2312"/>
                <w:b/>
                <w:sz w:val="18"/>
                <w:szCs w:val="18"/>
                <w:highlight w:val="none"/>
              </w:rPr>
              <w:t>非财政拨款结转结余</w:t>
            </w:r>
          </w:p>
        </w:tc>
      </w:tr>
      <w:tr>
        <w:tblPrEx>
          <w:tblCellMar>
            <w:top w:w="0" w:type="dxa"/>
            <w:left w:w="108" w:type="dxa"/>
            <w:bottom w:w="0" w:type="dxa"/>
            <w:right w:w="108" w:type="dxa"/>
          </w:tblCellMar>
        </w:tblPrEx>
        <w:trPr>
          <w:trHeight w:val="2394" w:hRule="atLeast"/>
        </w:trPr>
        <w:tc>
          <w:tcPr>
            <w:tcW w:w="428" w:type="dxa"/>
            <w:tcBorders>
              <w:left w:val="single" w:color="auto" w:sz="4" w:space="0"/>
              <w:bottom w:val="single" w:color="auto" w:sz="4" w:space="0"/>
              <w:right w:val="single" w:color="auto" w:sz="4" w:space="0"/>
            </w:tcBorders>
            <w:vAlign w:val="center"/>
          </w:tcPr>
          <w:p>
            <w:pPr>
              <w:jc w:val="center"/>
              <w:rPr>
                <w:rFonts w:ascii="仿宋_GB2312" w:eastAsia="仿宋_GB2312"/>
                <w:b/>
                <w:sz w:val="18"/>
                <w:szCs w:val="18"/>
                <w:highlight w:val="none"/>
                <w:lang w:eastAsia="zh-Hans"/>
              </w:rPr>
            </w:pPr>
            <w:r>
              <w:rPr>
                <w:rFonts w:hint="eastAsia" w:ascii="仿宋_GB2312" w:eastAsia="仿宋_GB2312"/>
                <w:b/>
                <w:sz w:val="18"/>
                <w:szCs w:val="18"/>
                <w:highlight w:val="none"/>
                <w:lang w:eastAsia="zh-Hans"/>
              </w:rPr>
              <w:t>类</w:t>
            </w:r>
          </w:p>
        </w:tc>
        <w:tc>
          <w:tcPr>
            <w:tcW w:w="465" w:type="dxa"/>
            <w:tcBorders>
              <w:left w:val="nil"/>
              <w:bottom w:val="single" w:color="auto" w:sz="4" w:space="0"/>
              <w:right w:val="single" w:color="auto" w:sz="4" w:space="0"/>
            </w:tcBorders>
            <w:vAlign w:val="center"/>
          </w:tcPr>
          <w:p>
            <w:pPr>
              <w:jc w:val="center"/>
              <w:rPr>
                <w:rFonts w:ascii="仿宋_GB2312" w:eastAsia="仿宋_GB2312"/>
                <w:b/>
                <w:sz w:val="18"/>
                <w:szCs w:val="18"/>
                <w:highlight w:val="none"/>
                <w:lang w:eastAsia="zh-Hans"/>
              </w:rPr>
            </w:pPr>
            <w:r>
              <w:rPr>
                <w:rFonts w:hint="eastAsia" w:ascii="仿宋_GB2312" w:eastAsia="仿宋_GB2312"/>
                <w:b/>
                <w:sz w:val="18"/>
                <w:szCs w:val="18"/>
                <w:highlight w:val="none"/>
                <w:lang w:eastAsia="zh-Hans"/>
              </w:rPr>
              <w:t>款</w:t>
            </w:r>
          </w:p>
        </w:tc>
        <w:tc>
          <w:tcPr>
            <w:tcW w:w="358" w:type="dxa"/>
            <w:tcBorders>
              <w:left w:val="nil"/>
              <w:bottom w:val="single" w:color="auto" w:sz="4" w:space="0"/>
              <w:right w:val="single" w:color="auto" w:sz="4" w:space="0"/>
            </w:tcBorders>
            <w:vAlign w:val="center"/>
          </w:tcPr>
          <w:p>
            <w:pPr>
              <w:jc w:val="center"/>
              <w:rPr>
                <w:rFonts w:ascii="仿宋_GB2312" w:eastAsia="仿宋_GB2312"/>
                <w:b/>
                <w:sz w:val="18"/>
                <w:szCs w:val="18"/>
                <w:highlight w:val="none"/>
                <w:lang w:eastAsia="zh-Hans"/>
              </w:rPr>
            </w:pPr>
            <w:r>
              <w:rPr>
                <w:rFonts w:hint="eastAsia" w:ascii="仿宋_GB2312" w:eastAsia="仿宋_GB2312"/>
                <w:b/>
                <w:sz w:val="18"/>
                <w:szCs w:val="18"/>
                <w:highlight w:val="none"/>
                <w:lang w:eastAsia="zh-Hans"/>
              </w:rPr>
              <w:t>项</w:t>
            </w: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财政拨款(补助)小计</w:t>
            </w:r>
          </w:p>
        </w:tc>
        <w:tc>
          <w:tcPr>
            <w:tcW w:w="7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一般公共预算</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上级一般公共预算安排的转移支付</w:t>
            </w: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政府性基金预算</w:t>
            </w: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上级政府性基金安排的转移支付</w:t>
            </w: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国有资本经营预算</w:t>
            </w: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上级国有资本经营预算安排的转移支付</w:t>
            </w:r>
          </w:p>
        </w:tc>
        <w:tc>
          <w:tcPr>
            <w:tcW w:w="583"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53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67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42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r>
      <w:tr>
        <w:tblPrEx>
          <w:tblCellMar>
            <w:top w:w="0" w:type="dxa"/>
            <w:left w:w="108" w:type="dxa"/>
            <w:bottom w:w="0" w:type="dxa"/>
            <w:right w:w="108" w:type="dxa"/>
          </w:tblCellMar>
        </w:tblPrEx>
        <w:trPr>
          <w:trHeight w:val="594" w:hRule="atLeast"/>
        </w:trPr>
        <w:tc>
          <w:tcPr>
            <w:tcW w:w="428" w:type="dxa"/>
            <w:tcBorders>
              <w:left w:val="single" w:color="auto" w:sz="4" w:space="0"/>
              <w:bottom w:val="single" w:color="auto" w:sz="4" w:space="0"/>
              <w:right w:val="single" w:color="auto" w:sz="4" w:space="0"/>
            </w:tcBorders>
            <w:vAlign w:val="center"/>
          </w:tcPr>
          <w:p>
            <w:pPr>
              <w:jc w:val="center"/>
              <w:rPr>
                <w:rFonts w:ascii="仿宋_GB2312" w:eastAsia="仿宋_GB2312"/>
                <w:bCs/>
                <w:sz w:val="18"/>
                <w:szCs w:val="18"/>
                <w:highlight w:val="none"/>
              </w:rPr>
            </w:pPr>
            <w:r>
              <w:rPr>
                <w:rFonts w:hint="eastAsia" w:ascii="仿宋_GB2312" w:eastAsia="仿宋_GB2312"/>
                <w:bCs/>
                <w:sz w:val="18"/>
                <w:szCs w:val="18"/>
                <w:highlight w:val="none"/>
              </w:rPr>
              <w:t>206</w:t>
            </w:r>
          </w:p>
        </w:tc>
        <w:tc>
          <w:tcPr>
            <w:tcW w:w="465" w:type="dxa"/>
            <w:tcBorders>
              <w:left w:val="nil"/>
              <w:bottom w:val="single" w:color="auto" w:sz="4" w:space="0"/>
              <w:right w:val="single" w:color="auto" w:sz="4" w:space="0"/>
            </w:tcBorders>
            <w:vAlign w:val="center"/>
          </w:tcPr>
          <w:p>
            <w:pPr>
              <w:jc w:val="center"/>
              <w:rPr>
                <w:rFonts w:ascii="仿宋_GB2312" w:eastAsia="仿宋_GB2312"/>
                <w:bCs/>
                <w:sz w:val="18"/>
                <w:szCs w:val="18"/>
                <w:highlight w:val="none"/>
                <w:lang w:eastAsia="zh-Hans"/>
              </w:rPr>
            </w:pPr>
          </w:p>
        </w:tc>
        <w:tc>
          <w:tcPr>
            <w:tcW w:w="358" w:type="dxa"/>
            <w:tcBorders>
              <w:left w:val="nil"/>
              <w:bottom w:val="single" w:color="auto" w:sz="4" w:space="0"/>
              <w:right w:val="single" w:color="auto" w:sz="4" w:space="0"/>
            </w:tcBorders>
            <w:vAlign w:val="center"/>
          </w:tcPr>
          <w:p>
            <w:pPr>
              <w:jc w:val="center"/>
              <w:rPr>
                <w:rFonts w:ascii="仿宋_GB2312" w:eastAsia="仿宋_GB2312"/>
                <w:b/>
                <w:sz w:val="18"/>
                <w:szCs w:val="18"/>
                <w:highlight w:val="none"/>
                <w:lang w:eastAsia="zh-Hans"/>
              </w:rPr>
            </w:pP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科学技术支出</w:t>
            </w: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15</w:t>
            </w:r>
          </w:p>
        </w:tc>
        <w:tc>
          <w:tcPr>
            <w:tcW w:w="72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583"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53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676"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15</w:t>
            </w:r>
          </w:p>
        </w:tc>
        <w:tc>
          <w:tcPr>
            <w:tcW w:w="42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r>
      <w:tr>
        <w:tblPrEx>
          <w:tblCellMar>
            <w:top w:w="0" w:type="dxa"/>
            <w:left w:w="108" w:type="dxa"/>
            <w:bottom w:w="0" w:type="dxa"/>
            <w:right w:w="108" w:type="dxa"/>
          </w:tblCellMar>
        </w:tblPrEx>
        <w:trPr>
          <w:trHeight w:val="519" w:hRule="atLeast"/>
        </w:trPr>
        <w:tc>
          <w:tcPr>
            <w:tcW w:w="428" w:type="dxa"/>
            <w:tcBorders>
              <w:left w:val="single" w:color="auto" w:sz="4" w:space="0"/>
              <w:bottom w:val="single" w:color="auto" w:sz="4" w:space="0"/>
              <w:right w:val="single" w:color="auto" w:sz="4" w:space="0"/>
            </w:tcBorders>
            <w:vAlign w:val="center"/>
          </w:tcPr>
          <w:p>
            <w:pPr>
              <w:jc w:val="center"/>
              <w:rPr>
                <w:rFonts w:ascii="仿宋_GB2312" w:eastAsia="仿宋_GB2312"/>
                <w:bCs/>
                <w:sz w:val="18"/>
                <w:szCs w:val="18"/>
                <w:highlight w:val="none"/>
              </w:rPr>
            </w:pPr>
            <w:r>
              <w:rPr>
                <w:rFonts w:hint="eastAsia" w:ascii="仿宋_GB2312" w:eastAsia="仿宋_GB2312"/>
                <w:bCs/>
                <w:sz w:val="18"/>
                <w:szCs w:val="18"/>
                <w:highlight w:val="none"/>
              </w:rPr>
              <w:t>206</w:t>
            </w:r>
          </w:p>
        </w:tc>
        <w:tc>
          <w:tcPr>
            <w:tcW w:w="465" w:type="dxa"/>
            <w:tcBorders>
              <w:left w:val="nil"/>
              <w:bottom w:val="single" w:color="auto" w:sz="4" w:space="0"/>
              <w:right w:val="single" w:color="auto" w:sz="4" w:space="0"/>
            </w:tcBorders>
            <w:vAlign w:val="center"/>
          </w:tcPr>
          <w:p>
            <w:pPr>
              <w:jc w:val="center"/>
              <w:rPr>
                <w:rFonts w:ascii="仿宋_GB2312" w:eastAsia="仿宋_GB2312"/>
                <w:bCs/>
                <w:sz w:val="18"/>
                <w:szCs w:val="18"/>
                <w:highlight w:val="none"/>
              </w:rPr>
            </w:pPr>
            <w:r>
              <w:rPr>
                <w:rFonts w:hint="eastAsia" w:ascii="仿宋_GB2312" w:eastAsia="仿宋_GB2312"/>
                <w:bCs/>
                <w:sz w:val="18"/>
                <w:szCs w:val="18"/>
                <w:highlight w:val="none"/>
              </w:rPr>
              <w:t>07</w:t>
            </w:r>
          </w:p>
        </w:tc>
        <w:tc>
          <w:tcPr>
            <w:tcW w:w="358" w:type="dxa"/>
            <w:tcBorders>
              <w:left w:val="nil"/>
              <w:bottom w:val="single" w:color="auto" w:sz="4" w:space="0"/>
              <w:right w:val="single" w:color="auto" w:sz="4" w:space="0"/>
            </w:tcBorders>
            <w:vAlign w:val="center"/>
          </w:tcPr>
          <w:p>
            <w:pPr>
              <w:jc w:val="center"/>
              <w:rPr>
                <w:rFonts w:ascii="仿宋_GB2312" w:eastAsia="仿宋_GB2312"/>
                <w:b/>
                <w:sz w:val="18"/>
                <w:szCs w:val="18"/>
                <w:highlight w:val="none"/>
                <w:lang w:eastAsia="zh-Hans"/>
              </w:rPr>
            </w:pP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科学技术普及</w:t>
            </w:r>
          </w:p>
        </w:tc>
        <w:tc>
          <w:tcPr>
            <w:tcW w:w="797"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15</w:t>
            </w:r>
          </w:p>
        </w:tc>
        <w:tc>
          <w:tcPr>
            <w:tcW w:w="72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sz w:val="18"/>
                <w:szCs w:val="18"/>
                <w:highlight w:val="none"/>
              </w:rPr>
            </w:pPr>
          </w:p>
        </w:tc>
        <w:tc>
          <w:tcPr>
            <w:tcW w:w="583"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53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c>
          <w:tcPr>
            <w:tcW w:w="676" w:type="dxa"/>
            <w:tcBorders>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15</w:t>
            </w:r>
          </w:p>
        </w:tc>
        <w:tc>
          <w:tcPr>
            <w:tcW w:w="426" w:type="dxa"/>
            <w:tcBorders>
              <w:left w:val="single" w:color="auto" w:sz="4" w:space="0"/>
              <w:bottom w:val="single" w:color="auto" w:sz="4" w:space="0"/>
              <w:right w:val="single" w:color="auto" w:sz="4" w:space="0"/>
            </w:tcBorders>
            <w:vAlign w:val="center"/>
          </w:tcPr>
          <w:p>
            <w:pPr>
              <w:rPr>
                <w:rFonts w:ascii="仿宋_GB2312" w:hAnsi="宋体" w:eastAsia="仿宋_GB2312" w:cs="宋体"/>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206</w:t>
            </w:r>
          </w:p>
        </w:tc>
        <w:tc>
          <w:tcPr>
            <w:tcW w:w="4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07</w:t>
            </w:r>
          </w:p>
        </w:tc>
        <w:tc>
          <w:tcPr>
            <w:tcW w:w="358"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科普活动</w:t>
            </w: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15</w:t>
            </w:r>
          </w:p>
        </w:tc>
        <w:tc>
          <w:tcPr>
            <w:tcW w:w="722"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2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55"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14"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31"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3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67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w:t>
            </w:r>
          </w:p>
        </w:tc>
        <w:tc>
          <w:tcPr>
            <w:tcW w:w="42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208</w:t>
            </w:r>
          </w:p>
        </w:tc>
        <w:tc>
          <w:tcPr>
            <w:tcW w:w="4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p>
        </w:tc>
        <w:tc>
          <w:tcPr>
            <w:tcW w:w="358"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社会保障和就业支出</w:t>
            </w: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55.89</w:t>
            </w:r>
          </w:p>
        </w:tc>
        <w:tc>
          <w:tcPr>
            <w:tcW w:w="722"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20.89</w:t>
            </w:r>
          </w:p>
        </w:tc>
        <w:tc>
          <w:tcPr>
            <w:tcW w:w="72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20.89</w:t>
            </w:r>
          </w:p>
        </w:tc>
        <w:tc>
          <w:tcPr>
            <w:tcW w:w="655"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14"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31"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3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42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208</w:t>
            </w:r>
          </w:p>
        </w:tc>
        <w:tc>
          <w:tcPr>
            <w:tcW w:w="4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05</w:t>
            </w:r>
          </w:p>
        </w:tc>
        <w:tc>
          <w:tcPr>
            <w:tcW w:w="358"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行政事业单位养老支出</w:t>
            </w:r>
          </w:p>
        </w:tc>
        <w:tc>
          <w:tcPr>
            <w:tcW w:w="797"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55.89</w:t>
            </w:r>
          </w:p>
        </w:tc>
        <w:tc>
          <w:tcPr>
            <w:tcW w:w="722"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20.89</w:t>
            </w:r>
          </w:p>
        </w:tc>
        <w:tc>
          <w:tcPr>
            <w:tcW w:w="72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20.89</w:t>
            </w:r>
          </w:p>
        </w:tc>
        <w:tc>
          <w:tcPr>
            <w:tcW w:w="655"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14"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631"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736" w:type="dxa"/>
            <w:tcBorders>
              <w:top w:val="single" w:color="auto" w:sz="4" w:space="0"/>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c>
          <w:tcPr>
            <w:tcW w:w="42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05</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事业单位离退休</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0.62</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0.62</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0.62</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05</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05</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机关事业单位基本养老保险缴费支出</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55.27</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20.27</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20.27</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210</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卫生健康支出</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38.33</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15.33</w:t>
            </w: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15.33</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23</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210</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11</w:t>
            </w: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行政事业单位医疗</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38.33</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15.33</w:t>
            </w: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15.33</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23</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11</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事业单位医疗</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25.14</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10.14</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10.14</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15</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11</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03</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公务员医疗补助</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9.07</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5.07</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5.07</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11</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99</w:t>
            </w:r>
          </w:p>
        </w:tc>
        <w:tc>
          <w:tcPr>
            <w:tcW w:w="797"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其他行政事业单位医疗支出</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4.13</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0.13</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0.13</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农林水支出</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249.09</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208.19</w:t>
            </w: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208.19</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36</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4.9</w:t>
            </w: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01</w:t>
            </w: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农业农村</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4.9</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4.9</w:t>
            </w: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01</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99</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其他农业农村支出</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4.9</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4.9</w:t>
            </w: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02</w:t>
            </w: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林业和草原</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244.19</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208.19</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sz w:val="18"/>
                <w:szCs w:val="18"/>
                <w:highlight w:val="none"/>
              </w:rPr>
              <w:t>208.19</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36</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04</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事业机构</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200.19</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164.19</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164.19</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36</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213</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99</w:t>
            </w:r>
          </w:p>
        </w:tc>
        <w:tc>
          <w:tcPr>
            <w:tcW w:w="797"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其他林业和草原支出</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44</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44</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44</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221</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住房保障支出</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51.64</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16.64</w:t>
            </w: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16.64</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221</w:t>
            </w:r>
          </w:p>
        </w:tc>
        <w:tc>
          <w:tcPr>
            <w:tcW w:w="465"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02</w:t>
            </w:r>
          </w:p>
        </w:tc>
        <w:tc>
          <w:tcPr>
            <w:tcW w:w="358"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住房改革支出</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51.64</w:t>
            </w:r>
          </w:p>
        </w:tc>
        <w:tc>
          <w:tcPr>
            <w:tcW w:w="722"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16.64</w:t>
            </w:r>
          </w:p>
        </w:tc>
        <w:tc>
          <w:tcPr>
            <w:tcW w:w="726"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16.64</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221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02</w:t>
            </w: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01</w:t>
            </w:r>
          </w:p>
        </w:tc>
        <w:tc>
          <w:tcPr>
            <w:tcW w:w="797" w:type="dxa"/>
            <w:tcBorders>
              <w:top w:val="nil"/>
              <w:left w:val="nil"/>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住房公积金</w:t>
            </w: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51.64</w:t>
            </w: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16.64</w:t>
            </w: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eastAsia="仿宋_GB2312"/>
                <w:sz w:val="18"/>
                <w:szCs w:val="18"/>
                <w:highlight w:val="none"/>
              </w:rPr>
              <w:t>16.64</w:t>
            </w: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r>
              <w:rPr>
                <w:rFonts w:hint="eastAsia" w:ascii="仿宋_GB2312" w:eastAsia="仿宋_GB2312"/>
                <w:sz w:val="18"/>
                <w:szCs w:val="18"/>
                <w:highlight w:val="none"/>
              </w:rPr>
              <w:t>35</w:t>
            </w: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5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nil"/>
              <w:right w:val="single" w:color="auto" w:sz="4" w:space="0"/>
            </w:tcBorders>
            <w:vAlign w:val="center"/>
          </w:tcPr>
          <w:p>
            <w:pPr>
              <w:jc w:val="center"/>
              <w:rPr>
                <w:rFonts w:ascii="仿宋_GB2312" w:hAnsi="宋体" w:eastAsia="仿宋_GB2312" w:cs="宋体"/>
                <w:sz w:val="18"/>
                <w:szCs w:val="18"/>
                <w:highlight w:val="none"/>
              </w:rPr>
            </w:pPr>
          </w:p>
        </w:tc>
        <w:tc>
          <w:tcPr>
            <w:tcW w:w="465"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358"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22"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26"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655"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14"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643"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631"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736" w:type="dxa"/>
            <w:tcBorders>
              <w:top w:val="nil"/>
              <w:left w:val="nil"/>
              <w:bottom w:val="nil"/>
              <w:right w:val="single" w:color="auto" w:sz="4" w:space="0"/>
            </w:tcBorders>
            <w:vAlign w:val="center"/>
          </w:tcPr>
          <w:p>
            <w:pPr>
              <w:jc w:val="center"/>
              <w:rPr>
                <w:rFonts w:ascii="仿宋_GB2312" w:hAnsi="宋体" w:eastAsia="仿宋_GB2312" w:cs="宋体"/>
                <w:sz w:val="18"/>
                <w:szCs w:val="18"/>
                <w:highlight w:val="none"/>
              </w:rPr>
            </w:pPr>
          </w:p>
        </w:tc>
        <w:tc>
          <w:tcPr>
            <w:tcW w:w="583" w:type="dxa"/>
            <w:tcBorders>
              <w:top w:val="nil"/>
              <w:left w:val="single" w:color="auto" w:sz="4" w:space="0"/>
              <w:bottom w:val="nil"/>
              <w:right w:val="single" w:color="auto" w:sz="4" w:space="0"/>
            </w:tcBorders>
            <w:vAlign w:val="center"/>
          </w:tcPr>
          <w:p>
            <w:pPr>
              <w:jc w:val="center"/>
              <w:rPr>
                <w:rFonts w:ascii="仿宋_GB2312" w:eastAsia="仿宋_GB2312"/>
                <w:sz w:val="18"/>
                <w:szCs w:val="18"/>
                <w:highlight w:val="none"/>
              </w:rPr>
            </w:pPr>
          </w:p>
        </w:tc>
        <w:tc>
          <w:tcPr>
            <w:tcW w:w="536" w:type="dxa"/>
            <w:tcBorders>
              <w:top w:val="nil"/>
              <w:left w:val="single" w:color="auto" w:sz="4" w:space="0"/>
              <w:bottom w:val="nil"/>
              <w:right w:val="single" w:color="auto" w:sz="4" w:space="0"/>
            </w:tcBorders>
            <w:vAlign w:val="center"/>
          </w:tcPr>
          <w:p>
            <w:pPr>
              <w:jc w:val="center"/>
              <w:rPr>
                <w:rFonts w:ascii="仿宋_GB2312" w:eastAsia="仿宋_GB2312"/>
                <w:sz w:val="18"/>
                <w:szCs w:val="18"/>
                <w:highlight w:val="none"/>
              </w:rPr>
            </w:pPr>
          </w:p>
        </w:tc>
        <w:tc>
          <w:tcPr>
            <w:tcW w:w="676" w:type="dxa"/>
            <w:tcBorders>
              <w:top w:val="nil"/>
              <w:left w:val="single" w:color="auto" w:sz="4" w:space="0"/>
              <w:bottom w:val="nil"/>
              <w:right w:val="single" w:color="auto" w:sz="4" w:space="0"/>
            </w:tcBorders>
            <w:vAlign w:val="center"/>
          </w:tcPr>
          <w:p>
            <w:pPr>
              <w:jc w:val="center"/>
              <w:rPr>
                <w:rFonts w:ascii="仿宋_GB2312" w:eastAsia="仿宋_GB2312"/>
                <w:sz w:val="18"/>
                <w:szCs w:val="18"/>
                <w:highlight w:val="none"/>
              </w:rPr>
            </w:pPr>
          </w:p>
        </w:tc>
        <w:tc>
          <w:tcPr>
            <w:tcW w:w="426" w:type="dxa"/>
            <w:tcBorders>
              <w:top w:val="nil"/>
              <w:left w:val="single" w:color="auto" w:sz="4" w:space="0"/>
              <w:bottom w:val="nil"/>
              <w:right w:val="single" w:color="auto" w:sz="4" w:space="0"/>
            </w:tcBorders>
            <w:vAlign w:val="center"/>
          </w:tcPr>
          <w:p>
            <w:pPr>
              <w:jc w:val="center"/>
              <w:rPr>
                <w:rFonts w:ascii="仿宋_GB2312" w:eastAsia="仿宋_GB2312"/>
                <w:sz w:val="18"/>
                <w:szCs w:val="18"/>
                <w:highlight w:val="none"/>
              </w:rPr>
            </w:pPr>
          </w:p>
        </w:tc>
      </w:tr>
      <w:tr>
        <w:tblPrEx>
          <w:tblCellMar>
            <w:top w:w="0" w:type="dxa"/>
            <w:left w:w="108" w:type="dxa"/>
            <w:bottom w:w="0" w:type="dxa"/>
            <w:right w:w="108" w:type="dxa"/>
          </w:tblCellMar>
        </w:tblPrEx>
        <w:trPr>
          <w:trHeight w:val="465" w:hRule="atLeast"/>
        </w:trPr>
        <w:tc>
          <w:tcPr>
            <w:tcW w:w="42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highlight w:val="none"/>
              </w:rPr>
            </w:pPr>
            <w:r>
              <w:rPr>
                <w:rFonts w:hint="eastAsia" w:ascii="仿宋_GB2312" w:hAnsi="宋体" w:eastAsia="仿宋_GB2312" w:cs="宋体"/>
                <w:b/>
                <w:bCs/>
                <w:sz w:val="18"/>
                <w:szCs w:val="18"/>
                <w:highlight w:val="none"/>
              </w:rPr>
              <w:t>合计</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35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highlight w:val="none"/>
              </w:rPr>
            </w:pPr>
          </w:p>
        </w:tc>
        <w:tc>
          <w:tcPr>
            <w:tcW w:w="79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79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409.96</w:t>
            </w:r>
          </w:p>
        </w:tc>
        <w:tc>
          <w:tcPr>
            <w:tcW w:w="722"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261.06</w:t>
            </w:r>
          </w:p>
        </w:tc>
        <w:tc>
          <w:tcPr>
            <w:tcW w:w="72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261.06.</w:t>
            </w:r>
          </w:p>
        </w:tc>
        <w:tc>
          <w:tcPr>
            <w:tcW w:w="655"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71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6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63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73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sz w:val="18"/>
                <w:szCs w:val="18"/>
                <w:highlight w:val="none"/>
              </w:rPr>
            </w:pPr>
          </w:p>
        </w:tc>
        <w:tc>
          <w:tcPr>
            <w:tcW w:w="583"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b/>
                <w:bCs/>
                <w:sz w:val="18"/>
                <w:szCs w:val="18"/>
                <w:highlight w:val="none"/>
              </w:rPr>
            </w:pPr>
          </w:p>
        </w:tc>
        <w:tc>
          <w:tcPr>
            <w:tcW w:w="536"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129</w:t>
            </w:r>
          </w:p>
        </w:tc>
        <w:tc>
          <w:tcPr>
            <w:tcW w:w="676"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b/>
                <w:bCs/>
                <w:sz w:val="18"/>
                <w:szCs w:val="18"/>
                <w:highlight w:val="none"/>
              </w:rPr>
            </w:pPr>
            <w:r>
              <w:rPr>
                <w:rFonts w:hint="eastAsia" w:ascii="仿宋_GB2312" w:hAnsi="宋体" w:eastAsia="仿宋_GB2312" w:cs="宋体"/>
                <w:b/>
                <w:bCs/>
                <w:sz w:val="18"/>
                <w:szCs w:val="18"/>
                <w:highlight w:val="none"/>
              </w:rPr>
              <w:t>19.9</w:t>
            </w:r>
          </w:p>
          <w:p>
            <w:pPr>
              <w:rPr>
                <w:highlight w:val="none"/>
              </w:rPr>
            </w:pPr>
          </w:p>
        </w:tc>
        <w:tc>
          <w:tcPr>
            <w:tcW w:w="42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highlight w:val="none"/>
              </w:rPr>
            </w:pPr>
          </w:p>
        </w:tc>
      </w:tr>
    </w:tbl>
    <w:p>
      <w:pPr>
        <w:widowControl/>
        <w:spacing w:line="280" w:lineRule="exact"/>
        <w:outlineLvl w:val="1"/>
        <w:rPr>
          <w:rFonts w:ascii="仿宋_GB2312" w:hAnsi="宋体" w:eastAsia="仿宋_GB2312"/>
          <w:b/>
          <w:color w:val="FF0000"/>
          <w:kern w:val="0"/>
          <w:sz w:val="28"/>
          <w:szCs w:val="32"/>
          <w:highlight w:val="none"/>
        </w:rPr>
      </w:pPr>
    </w:p>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部门支出总体情况表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1"/>
        <w:tblW w:w="9420" w:type="dxa"/>
        <w:tblInd w:w="-240" w:type="dxa"/>
        <w:tblLayout w:type="fixed"/>
        <w:tblCellMar>
          <w:top w:w="0" w:type="dxa"/>
          <w:left w:w="108" w:type="dxa"/>
          <w:bottom w:w="0" w:type="dxa"/>
          <w:right w:w="108" w:type="dxa"/>
        </w:tblCellMar>
      </w:tblPr>
      <w:tblGrid>
        <w:gridCol w:w="531"/>
        <w:gridCol w:w="426"/>
        <w:gridCol w:w="426"/>
        <w:gridCol w:w="2533"/>
        <w:gridCol w:w="1820"/>
        <w:gridCol w:w="1821"/>
        <w:gridCol w:w="1863"/>
      </w:tblGrid>
      <w:tr>
        <w:tblPrEx>
          <w:tblCellMar>
            <w:top w:w="0" w:type="dxa"/>
            <w:left w:w="108" w:type="dxa"/>
            <w:bottom w:w="0" w:type="dxa"/>
            <w:right w:w="108" w:type="dxa"/>
          </w:tblCellMar>
        </w:tblPrEx>
        <w:trPr>
          <w:trHeight w:val="328" w:hRule="atLeast"/>
        </w:trPr>
        <w:tc>
          <w:tcPr>
            <w:tcW w:w="391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科    目</w:t>
            </w:r>
          </w:p>
        </w:tc>
        <w:tc>
          <w:tcPr>
            <w:tcW w:w="550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支出预算</w:t>
            </w:r>
          </w:p>
        </w:tc>
      </w:tr>
      <w:tr>
        <w:tblPrEx>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功能分类科目编码</w:t>
            </w:r>
          </w:p>
        </w:tc>
        <w:tc>
          <w:tcPr>
            <w:tcW w:w="253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功能分类科目名称</w:t>
            </w:r>
          </w:p>
        </w:tc>
        <w:tc>
          <w:tcPr>
            <w:tcW w:w="1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合  计</w:t>
            </w:r>
          </w:p>
        </w:tc>
        <w:tc>
          <w:tcPr>
            <w:tcW w:w="182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基本支出</w:t>
            </w:r>
          </w:p>
        </w:tc>
        <w:tc>
          <w:tcPr>
            <w:tcW w:w="186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项目支出</w:t>
            </w:r>
          </w:p>
        </w:tc>
      </w:tr>
      <w:tr>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款</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项</w:t>
            </w:r>
          </w:p>
        </w:tc>
        <w:tc>
          <w:tcPr>
            <w:tcW w:w="253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kern w:val="0"/>
                <w:szCs w:val="21"/>
                <w:highlight w:val="none"/>
              </w:rPr>
            </w:pPr>
          </w:p>
        </w:tc>
        <w:tc>
          <w:tcPr>
            <w:tcW w:w="1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kern w:val="0"/>
                <w:szCs w:val="21"/>
                <w:highlight w:val="none"/>
              </w:rPr>
            </w:pPr>
          </w:p>
        </w:tc>
        <w:tc>
          <w:tcPr>
            <w:tcW w:w="182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kern w:val="0"/>
                <w:szCs w:val="21"/>
                <w:highlight w:val="none"/>
              </w:rPr>
            </w:pPr>
          </w:p>
        </w:tc>
        <w:tc>
          <w:tcPr>
            <w:tcW w:w="186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kern w:val="0"/>
                <w:szCs w:val="21"/>
                <w:highlight w:val="none"/>
              </w:rPr>
            </w:pPr>
          </w:p>
        </w:tc>
      </w:tr>
      <w:tr>
        <w:tblPrEx>
          <w:tblCellMar>
            <w:top w:w="0" w:type="dxa"/>
            <w:left w:w="108" w:type="dxa"/>
            <w:bottom w:w="0" w:type="dxa"/>
            <w:right w:w="108" w:type="dxa"/>
          </w:tblCellMar>
        </w:tblPrEx>
        <w:trPr>
          <w:trHeight w:val="491"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206</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b/>
                <w:bCs/>
                <w:kern w:val="0"/>
                <w:szCs w:val="21"/>
                <w:highlight w:val="none"/>
              </w:rPr>
              <w:t>科学技术支出</w:t>
            </w:r>
          </w:p>
        </w:tc>
        <w:tc>
          <w:tcPr>
            <w:tcW w:w="1820"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c>
          <w:tcPr>
            <w:tcW w:w="1821"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r>
      <w:tr>
        <w:tblPrEx>
          <w:tblCellMar>
            <w:top w:w="0" w:type="dxa"/>
            <w:left w:w="108" w:type="dxa"/>
            <w:bottom w:w="0" w:type="dxa"/>
            <w:right w:w="108" w:type="dxa"/>
          </w:tblCellMar>
        </w:tblPrEx>
        <w:trPr>
          <w:trHeight w:val="421"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206</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07</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科学技术普及</w:t>
            </w:r>
          </w:p>
        </w:tc>
        <w:tc>
          <w:tcPr>
            <w:tcW w:w="1820"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c>
          <w:tcPr>
            <w:tcW w:w="1821"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206</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07</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科普活动</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b/>
                <w:bCs/>
                <w:kern w:val="0"/>
                <w:szCs w:val="21"/>
                <w:highlight w:val="none"/>
              </w:rPr>
              <w:t>社会保障和就业支出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55.89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55.89</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行政事业单位养老支出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55.89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55.89</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事业单位离退休</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0.62</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0.62</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机关事业单位基本养老保险缴费支出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55.27</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55.27</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592"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b/>
                <w:bCs/>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b/>
                <w:bCs/>
                <w:kern w:val="0"/>
                <w:szCs w:val="21"/>
                <w:highlight w:val="none"/>
              </w:rPr>
            </w:pPr>
            <w:r>
              <w:rPr>
                <w:rFonts w:hint="eastAsia" w:ascii="仿宋" w:hAnsi="仿宋" w:eastAsia="仿宋" w:cs="仿宋"/>
                <w:b/>
                <w:bCs/>
                <w:kern w:val="0"/>
                <w:szCs w:val="21"/>
                <w:highlight w:val="none"/>
              </w:rPr>
              <w:t>卫生健康支出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38.33</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38.33</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行政事业单位医疗</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38.33</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38.33</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事业单位医疗</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25.14</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25.14</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03</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公务员医疗补助</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9.07</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9.07</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99</w:t>
            </w: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其他行政事业单位医疗支出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4.13</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4.13</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37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b/>
                <w:bCs/>
                <w:kern w:val="0"/>
                <w:szCs w:val="21"/>
                <w:highlight w:val="none"/>
              </w:rPr>
              <w:t>农林水支出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249.09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200.19</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48.9</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农业农村</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4.9</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99</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其他农业农村支出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4.9</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林业和草原</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244.19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200.19</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44</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04</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事业机构</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200.19</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200.19</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99</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其他林业和草原支出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44</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44</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b/>
                <w:bCs/>
                <w:kern w:val="0"/>
                <w:szCs w:val="21"/>
                <w:highlight w:val="none"/>
              </w:rPr>
              <w:t>住房保障支出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住房改革支出</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01</w:t>
            </w:r>
          </w:p>
        </w:tc>
        <w:tc>
          <w:tcPr>
            <w:tcW w:w="2533" w:type="dxa"/>
            <w:tcBorders>
              <w:top w:val="nil"/>
              <w:left w:val="nil"/>
              <w:bottom w:val="single" w:color="auto" w:sz="4" w:space="0"/>
              <w:right w:val="single" w:color="auto" w:sz="4" w:space="0"/>
            </w:tcBorders>
            <w:vAlign w:val="center"/>
          </w:tcPr>
          <w:p>
            <w:pPr>
              <w:widowControl/>
              <w:spacing w:line="280" w:lineRule="exact"/>
              <w:rPr>
                <w:rFonts w:ascii="仿宋" w:hAnsi="仿宋" w:eastAsia="仿宋" w:cs="仿宋"/>
                <w:kern w:val="0"/>
                <w:szCs w:val="21"/>
                <w:highlight w:val="none"/>
              </w:rPr>
            </w:pPr>
            <w:r>
              <w:rPr>
                <w:rFonts w:hint="eastAsia" w:ascii="仿宋" w:hAnsi="仿宋" w:eastAsia="仿宋" w:cs="仿宋"/>
                <w:kern w:val="0"/>
                <w:szCs w:val="21"/>
                <w:highlight w:val="none"/>
              </w:rPr>
              <w:t>住房公积金</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21"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51.64</w:t>
            </w:r>
          </w:p>
        </w:tc>
        <w:tc>
          <w:tcPr>
            <w:tcW w:w="1863"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2533"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合计</w:t>
            </w:r>
          </w:p>
        </w:tc>
        <w:tc>
          <w:tcPr>
            <w:tcW w:w="182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409.96</w:t>
            </w:r>
          </w:p>
        </w:tc>
        <w:tc>
          <w:tcPr>
            <w:tcW w:w="18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346.06</w:t>
            </w:r>
          </w:p>
        </w:tc>
        <w:tc>
          <w:tcPr>
            <w:tcW w:w="1863"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63.9</w:t>
            </w:r>
          </w:p>
        </w:tc>
      </w:tr>
    </w:tbl>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表4</w:t>
      </w:r>
    </w:p>
    <w:p>
      <w:pPr>
        <w:widowControl/>
        <w:wordWrap w:val="0"/>
        <w:spacing w:before="120" w:beforeLines="50" w:line="280" w:lineRule="exact"/>
        <w:ind w:firstLine="1928" w:firstLineChars="600"/>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wordWrap w:val="0"/>
        <w:spacing w:before="120" w:beforeLines="50"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1"/>
        <w:tblpPr w:leftFromText="180" w:rightFromText="180" w:vertAnchor="text" w:horzAnchor="page" w:tblpX="1282" w:tblpY="174"/>
        <w:tblOverlap w:val="never"/>
        <w:tblW w:w="9449" w:type="dxa"/>
        <w:tblInd w:w="0" w:type="dxa"/>
        <w:tblLayout w:type="fixed"/>
        <w:tblCellMar>
          <w:top w:w="0" w:type="dxa"/>
          <w:left w:w="108" w:type="dxa"/>
          <w:bottom w:w="0" w:type="dxa"/>
          <w:right w:w="108" w:type="dxa"/>
        </w:tblCellMar>
      </w:tblPr>
      <w:tblGrid>
        <w:gridCol w:w="1892"/>
        <w:gridCol w:w="942"/>
        <w:gridCol w:w="2511"/>
        <w:gridCol w:w="942"/>
        <w:gridCol w:w="942"/>
        <w:gridCol w:w="1110"/>
        <w:gridCol w:w="1110"/>
      </w:tblGrid>
      <w:tr>
        <w:tblPrEx>
          <w:tblCellMar>
            <w:top w:w="0" w:type="dxa"/>
            <w:left w:w="108" w:type="dxa"/>
            <w:bottom w:w="0" w:type="dxa"/>
            <w:right w:w="108" w:type="dxa"/>
          </w:tblCellMar>
        </w:tblPrEx>
        <w:trPr>
          <w:trHeight w:val="528" w:hRule="atLeast"/>
        </w:trPr>
        <w:tc>
          <w:tcPr>
            <w:tcW w:w="2834"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615"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89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项    目</w:t>
            </w:r>
          </w:p>
        </w:tc>
        <w:tc>
          <w:tcPr>
            <w:tcW w:w="94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合  计</w:t>
            </w:r>
          </w:p>
        </w:tc>
        <w:tc>
          <w:tcPr>
            <w:tcW w:w="251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功  能  分  类</w:t>
            </w:r>
          </w:p>
        </w:tc>
        <w:tc>
          <w:tcPr>
            <w:tcW w:w="94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合 计</w:t>
            </w:r>
          </w:p>
        </w:tc>
        <w:tc>
          <w:tcPr>
            <w:tcW w:w="94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一般公共预算</w:t>
            </w:r>
          </w:p>
        </w:tc>
        <w:tc>
          <w:tcPr>
            <w:tcW w:w="111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政府性基金预算</w:t>
            </w:r>
          </w:p>
        </w:tc>
        <w:tc>
          <w:tcPr>
            <w:tcW w:w="1110"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国有资本经营预算</w:t>
            </w:r>
          </w:p>
        </w:tc>
      </w:tr>
      <w:tr>
        <w:tblPrEx>
          <w:tblCellMar>
            <w:top w:w="0" w:type="dxa"/>
            <w:left w:w="108" w:type="dxa"/>
            <w:bottom w:w="0" w:type="dxa"/>
            <w:right w:w="108" w:type="dxa"/>
          </w:tblCellMar>
        </w:tblPrEx>
        <w:trPr>
          <w:trHeight w:val="574"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eastAsia="zh-Hans"/>
              </w:rPr>
              <w:t>一、</w:t>
            </w:r>
            <w:r>
              <w:rPr>
                <w:rFonts w:hint="eastAsia" w:ascii="仿宋_GB2312" w:hAnsi="宋体" w:eastAsia="仿宋_GB2312" w:cs="宋体"/>
                <w:kern w:val="0"/>
                <w:szCs w:val="21"/>
                <w:highlight w:val="none"/>
              </w:rPr>
              <w:t>财政拨款（补助）</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261.06</w:t>
            </w: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201 一般公共服务支出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84"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ind w:firstLine="210" w:firstLineChars="100"/>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一般公共预算</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261.06</w:t>
            </w: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202 外交支出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政府性基金预算</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203 国防支出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505"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 </w:t>
            </w:r>
            <w:r>
              <w:rPr>
                <w:rFonts w:hint="eastAsia" w:ascii="仿宋_GB2312" w:hAnsi="宋体" w:eastAsia="仿宋_GB2312" w:cs="宋体"/>
                <w:kern w:val="0"/>
                <w:szCs w:val="21"/>
                <w:highlight w:val="none"/>
              </w:rPr>
              <w:t>国有资本经营预算</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204 公共安全支出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297"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205 教育支出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466"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206 科学技术支出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207 文化旅游体育与传媒支出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550"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208 社会保障和就业支出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20.89</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20.89</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490"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209 社会保险基金支出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r>
      <w:tr>
        <w:tblPrEx>
          <w:tblCellMar>
            <w:top w:w="0" w:type="dxa"/>
            <w:left w:w="108" w:type="dxa"/>
            <w:bottom w:w="0" w:type="dxa"/>
            <w:right w:w="108" w:type="dxa"/>
          </w:tblCellMar>
        </w:tblPrEx>
        <w:trPr>
          <w:trHeight w:val="560"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210 卫生健康支出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15.33</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15.33</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211 节能环保支出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212 城乡社区支出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537"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213 农林水支出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208.19</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208.19</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214 交通运输支出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215 资源勘探</w:t>
            </w:r>
            <w:r>
              <w:rPr>
                <w:rFonts w:hint="eastAsia" w:ascii="仿宋" w:hAnsi="仿宋" w:eastAsia="仿宋" w:cs="仿宋"/>
                <w:kern w:val="0"/>
                <w:szCs w:val="21"/>
                <w:highlight w:val="none"/>
                <w:lang w:eastAsia="zh-Hans"/>
              </w:rPr>
              <w:t>工业</w:t>
            </w:r>
            <w:r>
              <w:rPr>
                <w:rFonts w:hint="eastAsia" w:ascii="仿宋" w:hAnsi="仿宋" w:eastAsia="仿宋" w:cs="仿宋"/>
                <w:kern w:val="0"/>
                <w:szCs w:val="21"/>
                <w:highlight w:val="none"/>
              </w:rPr>
              <w:t>信息等支出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216 商业服务业等支出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217 金融支出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219 援助其他地区支出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220 自然资源海洋气象等支出</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 w:hAnsi="仿宋" w:eastAsia="仿宋" w:cs="仿宋"/>
                <w:kern w:val="0"/>
                <w:szCs w:val="21"/>
                <w:highlight w:val="none"/>
              </w:rPr>
            </w:pPr>
            <w:r>
              <w:rPr>
                <w:rFonts w:hint="eastAsia" w:ascii="仿宋" w:hAnsi="仿宋" w:eastAsia="仿宋" w:cs="仿宋"/>
                <w:kern w:val="0"/>
                <w:szCs w:val="21"/>
                <w:highlight w:val="none"/>
              </w:rPr>
              <w:t>　</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513"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221 住房保障支出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16.64</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16.64</w:t>
            </w: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222 粮油物资储备支出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223 国有资本经营预算支出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224 灾害防治及应急管理支出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227 预备费</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229 其他支出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230 转移性支出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231 债务还本支出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 w:hAnsi="仿宋" w:eastAsia="仿宋" w:cs="仿宋"/>
                <w:kern w:val="0"/>
                <w:szCs w:val="21"/>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232 债务付息支出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312"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51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233 债务发行费用支出</w:t>
            </w: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94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p>
        </w:tc>
        <w:tc>
          <w:tcPr>
            <w:tcW w:w="111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r>
        <w:tblPrEx>
          <w:tblCellMar>
            <w:top w:w="0" w:type="dxa"/>
            <w:left w:w="108" w:type="dxa"/>
            <w:bottom w:w="0" w:type="dxa"/>
            <w:right w:w="108" w:type="dxa"/>
          </w:tblCellMar>
        </w:tblPrEx>
        <w:trPr>
          <w:trHeight w:val="687" w:hRule="exact"/>
        </w:trPr>
        <w:tc>
          <w:tcPr>
            <w:tcW w:w="18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cs="宋体"/>
                <w:b/>
                <w:bCs/>
                <w:kern w:val="0"/>
                <w:szCs w:val="21"/>
                <w:highlight w:val="none"/>
              </w:rPr>
              <w:t>收  入  总  计</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cs="宋体"/>
                <w:b/>
                <w:bCs/>
                <w:kern w:val="0"/>
                <w:szCs w:val="21"/>
                <w:highlight w:val="none"/>
              </w:rPr>
              <w:t>261.06</w:t>
            </w:r>
          </w:p>
        </w:tc>
        <w:tc>
          <w:tcPr>
            <w:tcW w:w="251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Cs w:val="21"/>
                <w:highlight w:val="none"/>
              </w:rPr>
              <w:t>支  出  总  计</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kern w:val="0"/>
                <w:szCs w:val="21"/>
                <w:highlight w:val="none"/>
              </w:rPr>
            </w:pPr>
            <w:r>
              <w:rPr>
                <w:rFonts w:hint="eastAsia" w:ascii="宋体" w:hAnsi="宋体" w:cs="宋体"/>
                <w:b/>
                <w:bCs/>
                <w:kern w:val="0"/>
                <w:szCs w:val="21"/>
                <w:highlight w:val="none"/>
              </w:rPr>
              <w:t>261.06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kern w:val="0"/>
                <w:szCs w:val="21"/>
                <w:highlight w:val="none"/>
              </w:rPr>
            </w:pPr>
            <w:r>
              <w:rPr>
                <w:rFonts w:hint="eastAsia" w:ascii="宋体" w:hAnsi="宋体" w:cs="宋体"/>
                <w:b/>
                <w:bCs/>
                <w:kern w:val="0"/>
                <w:szCs w:val="21"/>
                <w:highlight w:val="none"/>
              </w:rPr>
              <w:t>261.06　</w:t>
            </w:r>
          </w:p>
        </w:tc>
        <w:tc>
          <w:tcPr>
            <w:tcW w:w="2220"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24"/>
                <w:highlight w:val="none"/>
              </w:rPr>
            </w:pPr>
            <w:r>
              <w:rPr>
                <w:rFonts w:hint="eastAsia" w:ascii="宋体" w:hAnsi="宋体" w:cs="宋体"/>
                <w:kern w:val="0"/>
                <w:sz w:val="24"/>
                <w:highlight w:val="none"/>
              </w:rPr>
              <w:t>　</w:t>
            </w:r>
          </w:p>
        </w:tc>
      </w:tr>
    </w:tbl>
    <w:p>
      <w:pPr>
        <w:widowControl/>
        <w:spacing w:before="120" w:beforeLines="50" w:line="280" w:lineRule="exact"/>
        <w:jc w:val="center"/>
        <w:outlineLvl w:val="1"/>
        <w:rPr>
          <w:rFonts w:ascii="仿宋_GB2312" w:hAnsi="宋体" w:eastAsia="仿宋_GB2312"/>
          <w:b/>
          <w:kern w:val="0"/>
          <w:sz w:val="32"/>
          <w:szCs w:val="32"/>
          <w:highlight w:val="none"/>
        </w:rPr>
      </w:pPr>
    </w:p>
    <w:p>
      <w:pPr>
        <w:widowControl/>
        <w:spacing w:line="320" w:lineRule="exact"/>
        <w:outlineLvl w:val="1"/>
        <w:rPr>
          <w:rFonts w:ascii="仿宋_GB2312" w:hAnsi="宋体" w:eastAsia="仿宋_GB2312"/>
          <w:b/>
          <w:color w:val="FF0000"/>
          <w:kern w:val="0"/>
          <w:sz w:val="28"/>
          <w:szCs w:val="32"/>
          <w:highlight w:val="none"/>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表5</w:t>
      </w:r>
    </w:p>
    <w:tbl>
      <w:tblPr>
        <w:tblStyle w:val="11"/>
        <w:tblW w:w="9302" w:type="dxa"/>
        <w:tblInd w:w="-122" w:type="dxa"/>
        <w:tblLayout w:type="fixed"/>
        <w:tblCellMar>
          <w:top w:w="0" w:type="dxa"/>
          <w:left w:w="108" w:type="dxa"/>
          <w:bottom w:w="0" w:type="dxa"/>
          <w:right w:w="108" w:type="dxa"/>
        </w:tblCellMar>
      </w:tblPr>
      <w:tblGrid>
        <w:gridCol w:w="656"/>
        <w:gridCol w:w="498"/>
        <w:gridCol w:w="502"/>
        <w:gridCol w:w="2473"/>
        <w:gridCol w:w="1668"/>
        <w:gridCol w:w="1823"/>
        <w:gridCol w:w="1682"/>
      </w:tblGrid>
      <w:tr>
        <w:tblPrEx>
          <w:tblCellMar>
            <w:top w:w="0" w:type="dxa"/>
            <w:left w:w="108" w:type="dxa"/>
            <w:bottom w:w="0" w:type="dxa"/>
            <w:right w:w="108" w:type="dxa"/>
          </w:tblCellMar>
        </w:tblPrEx>
        <w:trPr>
          <w:trHeight w:val="450" w:hRule="atLeast"/>
        </w:trPr>
        <w:tc>
          <w:tcPr>
            <w:tcW w:w="9302"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kern w:val="0"/>
                <w:szCs w:val="21"/>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302" w:type="dxa"/>
            <w:gridSpan w:val="7"/>
            <w:tcBorders>
              <w:top w:val="nil"/>
              <w:left w:val="nil"/>
              <w:bottom w:val="nil"/>
              <w:right w:val="nil"/>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编制部门：</w:t>
            </w:r>
            <w:r>
              <w:rPr>
                <w:rFonts w:hint="eastAsia" w:ascii="仿宋_GB2312" w:hAnsi="宋体" w:eastAsia="仿宋_GB2312"/>
                <w:kern w:val="0"/>
                <w:szCs w:val="21"/>
                <w:highlight w:val="none"/>
              </w:rPr>
              <w:t xml:space="preserve">呼图壁县苗木花卉产业园区管理委员会                     </w:t>
            </w:r>
            <w:r>
              <w:rPr>
                <w:rFonts w:hint="eastAsia" w:ascii="仿宋_GB2312" w:hAnsi="宋体" w:eastAsia="仿宋_GB2312" w:cs="宋体"/>
                <w:kern w:val="0"/>
                <w:szCs w:val="21"/>
                <w:highlight w:val="none"/>
              </w:rPr>
              <w:t>单位：万元</w:t>
            </w:r>
          </w:p>
        </w:tc>
      </w:tr>
      <w:tr>
        <w:tblPrEx>
          <w:tblCellMar>
            <w:top w:w="0" w:type="dxa"/>
            <w:left w:w="108" w:type="dxa"/>
            <w:bottom w:w="0" w:type="dxa"/>
            <w:right w:w="108" w:type="dxa"/>
          </w:tblCellMar>
        </w:tblPrEx>
        <w:trPr>
          <w:trHeight w:val="405" w:hRule="atLeast"/>
        </w:trPr>
        <w:tc>
          <w:tcPr>
            <w:tcW w:w="4129"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科  目</w:t>
            </w:r>
          </w:p>
        </w:tc>
        <w:tc>
          <w:tcPr>
            <w:tcW w:w="517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一般公共预算支出</w:t>
            </w:r>
          </w:p>
        </w:tc>
      </w:tr>
      <w:tr>
        <w:tblPrEx>
          <w:tblCellMar>
            <w:top w:w="0" w:type="dxa"/>
            <w:left w:w="108" w:type="dxa"/>
            <w:bottom w:w="0" w:type="dxa"/>
            <w:right w:w="108" w:type="dxa"/>
          </w:tblCellMar>
        </w:tblPrEx>
        <w:trPr>
          <w:trHeight w:val="465" w:hRule="atLeast"/>
        </w:trPr>
        <w:tc>
          <w:tcPr>
            <w:tcW w:w="1656"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功能分类科目编码</w:t>
            </w:r>
          </w:p>
        </w:tc>
        <w:tc>
          <w:tcPr>
            <w:tcW w:w="247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功能分类科目名称</w:t>
            </w:r>
          </w:p>
        </w:tc>
        <w:tc>
          <w:tcPr>
            <w:tcW w:w="166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合  计</w:t>
            </w:r>
          </w:p>
        </w:tc>
        <w:tc>
          <w:tcPr>
            <w:tcW w:w="182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基本支出</w:t>
            </w:r>
          </w:p>
        </w:tc>
        <w:tc>
          <w:tcPr>
            <w:tcW w:w="168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项目支出</w:t>
            </w:r>
          </w:p>
        </w:tc>
      </w:tr>
      <w:tr>
        <w:tblPrEx>
          <w:tblCellMar>
            <w:top w:w="0" w:type="dxa"/>
            <w:left w:w="108" w:type="dxa"/>
            <w:bottom w:w="0" w:type="dxa"/>
            <w:right w:w="108" w:type="dxa"/>
          </w:tblCellMar>
        </w:tblPrEx>
        <w:trPr>
          <w:trHeight w:val="581"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类</w:t>
            </w:r>
          </w:p>
        </w:tc>
        <w:tc>
          <w:tcPr>
            <w:tcW w:w="49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项</w:t>
            </w:r>
          </w:p>
        </w:tc>
        <w:tc>
          <w:tcPr>
            <w:tcW w:w="247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Cs w:val="21"/>
                <w:highlight w:val="none"/>
              </w:rPr>
            </w:pPr>
          </w:p>
        </w:tc>
        <w:tc>
          <w:tcPr>
            <w:tcW w:w="166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Cs w:val="21"/>
                <w:highlight w:val="none"/>
              </w:rPr>
            </w:pPr>
          </w:p>
        </w:tc>
        <w:tc>
          <w:tcPr>
            <w:tcW w:w="182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Cs w:val="21"/>
                <w:highlight w:val="none"/>
              </w:rPr>
            </w:pPr>
          </w:p>
        </w:tc>
        <w:tc>
          <w:tcPr>
            <w:tcW w:w="168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r>
              <w:rPr>
                <w:rFonts w:hint="eastAsia" w:ascii="仿宋" w:hAnsi="仿宋" w:eastAsia="仿宋" w:cs="仿宋"/>
                <w:bCs/>
                <w:kern w:val="0"/>
                <w:szCs w:val="21"/>
                <w:highlight w:val="none"/>
              </w:rPr>
              <w:t>208</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bCs/>
                <w:kern w:val="0"/>
                <w:szCs w:val="21"/>
                <w:highlight w:val="none"/>
              </w:rPr>
            </w:pPr>
            <w:r>
              <w:rPr>
                <w:rFonts w:hint="eastAsia" w:ascii="仿宋" w:hAnsi="仿宋" w:eastAsia="仿宋" w:cs="仿宋"/>
                <w:b/>
                <w:kern w:val="0"/>
                <w:szCs w:val="21"/>
                <w:highlight w:val="none"/>
              </w:rPr>
              <w:t>社会保障和就业支出</w:t>
            </w:r>
          </w:p>
        </w:tc>
        <w:tc>
          <w:tcPr>
            <w:tcW w:w="166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20.89</w:t>
            </w:r>
          </w:p>
        </w:tc>
        <w:tc>
          <w:tcPr>
            <w:tcW w:w="182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20.89</w:t>
            </w:r>
          </w:p>
        </w:tc>
        <w:tc>
          <w:tcPr>
            <w:tcW w:w="168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r>
              <w:rPr>
                <w:rFonts w:hint="eastAsia" w:ascii="仿宋" w:hAnsi="仿宋" w:eastAsia="仿宋" w:cs="仿宋"/>
                <w:bCs/>
                <w:kern w:val="0"/>
                <w:szCs w:val="21"/>
                <w:highlight w:val="none"/>
              </w:rPr>
              <w:t>208</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r>
              <w:rPr>
                <w:rFonts w:hint="eastAsia" w:ascii="仿宋" w:hAnsi="仿宋" w:eastAsia="仿宋" w:cs="仿宋"/>
                <w:bCs/>
                <w:kern w:val="0"/>
                <w:szCs w:val="21"/>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bCs/>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bCs/>
                <w:kern w:val="0"/>
                <w:szCs w:val="21"/>
                <w:highlight w:val="none"/>
              </w:rPr>
            </w:pPr>
            <w:r>
              <w:rPr>
                <w:rFonts w:hint="eastAsia" w:ascii="仿宋" w:hAnsi="仿宋" w:eastAsia="仿宋" w:cs="仿宋"/>
                <w:bCs/>
                <w:kern w:val="0"/>
                <w:szCs w:val="21"/>
                <w:highlight w:val="none"/>
              </w:rPr>
              <w:t>行政事业单位养老支出</w:t>
            </w:r>
          </w:p>
        </w:tc>
        <w:tc>
          <w:tcPr>
            <w:tcW w:w="166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20.89</w:t>
            </w:r>
          </w:p>
        </w:tc>
        <w:tc>
          <w:tcPr>
            <w:tcW w:w="182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20.89</w:t>
            </w:r>
          </w:p>
        </w:tc>
        <w:tc>
          <w:tcPr>
            <w:tcW w:w="168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事业单位离退休</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0.62</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0.62</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208</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机关事业单位养老保险缴费支出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20.27</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20.27</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b/>
                <w:bCs/>
                <w:kern w:val="0"/>
                <w:szCs w:val="21"/>
                <w:highlight w:val="none"/>
              </w:rPr>
              <w:t>卫生健康支出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15.33</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15.33</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bCs/>
                <w:kern w:val="0"/>
                <w:szCs w:val="21"/>
                <w:highlight w:val="none"/>
              </w:rPr>
              <w:t>行政事业单位医疗</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15.33</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15.33</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事业单位医疗</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10.14</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10.14</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334"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03</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公务员医疗补助</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5.07</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5.07</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210</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99</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其他行政事业单位医疗支出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0.13</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0.13</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b/>
                <w:bCs/>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b/>
                <w:bCs/>
                <w:kern w:val="0"/>
                <w:szCs w:val="21"/>
                <w:highlight w:val="none"/>
              </w:rPr>
            </w:pPr>
            <w:r>
              <w:rPr>
                <w:rFonts w:hint="eastAsia" w:ascii="仿宋" w:hAnsi="仿宋" w:eastAsia="仿宋" w:cs="仿宋"/>
                <w:b/>
                <w:bCs/>
                <w:kern w:val="0"/>
                <w:szCs w:val="21"/>
                <w:highlight w:val="none"/>
              </w:rPr>
              <w:t>农林水支出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208.19</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164.19</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w:t>
            </w: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林业和草原</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208.19</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164.19</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w:t>
            </w: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04</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事业机构</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164.19</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164.19</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213</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99</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其他林业和草原支出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w:t>
            </w: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b/>
                <w:bCs/>
                <w:kern w:val="0"/>
                <w:szCs w:val="21"/>
                <w:highlight w:val="none"/>
              </w:rPr>
              <w:t>住房保障支出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住房改革支出</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221</w:t>
            </w:r>
          </w:p>
        </w:tc>
        <w:tc>
          <w:tcPr>
            <w:tcW w:w="498"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502"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01</w:t>
            </w:r>
          </w:p>
        </w:tc>
        <w:tc>
          <w:tcPr>
            <w:tcW w:w="2473"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住房公积金</w:t>
            </w: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66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82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68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50" w:hRule="atLeast"/>
        </w:trPr>
        <w:tc>
          <w:tcPr>
            <w:tcW w:w="65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498"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247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Cs w:val="21"/>
                <w:highlight w:val="none"/>
              </w:rPr>
            </w:pPr>
            <w:r>
              <w:rPr>
                <w:rFonts w:hint="eastAsia" w:ascii="仿宋_GB2312" w:hAnsi="宋体" w:eastAsia="仿宋_GB2312" w:cs="宋体"/>
                <w:b/>
                <w:bCs/>
                <w:kern w:val="0"/>
                <w:szCs w:val="21"/>
                <w:highlight w:val="none"/>
              </w:rPr>
              <w:t>合计</w:t>
            </w:r>
          </w:p>
        </w:tc>
        <w:tc>
          <w:tcPr>
            <w:tcW w:w="16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highlight w:val="none"/>
              </w:rPr>
            </w:pPr>
            <w:r>
              <w:rPr>
                <w:rFonts w:hint="eastAsia" w:ascii="仿宋_GB2312" w:hAnsi="宋体" w:eastAsia="仿宋_GB2312" w:cs="宋体"/>
                <w:b/>
                <w:bCs/>
                <w:kern w:val="0"/>
                <w:szCs w:val="21"/>
                <w:highlight w:val="none"/>
              </w:rPr>
              <w:t>261.06</w:t>
            </w:r>
          </w:p>
        </w:tc>
        <w:tc>
          <w:tcPr>
            <w:tcW w:w="18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highlight w:val="none"/>
              </w:rPr>
            </w:pPr>
            <w:r>
              <w:rPr>
                <w:rFonts w:hint="eastAsia" w:ascii="仿宋_GB2312" w:hAnsi="宋体" w:eastAsia="仿宋_GB2312" w:cs="宋体"/>
                <w:b/>
                <w:bCs/>
                <w:kern w:val="0"/>
                <w:szCs w:val="21"/>
                <w:highlight w:val="none"/>
              </w:rPr>
              <w:t>217.06</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highlight w:val="none"/>
              </w:rPr>
            </w:pPr>
            <w:r>
              <w:rPr>
                <w:rFonts w:hint="eastAsia" w:ascii="仿宋_GB2312" w:hAnsi="宋体" w:eastAsia="仿宋_GB2312" w:cs="宋体"/>
                <w:b/>
                <w:bCs/>
                <w:kern w:val="0"/>
                <w:szCs w:val="21"/>
                <w:highlight w:val="none"/>
              </w:rPr>
              <w:t>44</w:t>
            </w:r>
          </w:p>
        </w:tc>
      </w:tr>
    </w:tbl>
    <w:p>
      <w:pPr>
        <w:widowControl/>
        <w:jc w:val="left"/>
        <w:textAlignment w:val="bottom"/>
        <w:rPr>
          <w:rFonts w:ascii="宋体" w:hAnsi="宋体" w:cs="宋体"/>
          <w:color w:val="FF0000"/>
          <w:kern w:val="0"/>
          <w:sz w:val="20"/>
          <w:szCs w:val="20"/>
          <w:highlight w:val="none"/>
          <w:lang w:bidi="ar"/>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表6</w:t>
      </w:r>
    </w:p>
    <w:tbl>
      <w:tblPr>
        <w:tblStyle w:val="11"/>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jc w:val="center"/>
              <w:rPr>
                <w:rFonts w:ascii="方正小标宋_GBK" w:hAnsi="方正小标宋_GBK" w:eastAsia="方正小标宋_GBK" w:cs="方正小标宋_GBK"/>
                <w:kern w:val="0"/>
                <w:szCs w:val="21"/>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编制部门：</w:t>
            </w:r>
            <w:r>
              <w:rPr>
                <w:rFonts w:hint="eastAsia" w:ascii="仿宋_GB2312" w:hAnsi="宋体" w:eastAsia="仿宋_GB2312"/>
                <w:kern w:val="0"/>
                <w:szCs w:val="21"/>
                <w:highlight w:val="none"/>
              </w:rPr>
              <w:t xml:space="preserve">呼图壁县苗木花卉产业园区管理委员会                    </w:t>
            </w:r>
            <w:r>
              <w:rPr>
                <w:rFonts w:hint="eastAsia" w:ascii="仿宋_GB2312" w:hAnsi="宋体" w:eastAsia="仿宋_GB2312" w:cs="宋体"/>
                <w:kern w:val="0"/>
                <w:szCs w:val="21"/>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科  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Cs w:val="21"/>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Cs w:val="21"/>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Cs w:val="21"/>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Cs w:val="21"/>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b/>
                <w:bCs/>
                <w:kern w:val="0"/>
                <w:szCs w:val="21"/>
                <w:highlight w:val="none"/>
              </w:rPr>
              <w:t>201.81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b/>
                <w:bCs/>
                <w:kern w:val="0"/>
                <w:szCs w:val="21"/>
                <w:highlight w:val="none"/>
              </w:rPr>
              <w:t>201.81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　</w:t>
            </w:r>
          </w:p>
        </w:tc>
      </w:tr>
      <w:tr>
        <w:tblPrEx>
          <w:tblCellMar>
            <w:top w:w="0" w:type="dxa"/>
            <w:left w:w="108" w:type="dxa"/>
            <w:bottom w:w="0" w:type="dxa"/>
            <w:right w:w="108" w:type="dxa"/>
          </w:tblCellMar>
        </w:tblPrEx>
        <w:trPr>
          <w:trHeight w:val="425"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01</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基本工资</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52.96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52.96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02</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津贴补贴</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15.5</w:t>
            </w:r>
          </w:p>
        </w:tc>
        <w:tc>
          <w:tcPr>
            <w:tcW w:w="1701" w:type="dxa"/>
            <w:tcBorders>
              <w:top w:val="nil"/>
              <w:left w:val="nil"/>
              <w:bottom w:val="single" w:color="auto" w:sz="4" w:space="0"/>
              <w:right w:val="single" w:color="auto" w:sz="4" w:space="0"/>
            </w:tcBorders>
            <w:vAlign w:val="center"/>
          </w:tcPr>
          <w:p>
            <w:pPr>
              <w:widowControl/>
              <w:ind w:right="147" w:rightChars="70"/>
              <w:jc w:val="center"/>
              <w:rPr>
                <w:rFonts w:ascii="宋体" w:hAnsi="宋体" w:cs="宋体"/>
                <w:kern w:val="0"/>
                <w:szCs w:val="21"/>
                <w:highlight w:val="none"/>
              </w:rPr>
            </w:pPr>
            <w:r>
              <w:rPr>
                <w:rFonts w:hint="eastAsia" w:ascii="宋体" w:hAnsi="宋体" w:cs="宋体"/>
                <w:kern w:val="0"/>
                <w:szCs w:val="21"/>
                <w:highlight w:val="none"/>
              </w:rPr>
              <w:t>15.5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03</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奖金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38.31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38.31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07</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绩效工资</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31.94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31.94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08</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机关事业单位养老保险缴费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10</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10.14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10.14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11</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5.07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5.07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12</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13</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b/>
                <w:bCs/>
                <w:kern w:val="0"/>
                <w:szCs w:val="21"/>
                <w:highlight w:val="none"/>
              </w:rPr>
            </w:pPr>
            <w:r>
              <w:rPr>
                <w:rFonts w:hint="eastAsia" w:ascii="仿宋" w:hAnsi="仿宋" w:eastAsia="仿宋" w:cs="仿宋"/>
                <w:kern w:val="0"/>
                <w:szCs w:val="21"/>
                <w:highlight w:val="none"/>
              </w:rPr>
              <w:t>住房公积金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highlight w:val="none"/>
              </w:rPr>
            </w:pPr>
            <w:r>
              <w:rPr>
                <w:rFonts w:hint="eastAsia" w:ascii="宋体" w:hAnsi="宋体" w:cs="宋体"/>
                <w:kern w:val="0"/>
                <w:szCs w:val="21"/>
                <w:highlight w:val="none"/>
              </w:rPr>
              <w:t>99</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b/>
                <w:bCs/>
                <w:kern w:val="0"/>
                <w:szCs w:val="21"/>
                <w:highlight w:val="none"/>
              </w:rPr>
            </w:pPr>
            <w:r>
              <w:rPr>
                <w:rFonts w:hint="eastAsia" w:ascii="仿宋" w:hAnsi="仿宋" w:eastAsia="仿宋" w:cs="仿宋"/>
                <w:kern w:val="0"/>
                <w:szCs w:val="21"/>
                <w:highlight w:val="none"/>
              </w:rPr>
              <w:t>其他工资福利支出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9.72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9.72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highlight w:val="none"/>
              </w:rPr>
            </w:pPr>
            <w:r>
              <w:rPr>
                <w:rFonts w:hint="eastAsia" w:ascii="宋体" w:hAnsi="宋体" w:cs="宋体"/>
                <w:b/>
                <w:bCs/>
                <w:kern w:val="0"/>
                <w:szCs w:val="21"/>
                <w:highlight w:val="none"/>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highlight w:val="none"/>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b/>
                <w:bCs/>
                <w:kern w:val="0"/>
                <w:sz w:val="18"/>
                <w:szCs w:val="18"/>
                <w:highlight w:val="none"/>
              </w:rPr>
            </w:pPr>
            <w:r>
              <w:rPr>
                <w:rFonts w:hint="eastAsia" w:ascii="仿宋" w:hAnsi="仿宋" w:eastAsia="仿宋" w:cs="仿宋"/>
                <w:b/>
                <w:bCs/>
                <w:kern w:val="0"/>
                <w:szCs w:val="21"/>
                <w:highlight w:val="none"/>
              </w:rPr>
              <w:t>商品和服务支出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b/>
                <w:bCs/>
                <w:kern w:val="0"/>
                <w:szCs w:val="21"/>
                <w:highlight w:val="none"/>
              </w:rPr>
              <w:t>14.52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r>
              <w:rPr>
                <w:rFonts w:hint="eastAsia" w:ascii="宋体" w:hAnsi="宋体" w:cs="宋体"/>
                <w:b/>
                <w:bCs/>
                <w:kern w:val="0"/>
                <w:szCs w:val="21"/>
                <w:highlight w:val="none"/>
              </w:rPr>
              <w:t>14.52</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01</w:t>
            </w:r>
          </w:p>
        </w:tc>
        <w:tc>
          <w:tcPr>
            <w:tcW w:w="2891"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办公费</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1.32</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1.32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水费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0.02</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06</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电费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0.07</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07</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邮电费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0.37</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11</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差旅费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0.31</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26</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劳务费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6.78</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6.78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28</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工会经费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2.45</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2.45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302</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31</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3.2</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b/>
                <w:bCs/>
                <w:kern w:val="0"/>
                <w:szCs w:val="21"/>
                <w:highlight w:val="none"/>
              </w:rPr>
              <w:t>303</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b/>
                <w:bCs/>
                <w:kern w:val="0"/>
                <w:szCs w:val="21"/>
                <w:highlight w:val="none"/>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0.73</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b/>
                <w:bCs/>
                <w:kern w:val="0"/>
                <w:szCs w:val="21"/>
                <w:highlight w:val="none"/>
              </w:rPr>
            </w:pPr>
            <w:r>
              <w:rPr>
                <w:rFonts w:hint="eastAsia" w:ascii="仿宋" w:hAnsi="仿宋" w:eastAsia="仿宋" w:cs="仿宋"/>
                <w:b/>
                <w:bCs/>
                <w:kern w:val="0"/>
                <w:szCs w:val="21"/>
                <w:highlight w:val="none"/>
              </w:rPr>
              <w:t>0.73</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303</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02</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退休费</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0.62</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0.62</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303</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05</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生活补助</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0.01</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0.01</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303</w:t>
            </w:r>
          </w:p>
        </w:tc>
        <w:tc>
          <w:tcPr>
            <w:tcW w:w="57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09</w:t>
            </w:r>
          </w:p>
        </w:tc>
        <w:tc>
          <w:tcPr>
            <w:tcW w:w="2891"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奖励金</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0.11</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0.11</w:t>
            </w:r>
          </w:p>
        </w:tc>
        <w:tc>
          <w:tcPr>
            <w:tcW w:w="1701" w:type="dxa"/>
            <w:tcBorders>
              <w:top w:val="nil"/>
              <w:left w:val="nil"/>
              <w:bottom w:val="single" w:color="auto" w:sz="4" w:space="0"/>
              <w:right w:val="single" w:color="auto" w:sz="4" w:space="0"/>
            </w:tcBorders>
            <w:vAlign w:val="center"/>
          </w:tcPr>
          <w:p>
            <w:pPr>
              <w:widowControl/>
              <w:jc w:val="center"/>
              <w:rPr>
                <w:rFonts w:ascii="仿宋" w:hAnsi="仿宋" w:eastAsia="仿宋" w:cs="仿宋"/>
                <w:kern w:val="0"/>
                <w:szCs w:val="21"/>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highlight w:val="none"/>
              </w:rPr>
            </w:pPr>
          </w:p>
        </w:tc>
        <w:tc>
          <w:tcPr>
            <w:tcW w:w="28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合计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highlight w:val="none"/>
              </w:rPr>
            </w:pPr>
            <w:r>
              <w:rPr>
                <w:rFonts w:hint="eastAsia" w:ascii="宋体" w:hAnsi="宋体" w:cs="宋体"/>
                <w:b/>
                <w:bCs/>
                <w:kern w:val="0"/>
                <w:szCs w:val="21"/>
                <w:highlight w:val="none"/>
              </w:rPr>
              <w:t>217.06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highlight w:val="none"/>
              </w:rPr>
            </w:pPr>
            <w:r>
              <w:rPr>
                <w:rFonts w:hint="eastAsia" w:ascii="宋体" w:hAnsi="宋体" w:cs="宋体"/>
                <w:b/>
                <w:bCs/>
                <w:kern w:val="0"/>
                <w:szCs w:val="21"/>
                <w:highlight w:val="none"/>
              </w:rPr>
              <w:t>202.55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highlight w:val="none"/>
              </w:rPr>
            </w:pPr>
            <w:r>
              <w:rPr>
                <w:rFonts w:hint="eastAsia" w:ascii="宋体" w:hAnsi="宋体" w:cs="宋体"/>
                <w:b/>
                <w:bCs/>
                <w:kern w:val="0"/>
                <w:szCs w:val="21"/>
                <w:highlight w:val="none"/>
              </w:rPr>
              <w:t>14.52</w:t>
            </w:r>
          </w:p>
        </w:tc>
      </w:tr>
    </w:tbl>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表7</w:t>
      </w:r>
    </w:p>
    <w:tbl>
      <w:tblPr>
        <w:tblStyle w:val="11"/>
        <w:tblW w:w="9540" w:type="dxa"/>
        <w:tblInd w:w="-360" w:type="dxa"/>
        <w:tblLayout w:type="fixed"/>
        <w:tblCellMar>
          <w:top w:w="0" w:type="dxa"/>
          <w:left w:w="108" w:type="dxa"/>
          <w:bottom w:w="0" w:type="dxa"/>
          <w:right w:w="108" w:type="dxa"/>
        </w:tblCellMar>
      </w:tblPr>
      <w:tblGrid>
        <w:gridCol w:w="13"/>
        <w:gridCol w:w="617"/>
        <w:gridCol w:w="493"/>
        <w:gridCol w:w="494"/>
        <w:gridCol w:w="626"/>
        <w:gridCol w:w="988"/>
        <w:gridCol w:w="641"/>
        <w:gridCol w:w="490"/>
        <w:gridCol w:w="746"/>
        <w:gridCol w:w="530"/>
        <w:gridCol w:w="530"/>
        <w:gridCol w:w="618"/>
        <w:gridCol w:w="855"/>
        <w:gridCol w:w="618"/>
        <w:gridCol w:w="419"/>
        <w:gridCol w:w="419"/>
        <w:gridCol w:w="382"/>
        <w:gridCol w:w="61"/>
      </w:tblGrid>
      <w:tr>
        <w:tblPrEx>
          <w:tblCellMar>
            <w:top w:w="0" w:type="dxa"/>
            <w:left w:w="108" w:type="dxa"/>
            <w:bottom w:w="0" w:type="dxa"/>
            <w:right w:w="108" w:type="dxa"/>
          </w:tblCellMar>
        </w:tblPrEx>
        <w:trPr>
          <w:gridBefore w:val="1"/>
          <w:gridAfter w:val="1"/>
          <w:wBefore w:w="13" w:type="dxa"/>
          <w:wAfter w:w="61" w:type="dxa"/>
          <w:trHeight w:val="375" w:hRule="atLeast"/>
        </w:trPr>
        <w:tc>
          <w:tcPr>
            <w:tcW w:w="9466" w:type="dxa"/>
            <w:gridSpan w:val="16"/>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61" w:type="dxa"/>
          <w:trHeight w:val="405" w:hRule="atLeast"/>
        </w:trPr>
        <w:tc>
          <w:tcPr>
            <w:tcW w:w="9466" w:type="dxa"/>
            <w:gridSpan w:val="16"/>
            <w:tcBorders>
              <w:top w:val="nil"/>
              <w:left w:val="nil"/>
              <w:bottom w:val="nil"/>
              <w:right w:val="nil"/>
            </w:tcBorders>
            <w:vAlign w:val="center"/>
          </w:tcPr>
          <w:p>
            <w:pPr>
              <w:widowControl/>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 xml:space="preserve">呼图壁县苗木花卉产业园区管理委员会                       </w:t>
            </w:r>
            <w:r>
              <w:rPr>
                <w:rFonts w:hint="eastAsia" w:ascii="仿宋_GB2312" w:hAnsi="宋体" w:eastAsia="仿宋_GB2312" w:cs="宋体"/>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617" w:type="dxa"/>
            <w:gridSpan w:val="4"/>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62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名称</w:t>
            </w:r>
          </w:p>
        </w:tc>
        <w:tc>
          <w:tcPr>
            <w:tcW w:w="988"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64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49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74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5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5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61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85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1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43"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30" w:type="dxa"/>
            <w:gridSpan w:val="2"/>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93"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94"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626"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p>
        </w:tc>
        <w:tc>
          <w:tcPr>
            <w:tcW w:w="988"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41"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9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746"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85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43"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b/>
                <w:bCs/>
                <w:kern w:val="0"/>
                <w:sz w:val="20"/>
                <w:szCs w:val="20"/>
                <w:highlight w:val="none"/>
              </w:rPr>
              <w:t>213</w:t>
            </w:r>
          </w:p>
        </w:tc>
        <w:tc>
          <w:tcPr>
            <w:tcW w:w="493" w:type="dxa"/>
            <w:vAlign w:val="center"/>
          </w:tcPr>
          <w:p>
            <w:pPr>
              <w:widowControl/>
              <w:jc w:val="center"/>
              <w:outlineLvl w:val="1"/>
              <w:rPr>
                <w:rFonts w:ascii="仿宋_GB2312" w:hAnsi="宋体" w:eastAsia="仿宋_GB2312"/>
                <w:kern w:val="0"/>
                <w:sz w:val="20"/>
                <w:szCs w:val="20"/>
                <w:highlight w:val="none"/>
              </w:rPr>
            </w:pPr>
          </w:p>
        </w:tc>
        <w:tc>
          <w:tcPr>
            <w:tcW w:w="494" w:type="dxa"/>
            <w:vAlign w:val="center"/>
          </w:tcPr>
          <w:p>
            <w:pPr>
              <w:widowControl/>
              <w:jc w:val="center"/>
              <w:outlineLvl w:val="1"/>
              <w:rPr>
                <w:rFonts w:ascii="仿宋_GB2312" w:hAnsi="宋体" w:eastAsia="仿宋_GB2312"/>
                <w:kern w:val="0"/>
                <w:sz w:val="20"/>
                <w:szCs w:val="20"/>
                <w:highlight w:val="none"/>
              </w:rPr>
            </w:pPr>
          </w:p>
        </w:tc>
        <w:tc>
          <w:tcPr>
            <w:tcW w:w="62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b/>
                <w:bCs/>
                <w:kern w:val="0"/>
                <w:sz w:val="20"/>
                <w:szCs w:val="20"/>
                <w:highlight w:val="none"/>
              </w:rPr>
              <w:t>农林水支出</w:t>
            </w:r>
          </w:p>
        </w:tc>
        <w:tc>
          <w:tcPr>
            <w:tcW w:w="988" w:type="dxa"/>
            <w:vAlign w:val="center"/>
          </w:tcPr>
          <w:p>
            <w:pPr>
              <w:widowControl/>
              <w:jc w:val="center"/>
              <w:outlineLvl w:val="1"/>
              <w:rPr>
                <w:rFonts w:ascii="仿宋_GB2312" w:hAnsi="宋体" w:eastAsia="仿宋_GB2312"/>
                <w:kern w:val="0"/>
                <w:sz w:val="18"/>
                <w:szCs w:val="18"/>
                <w:highlight w:val="none"/>
              </w:rPr>
            </w:pPr>
          </w:p>
        </w:tc>
        <w:tc>
          <w:tcPr>
            <w:tcW w:w="641"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44</w:t>
            </w:r>
          </w:p>
        </w:tc>
        <w:tc>
          <w:tcPr>
            <w:tcW w:w="490" w:type="dxa"/>
            <w:vAlign w:val="center"/>
          </w:tcPr>
          <w:p>
            <w:pPr>
              <w:widowControl/>
              <w:jc w:val="center"/>
              <w:outlineLvl w:val="1"/>
              <w:rPr>
                <w:rFonts w:ascii="仿宋_GB2312" w:hAnsi="宋体" w:eastAsia="仿宋_GB2312"/>
                <w:kern w:val="0"/>
                <w:sz w:val="20"/>
                <w:szCs w:val="20"/>
                <w:highlight w:val="none"/>
              </w:rPr>
            </w:pPr>
          </w:p>
        </w:tc>
        <w:tc>
          <w:tcPr>
            <w:tcW w:w="74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44</w:t>
            </w:r>
          </w:p>
        </w:tc>
        <w:tc>
          <w:tcPr>
            <w:tcW w:w="530" w:type="dxa"/>
            <w:vAlign w:val="center"/>
          </w:tcPr>
          <w:p>
            <w:pPr>
              <w:widowControl/>
              <w:jc w:val="center"/>
              <w:outlineLvl w:val="1"/>
              <w:rPr>
                <w:rFonts w:ascii="仿宋_GB2312" w:hAnsi="宋体" w:eastAsia="仿宋_GB2312"/>
                <w:kern w:val="0"/>
                <w:sz w:val="20"/>
                <w:szCs w:val="20"/>
                <w:highlight w:val="none"/>
              </w:rPr>
            </w:pPr>
          </w:p>
        </w:tc>
        <w:tc>
          <w:tcPr>
            <w:tcW w:w="530"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855"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43" w:type="dxa"/>
            <w:gridSpan w:val="2"/>
            <w:vAlign w:val="center"/>
          </w:tcPr>
          <w:p>
            <w:pPr>
              <w:widowControl/>
              <w:jc w:val="center"/>
              <w:outlineLvl w:val="1"/>
              <w:rPr>
                <w:rFonts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213</w:t>
            </w:r>
          </w:p>
        </w:tc>
        <w:tc>
          <w:tcPr>
            <w:tcW w:w="493"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02</w:t>
            </w:r>
          </w:p>
        </w:tc>
        <w:tc>
          <w:tcPr>
            <w:tcW w:w="494" w:type="dxa"/>
            <w:vAlign w:val="center"/>
          </w:tcPr>
          <w:p>
            <w:pPr>
              <w:widowControl/>
              <w:jc w:val="center"/>
              <w:outlineLvl w:val="1"/>
              <w:rPr>
                <w:rFonts w:ascii="仿宋_GB2312" w:hAnsi="宋体" w:eastAsia="仿宋_GB2312"/>
                <w:kern w:val="0"/>
                <w:sz w:val="20"/>
                <w:szCs w:val="20"/>
                <w:highlight w:val="none"/>
              </w:rPr>
            </w:pPr>
          </w:p>
        </w:tc>
        <w:tc>
          <w:tcPr>
            <w:tcW w:w="62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林业和草原</w:t>
            </w:r>
          </w:p>
        </w:tc>
        <w:tc>
          <w:tcPr>
            <w:tcW w:w="988" w:type="dxa"/>
            <w:vAlign w:val="center"/>
          </w:tcPr>
          <w:p>
            <w:pPr>
              <w:widowControl/>
              <w:jc w:val="center"/>
              <w:outlineLvl w:val="1"/>
              <w:rPr>
                <w:rFonts w:ascii="仿宋_GB2312" w:hAnsi="宋体" w:eastAsia="仿宋_GB2312"/>
                <w:kern w:val="0"/>
                <w:sz w:val="20"/>
                <w:szCs w:val="20"/>
                <w:highlight w:val="none"/>
              </w:rPr>
            </w:pPr>
          </w:p>
        </w:tc>
        <w:tc>
          <w:tcPr>
            <w:tcW w:w="641"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44</w:t>
            </w:r>
          </w:p>
        </w:tc>
        <w:tc>
          <w:tcPr>
            <w:tcW w:w="490" w:type="dxa"/>
            <w:vAlign w:val="center"/>
          </w:tcPr>
          <w:p>
            <w:pPr>
              <w:widowControl/>
              <w:jc w:val="center"/>
              <w:outlineLvl w:val="1"/>
              <w:rPr>
                <w:rFonts w:ascii="仿宋_GB2312" w:hAnsi="宋体" w:eastAsia="仿宋_GB2312"/>
                <w:kern w:val="0"/>
                <w:sz w:val="20"/>
                <w:szCs w:val="20"/>
                <w:highlight w:val="none"/>
              </w:rPr>
            </w:pPr>
          </w:p>
        </w:tc>
        <w:tc>
          <w:tcPr>
            <w:tcW w:w="74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44</w:t>
            </w:r>
          </w:p>
        </w:tc>
        <w:tc>
          <w:tcPr>
            <w:tcW w:w="530" w:type="dxa"/>
            <w:vAlign w:val="center"/>
          </w:tcPr>
          <w:p>
            <w:pPr>
              <w:widowControl/>
              <w:jc w:val="center"/>
              <w:outlineLvl w:val="1"/>
              <w:rPr>
                <w:rFonts w:ascii="仿宋_GB2312" w:hAnsi="宋体" w:eastAsia="仿宋_GB2312"/>
                <w:kern w:val="0"/>
                <w:sz w:val="20"/>
                <w:szCs w:val="20"/>
                <w:highlight w:val="none"/>
              </w:rPr>
            </w:pPr>
          </w:p>
        </w:tc>
        <w:tc>
          <w:tcPr>
            <w:tcW w:w="530"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855"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43" w:type="dxa"/>
            <w:gridSpan w:val="2"/>
            <w:vAlign w:val="center"/>
          </w:tcPr>
          <w:p>
            <w:pPr>
              <w:widowControl/>
              <w:jc w:val="center"/>
              <w:outlineLvl w:val="1"/>
              <w:rPr>
                <w:rFonts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213</w:t>
            </w:r>
          </w:p>
        </w:tc>
        <w:tc>
          <w:tcPr>
            <w:tcW w:w="493"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02</w:t>
            </w:r>
          </w:p>
        </w:tc>
        <w:tc>
          <w:tcPr>
            <w:tcW w:w="494"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99</w:t>
            </w:r>
          </w:p>
        </w:tc>
        <w:tc>
          <w:tcPr>
            <w:tcW w:w="62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其他林业支出</w:t>
            </w:r>
          </w:p>
        </w:tc>
        <w:tc>
          <w:tcPr>
            <w:tcW w:w="988"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2025年管护林水费（非定额）</w:t>
            </w:r>
          </w:p>
        </w:tc>
        <w:tc>
          <w:tcPr>
            <w:tcW w:w="641"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34</w:t>
            </w:r>
          </w:p>
        </w:tc>
        <w:tc>
          <w:tcPr>
            <w:tcW w:w="490" w:type="dxa"/>
            <w:vAlign w:val="center"/>
          </w:tcPr>
          <w:p>
            <w:pPr>
              <w:widowControl/>
              <w:jc w:val="center"/>
              <w:outlineLvl w:val="1"/>
              <w:rPr>
                <w:rFonts w:ascii="仿宋_GB2312" w:hAnsi="宋体" w:eastAsia="仿宋_GB2312"/>
                <w:kern w:val="0"/>
                <w:sz w:val="20"/>
                <w:szCs w:val="20"/>
                <w:highlight w:val="none"/>
              </w:rPr>
            </w:pPr>
          </w:p>
        </w:tc>
        <w:tc>
          <w:tcPr>
            <w:tcW w:w="74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34</w:t>
            </w:r>
          </w:p>
        </w:tc>
        <w:tc>
          <w:tcPr>
            <w:tcW w:w="530" w:type="dxa"/>
            <w:vAlign w:val="center"/>
          </w:tcPr>
          <w:p>
            <w:pPr>
              <w:widowControl/>
              <w:jc w:val="center"/>
              <w:outlineLvl w:val="1"/>
              <w:rPr>
                <w:rFonts w:ascii="仿宋_GB2312" w:hAnsi="宋体" w:eastAsia="仿宋_GB2312"/>
                <w:kern w:val="0"/>
                <w:sz w:val="20"/>
                <w:szCs w:val="20"/>
                <w:highlight w:val="none"/>
              </w:rPr>
            </w:pPr>
          </w:p>
        </w:tc>
        <w:tc>
          <w:tcPr>
            <w:tcW w:w="530"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855"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43" w:type="dxa"/>
            <w:gridSpan w:val="2"/>
            <w:vAlign w:val="center"/>
          </w:tcPr>
          <w:p>
            <w:pPr>
              <w:widowControl/>
              <w:jc w:val="center"/>
              <w:outlineLvl w:val="1"/>
              <w:rPr>
                <w:rFonts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213</w:t>
            </w:r>
          </w:p>
        </w:tc>
        <w:tc>
          <w:tcPr>
            <w:tcW w:w="493"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02</w:t>
            </w:r>
          </w:p>
        </w:tc>
        <w:tc>
          <w:tcPr>
            <w:tcW w:w="494"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99</w:t>
            </w:r>
          </w:p>
        </w:tc>
        <w:tc>
          <w:tcPr>
            <w:tcW w:w="626" w:type="dxa"/>
            <w:shd w:val="clear" w:color="auto" w:fill="auto"/>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其他林业支出</w:t>
            </w:r>
          </w:p>
        </w:tc>
        <w:tc>
          <w:tcPr>
            <w:tcW w:w="988" w:type="dxa"/>
            <w:shd w:val="clear" w:color="auto" w:fill="auto"/>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2025年管护林电费（非定额）</w:t>
            </w:r>
          </w:p>
        </w:tc>
        <w:tc>
          <w:tcPr>
            <w:tcW w:w="641"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10</w:t>
            </w:r>
          </w:p>
        </w:tc>
        <w:tc>
          <w:tcPr>
            <w:tcW w:w="490" w:type="dxa"/>
            <w:vAlign w:val="center"/>
          </w:tcPr>
          <w:p>
            <w:pPr>
              <w:widowControl/>
              <w:jc w:val="center"/>
              <w:outlineLvl w:val="1"/>
              <w:rPr>
                <w:rFonts w:ascii="仿宋_GB2312" w:hAnsi="宋体" w:eastAsia="仿宋_GB2312"/>
                <w:kern w:val="0"/>
                <w:sz w:val="20"/>
                <w:szCs w:val="20"/>
                <w:highlight w:val="none"/>
              </w:rPr>
            </w:pPr>
          </w:p>
        </w:tc>
        <w:tc>
          <w:tcPr>
            <w:tcW w:w="746" w:type="dxa"/>
            <w:vAlign w:val="center"/>
          </w:tcPr>
          <w:p>
            <w:pPr>
              <w:widowControl/>
              <w:jc w:val="center"/>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10</w:t>
            </w:r>
          </w:p>
        </w:tc>
        <w:tc>
          <w:tcPr>
            <w:tcW w:w="530" w:type="dxa"/>
            <w:vAlign w:val="center"/>
          </w:tcPr>
          <w:p>
            <w:pPr>
              <w:widowControl/>
              <w:jc w:val="center"/>
              <w:outlineLvl w:val="1"/>
              <w:rPr>
                <w:rFonts w:ascii="仿宋_GB2312" w:hAnsi="宋体" w:eastAsia="仿宋_GB2312"/>
                <w:kern w:val="0"/>
                <w:sz w:val="20"/>
                <w:szCs w:val="20"/>
                <w:highlight w:val="none"/>
              </w:rPr>
            </w:pPr>
          </w:p>
        </w:tc>
        <w:tc>
          <w:tcPr>
            <w:tcW w:w="530"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855" w:type="dxa"/>
            <w:vAlign w:val="center"/>
          </w:tcPr>
          <w:p>
            <w:pPr>
              <w:widowControl/>
              <w:jc w:val="center"/>
              <w:outlineLvl w:val="1"/>
              <w:rPr>
                <w:rFonts w:ascii="仿宋_GB2312" w:hAnsi="宋体" w:eastAsia="仿宋_GB2312"/>
                <w:kern w:val="0"/>
                <w:sz w:val="20"/>
                <w:szCs w:val="20"/>
                <w:highlight w:val="none"/>
              </w:rPr>
            </w:pPr>
          </w:p>
        </w:tc>
        <w:tc>
          <w:tcPr>
            <w:tcW w:w="618"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19" w:type="dxa"/>
            <w:vAlign w:val="center"/>
          </w:tcPr>
          <w:p>
            <w:pPr>
              <w:widowControl/>
              <w:jc w:val="center"/>
              <w:outlineLvl w:val="1"/>
              <w:rPr>
                <w:rFonts w:ascii="仿宋_GB2312" w:hAnsi="宋体" w:eastAsia="仿宋_GB2312"/>
                <w:kern w:val="0"/>
                <w:sz w:val="20"/>
                <w:szCs w:val="20"/>
                <w:highlight w:val="none"/>
              </w:rPr>
            </w:pPr>
          </w:p>
        </w:tc>
        <w:tc>
          <w:tcPr>
            <w:tcW w:w="443" w:type="dxa"/>
            <w:gridSpan w:val="2"/>
            <w:vAlign w:val="center"/>
          </w:tcPr>
          <w:p>
            <w:pPr>
              <w:widowControl/>
              <w:jc w:val="center"/>
              <w:outlineLvl w:val="1"/>
              <w:rPr>
                <w:rFonts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32"/>
                <w:szCs w:val="32"/>
                <w:highlight w:val="none"/>
              </w:rPr>
            </w:pPr>
          </w:p>
        </w:tc>
        <w:tc>
          <w:tcPr>
            <w:tcW w:w="493" w:type="dxa"/>
            <w:vAlign w:val="center"/>
          </w:tcPr>
          <w:p>
            <w:pPr>
              <w:widowControl/>
              <w:jc w:val="center"/>
              <w:outlineLvl w:val="1"/>
              <w:rPr>
                <w:rFonts w:ascii="仿宋_GB2312" w:hAnsi="宋体" w:eastAsia="仿宋_GB2312"/>
                <w:kern w:val="0"/>
                <w:sz w:val="32"/>
                <w:szCs w:val="32"/>
                <w:highlight w:val="none"/>
              </w:rPr>
            </w:pPr>
          </w:p>
        </w:tc>
        <w:tc>
          <w:tcPr>
            <w:tcW w:w="494" w:type="dxa"/>
            <w:vAlign w:val="center"/>
          </w:tcPr>
          <w:p>
            <w:pPr>
              <w:widowControl/>
              <w:jc w:val="center"/>
              <w:outlineLvl w:val="1"/>
              <w:rPr>
                <w:rFonts w:ascii="仿宋_GB2312" w:hAnsi="宋体" w:eastAsia="仿宋_GB2312"/>
                <w:kern w:val="0"/>
                <w:sz w:val="32"/>
                <w:szCs w:val="32"/>
                <w:highlight w:val="none"/>
              </w:rPr>
            </w:pPr>
          </w:p>
        </w:tc>
        <w:tc>
          <w:tcPr>
            <w:tcW w:w="626" w:type="dxa"/>
            <w:vAlign w:val="center"/>
          </w:tcPr>
          <w:p>
            <w:pPr>
              <w:widowControl/>
              <w:jc w:val="center"/>
              <w:outlineLvl w:val="1"/>
              <w:rPr>
                <w:rFonts w:ascii="仿宋_GB2312" w:hAnsi="宋体" w:eastAsia="仿宋_GB2312"/>
                <w:kern w:val="0"/>
                <w:sz w:val="32"/>
                <w:szCs w:val="32"/>
                <w:highlight w:val="none"/>
              </w:rPr>
            </w:pPr>
          </w:p>
        </w:tc>
        <w:tc>
          <w:tcPr>
            <w:tcW w:w="988" w:type="dxa"/>
            <w:vAlign w:val="center"/>
          </w:tcPr>
          <w:p>
            <w:pPr>
              <w:widowControl/>
              <w:jc w:val="center"/>
              <w:outlineLvl w:val="1"/>
              <w:rPr>
                <w:rFonts w:ascii="仿宋_GB2312" w:hAnsi="宋体" w:eastAsia="仿宋_GB2312"/>
                <w:kern w:val="0"/>
                <w:sz w:val="32"/>
                <w:szCs w:val="32"/>
                <w:highlight w:val="none"/>
              </w:rPr>
            </w:pPr>
          </w:p>
        </w:tc>
        <w:tc>
          <w:tcPr>
            <w:tcW w:w="641" w:type="dxa"/>
            <w:vAlign w:val="center"/>
          </w:tcPr>
          <w:p>
            <w:pPr>
              <w:widowControl/>
              <w:jc w:val="center"/>
              <w:outlineLvl w:val="1"/>
              <w:rPr>
                <w:rFonts w:ascii="仿宋_GB2312" w:hAnsi="宋体" w:eastAsia="仿宋_GB2312"/>
                <w:kern w:val="0"/>
                <w:sz w:val="32"/>
                <w:szCs w:val="32"/>
                <w:highlight w:val="none"/>
              </w:rPr>
            </w:pPr>
          </w:p>
        </w:tc>
        <w:tc>
          <w:tcPr>
            <w:tcW w:w="490" w:type="dxa"/>
            <w:vAlign w:val="center"/>
          </w:tcPr>
          <w:p>
            <w:pPr>
              <w:widowControl/>
              <w:jc w:val="center"/>
              <w:outlineLvl w:val="1"/>
              <w:rPr>
                <w:rFonts w:ascii="仿宋_GB2312" w:hAnsi="宋体" w:eastAsia="仿宋_GB2312"/>
                <w:kern w:val="0"/>
                <w:sz w:val="32"/>
                <w:szCs w:val="32"/>
                <w:highlight w:val="none"/>
              </w:rPr>
            </w:pPr>
          </w:p>
        </w:tc>
        <w:tc>
          <w:tcPr>
            <w:tcW w:w="746" w:type="dxa"/>
            <w:vAlign w:val="center"/>
          </w:tcPr>
          <w:p>
            <w:pPr>
              <w:widowControl/>
              <w:jc w:val="center"/>
              <w:outlineLvl w:val="1"/>
              <w:rPr>
                <w:rFonts w:ascii="仿宋_GB2312" w:hAnsi="宋体" w:eastAsia="仿宋_GB2312"/>
                <w:kern w:val="0"/>
                <w:sz w:val="32"/>
                <w:szCs w:val="32"/>
                <w:highlight w:val="none"/>
              </w:rPr>
            </w:pPr>
          </w:p>
        </w:tc>
        <w:tc>
          <w:tcPr>
            <w:tcW w:w="530" w:type="dxa"/>
            <w:vAlign w:val="center"/>
          </w:tcPr>
          <w:p>
            <w:pPr>
              <w:widowControl/>
              <w:jc w:val="center"/>
              <w:outlineLvl w:val="1"/>
              <w:rPr>
                <w:rFonts w:ascii="仿宋_GB2312" w:hAnsi="宋体" w:eastAsia="仿宋_GB2312"/>
                <w:kern w:val="0"/>
                <w:sz w:val="32"/>
                <w:szCs w:val="32"/>
                <w:highlight w:val="none"/>
              </w:rPr>
            </w:pPr>
          </w:p>
        </w:tc>
        <w:tc>
          <w:tcPr>
            <w:tcW w:w="530" w:type="dxa"/>
            <w:vAlign w:val="center"/>
          </w:tcPr>
          <w:p>
            <w:pPr>
              <w:widowControl/>
              <w:jc w:val="center"/>
              <w:outlineLvl w:val="1"/>
              <w:rPr>
                <w:rFonts w:ascii="仿宋_GB2312" w:hAnsi="宋体" w:eastAsia="仿宋_GB2312"/>
                <w:kern w:val="0"/>
                <w:sz w:val="32"/>
                <w:szCs w:val="32"/>
                <w:highlight w:val="none"/>
              </w:rPr>
            </w:pPr>
          </w:p>
        </w:tc>
        <w:tc>
          <w:tcPr>
            <w:tcW w:w="618" w:type="dxa"/>
            <w:vAlign w:val="center"/>
          </w:tcPr>
          <w:p>
            <w:pPr>
              <w:widowControl/>
              <w:jc w:val="center"/>
              <w:outlineLvl w:val="1"/>
              <w:rPr>
                <w:rFonts w:ascii="仿宋_GB2312" w:hAnsi="宋体" w:eastAsia="仿宋_GB2312"/>
                <w:kern w:val="0"/>
                <w:sz w:val="32"/>
                <w:szCs w:val="32"/>
                <w:highlight w:val="none"/>
              </w:rPr>
            </w:pPr>
          </w:p>
        </w:tc>
        <w:tc>
          <w:tcPr>
            <w:tcW w:w="855" w:type="dxa"/>
            <w:vAlign w:val="center"/>
          </w:tcPr>
          <w:p>
            <w:pPr>
              <w:widowControl/>
              <w:jc w:val="center"/>
              <w:outlineLvl w:val="1"/>
              <w:rPr>
                <w:rFonts w:ascii="仿宋_GB2312" w:hAnsi="宋体" w:eastAsia="仿宋_GB2312"/>
                <w:kern w:val="0"/>
                <w:sz w:val="32"/>
                <w:szCs w:val="32"/>
                <w:highlight w:val="none"/>
              </w:rPr>
            </w:pPr>
          </w:p>
        </w:tc>
        <w:tc>
          <w:tcPr>
            <w:tcW w:w="618" w:type="dxa"/>
            <w:vAlign w:val="center"/>
          </w:tcPr>
          <w:p>
            <w:pPr>
              <w:widowControl/>
              <w:jc w:val="center"/>
              <w:outlineLvl w:val="1"/>
              <w:rPr>
                <w:rFonts w:ascii="仿宋_GB2312" w:hAnsi="宋体" w:eastAsia="仿宋_GB2312"/>
                <w:kern w:val="0"/>
                <w:sz w:val="32"/>
                <w:szCs w:val="32"/>
                <w:highlight w:val="none"/>
              </w:rPr>
            </w:pPr>
          </w:p>
        </w:tc>
        <w:tc>
          <w:tcPr>
            <w:tcW w:w="419" w:type="dxa"/>
            <w:vAlign w:val="center"/>
          </w:tcPr>
          <w:p>
            <w:pPr>
              <w:widowControl/>
              <w:jc w:val="center"/>
              <w:outlineLvl w:val="1"/>
              <w:rPr>
                <w:rFonts w:ascii="仿宋_GB2312" w:hAnsi="宋体" w:eastAsia="仿宋_GB2312"/>
                <w:kern w:val="0"/>
                <w:sz w:val="32"/>
                <w:szCs w:val="32"/>
                <w:highlight w:val="none"/>
              </w:rPr>
            </w:pPr>
          </w:p>
        </w:tc>
        <w:tc>
          <w:tcPr>
            <w:tcW w:w="419" w:type="dxa"/>
            <w:vAlign w:val="center"/>
          </w:tcPr>
          <w:p>
            <w:pPr>
              <w:widowControl/>
              <w:jc w:val="center"/>
              <w:outlineLvl w:val="1"/>
              <w:rPr>
                <w:rFonts w:ascii="仿宋_GB2312" w:hAnsi="宋体" w:eastAsia="仿宋_GB2312"/>
                <w:kern w:val="0"/>
                <w:sz w:val="32"/>
                <w:szCs w:val="32"/>
                <w:highlight w:val="none"/>
              </w:rPr>
            </w:pPr>
          </w:p>
        </w:tc>
        <w:tc>
          <w:tcPr>
            <w:tcW w:w="443" w:type="dxa"/>
            <w:gridSpan w:val="2"/>
            <w:vAlign w:val="center"/>
          </w:tcPr>
          <w:p>
            <w:pPr>
              <w:widowControl/>
              <w:jc w:val="center"/>
              <w:outlineLvl w:val="1"/>
              <w:rPr>
                <w:rFonts w:ascii="仿宋_GB2312" w:hAnsi="宋体" w:eastAsia="仿宋_GB2312"/>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gridSpan w:val="2"/>
            <w:vAlign w:val="center"/>
          </w:tcPr>
          <w:p>
            <w:pPr>
              <w:widowControl/>
              <w:jc w:val="center"/>
              <w:outlineLvl w:val="1"/>
              <w:rPr>
                <w:rFonts w:ascii="仿宋_GB2312" w:hAnsi="宋体" w:eastAsia="仿宋_GB2312"/>
                <w:kern w:val="0"/>
                <w:sz w:val="32"/>
                <w:szCs w:val="32"/>
                <w:highlight w:val="none"/>
              </w:rPr>
            </w:pPr>
          </w:p>
        </w:tc>
        <w:tc>
          <w:tcPr>
            <w:tcW w:w="493" w:type="dxa"/>
            <w:vAlign w:val="center"/>
          </w:tcPr>
          <w:p>
            <w:pPr>
              <w:widowControl/>
              <w:jc w:val="center"/>
              <w:outlineLvl w:val="1"/>
              <w:rPr>
                <w:rFonts w:ascii="仿宋_GB2312" w:hAnsi="宋体" w:eastAsia="仿宋_GB2312"/>
                <w:kern w:val="0"/>
                <w:sz w:val="32"/>
                <w:szCs w:val="32"/>
                <w:highlight w:val="none"/>
              </w:rPr>
            </w:pPr>
          </w:p>
        </w:tc>
        <w:tc>
          <w:tcPr>
            <w:tcW w:w="494" w:type="dxa"/>
            <w:vAlign w:val="center"/>
          </w:tcPr>
          <w:p>
            <w:pPr>
              <w:widowControl/>
              <w:jc w:val="center"/>
              <w:outlineLvl w:val="1"/>
              <w:rPr>
                <w:rFonts w:ascii="仿宋_GB2312" w:hAnsi="宋体" w:eastAsia="仿宋_GB2312"/>
                <w:kern w:val="0"/>
                <w:sz w:val="32"/>
                <w:szCs w:val="32"/>
                <w:highlight w:val="none"/>
              </w:rPr>
            </w:pPr>
          </w:p>
        </w:tc>
        <w:tc>
          <w:tcPr>
            <w:tcW w:w="626" w:type="dxa"/>
            <w:vAlign w:val="center"/>
          </w:tcPr>
          <w:p>
            <w:pPr>
              <w:widowControl/>
              <w:jc w:val="center"/>
              <w:outlineLvl w:val="1"/>
              <w:rPr>
                <w:rFonts w:ascii="仿宋_GB2312" w:hAnsi="宋体" w:eastAsia="仿宋_GB2312"/>
                <w:kern w:val="0"/>
                <w:sz w:val="32"/>
                <w:szCs w:val="32"/>
                <w:highlight w:val="none"/>
              </w:rPr>
            </w:pPr>
            <w:r>
              <w:rPr>
                <w:rFonts w:hint="eastAsia" w:ascii="仿宋_GB2312" w:hAnsi="宋体" w:eastAsia="仿宋_GB2312"/>
                <w:b/>
                <w:kern w:val="0"/>
                <w:sz w:val="20"/>
                <w:szCs w:val="20"/>
                <w:highlight w:val="none"/>
              </w:rPr>
              <w:t>合计</w:t>
            </w:r>
          </w:p>
        </w:tc>
        <w:tc>
          <w:tcPr>
            <w:tcW w:w="988" w:type="dxa"/>
            <w:shd w:val="clear" w:color="auto" w:fill="auto"/>
            <w:vAlign w:val="center"/>
          </w:tcPr>
          <w:p>
            <w:pPr>
              <w:widowControl/>
              <w:jc w:val="center"/>
              <w:outlineLvl w:val="1"/>
              <w:rPr>
                <w:rFonts w:ascii="仿宋_GB2312" w:hAnsi="宋体" w:eastAsia="仿宋_GB2312"/>
                <w:b/>
                <w:kern w:val="0"/>
                <w:sz w:val="20"/>
                <w:szCs w:val="20"/>
                <w:highlight w:val="none"/>
              </w:rPr>
            </w:pPr>
          </w:p>
        </w:tc>
        <w:tc>
          <w:tcPr>
            <w:tcW w:w="641" w:type="dxa"/>
            <w:shd w:val="clear" w:color="auto" w:fill="auto"/>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44</w:t>
            </w:r>
          </w:p>
        </w:tc>
        <w:tc>
          <w:tcPr>
            <w:tcW w:w="490" w:type="dxa"/>
            <w:shd w:val="clear" w:color="auto" w:fill="auto"/>
          </w:tcPr>
          <w:p>
            <w:pPr>
              <w:widowControl/>
              <w:jc w:val="left"/>
              <w:outlineLvl w:val="1"/>
              <w:rPr>
                <w:rFonts w:ascii="仿宋_GB2312" w:hAnsi="宋体" w:eastAsia="仿宋_GB2312"/>
                <w:b/>
                <w:kern w:val="0"/>
                <w:sz w:val="20"/>
                <w:szCs w:val="20"/>
                <w:highlight w:val="none"/>
              </w:rPr>
            </w:pPr>
          </w:p>
        </w:tc>
        <w:tc>
          <w:tcPr>
            <w:tcW w:w="746" w:type="dxa"/>
            <w:shd w:val="clear" w:color="auto" w:fill="auto"/>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44</w:t>
            </w:r>
          </w:p>
        </w:tc>
        <w:tc>
          <w:tcPr>
            <w:tcW w:w="530" w:type="dxa"/>
            <w:vAlign w:val="center"/>
          </w:tcPr>
          <w:p>
            <w:pPr>
              <w:widowControl/>
              <w:jc w:val="center"/>
              <w:outlineLvl w:val="1"/>
              <w:rPr>
                <w:rFonts w:ascii="仿宋_GB2312" w:hAnsi="宋体" w:eastAsia="仿宋_GB2312"/>
                <w:kern w:val="0"/>
                <w:sz w:val="32"/>
                <w:szCs w:val="32"/>
                <w:highlight w:val="none"/>
              </w:rPr>
            </w:pPr>
          </w:p>
        </w:tc>
        <w:tc>
          <w:tcPr>
            <w:tcW w:w="530" w:type="dxa"/>
            <w:vAlign w:val="center"/>
          </w:tcPr>
          <w:p>
            <w:pPr>
              <w:widowControl/>
              <w:jc w:val="center"/>
              <w:outlineLvl w:val="1"/>
              <w:rPr>
                <w:rFonts w:ascii="仿宋_GB2312" w:hAnsi="宋体" w:eastAsia="仿宋_GB2312"/>
                <w:kern w:val="0"/>
                <w:sz w:val="32"/>
                <w:szCs w:val="32"/>
                <w:highlight w:val="none"/>
              </w:rPr>
            </w:pPr>
          </w:p>
        </w:tc>
        <w:tc>
          <w:tcPr>
            <w:tcW w:w="618" w:type="dxa"/>
            <w:vAlign w:val="center"/>
          </w:tcPr>
          <w:p>
            <w:pPr>
              <w:widowControl/>
              <w:jc w:val="center"/>
              <w:outlineLvl w:val="1"/>
              <w:rPr>
                <w:rFonts w:ascii="仿宋_GB2312" w:hAnsi="宋体" w:eastAsia="仿宋_GB2312"/>
                <w:kern w:val="0"/>
                <w:sz w:val="32"/>
                <w:szCs w:val="32"/>
                <w:highlight w:val="none"/>
              </w:rPr>
            </w:pPr>
          </w:p>
        </w:tc>
        <w:tc>
          <w:tcPr>
            <w:tcW w:w="855" w:type="dxa"/>
            <w:vAlign w:val="center"/>
          </w:tcPr>
          <w:p>
            <w:pPr>
              <w:widowControl/>
              <w:jc w:val="center"/>
              <w:outlineLvl w:val="1"/>
              <w:rPr>
                <w:rFonts w:ascii="仿宋_GB2312" w:hAnsi="宋体" w:eastAsia="仿宋_GB2312"/>
                <w:kern w:val="0"/>
                <w:sz w:val="32"/>
                <w:szCs w:val="32"/>
                <w:highlight w:val="none"/>
              </w:rPr>
            </w:pPr>
          </w:p>
        </w:tc>
        <w:tc>
          <w:tcPr>
            <w:tcW w:w="618" w:type="dxa"/>
            <w:vAlign w:val="center"/>
          </w:tcPr>
          <w:p>
            <w:pPr>
              <w:widowControl/>
              <w:jc w:val="center"/>
              <w:outlineLvl w:val="1"/>
              <w:rPr>
                <w:rFonts w:ascii="仿宋_GB2312" w:hAnsi="宋体" w:eastAsia="仿宋_GB2312"/>
                <w:kern w:val="0"/>
                <w:sz w:val="32"/>
                <w:szCs w:val="32"/>
                <w:highlight w:val="none"/>
              </w:rPr>
            </w:pPr>
          </w:p>
        </w:tc>
        <w:tc>
          <w:tcPr>
            <w:tcW w:w="419" w:type="dxa"/>
            <w:vAlign w:val="center"/>
          </w:tcPr>
          <w:p>
            <w:pPr>
              <w:widowControl/>
              <w:jc w:val="center"/>
              <w:outlineLvl w:val="1"/>
              <w:rPr>
                <w:rFonts w:ascii="仿宋_GB2312" w:hAnsi="宋体" w:eastAsia="仿宋_GB2312"/>
                <w:kern w:val="0"/>
                <w:sz w:val="32"/>
                <w:szCs w:val="32"/>
                <w:highlight w:val="none"/>
              </w:rPr>
            </w:pPr>
          </w:p>
        </w:tc>
        <w:tc>
          <w:tcPr>
            <w:tcW w:w="419" w:type="dxa"/>
            <w:vAlign w:val="center"/>
          </w:tcPr>
          <w:p>
            <w:pPr>
              <w:widowControl/>
              <w:jc w:val="center"/>
              <w:outlineLvl w:val="1"/>
              <w:rPr>
                <w:rFonts w:ascii="仿宋_GB2312" w:hAnsi="宋体" w:eastAsia="仿宋_GB2312"/>
                <w:kern w:val="0"/>
                <w:sz w:val="32"/>
                <w:szCs w:val="32"/>
                <w:highlight w:val="none"/>
              </w:rPr>
            </w:pPr>
          </w:p>
        </w:tc>
        <w:tc>
          <w:tcPr>
            <w:tcW w:w="443" w:type="dxa"/>
            <w:gridSpan w:val="2"/>
            <w:vAlign w:val="center"/>
          </w:tcPr>
          <w:p>
            <w:pPr>
              <w:widowControl/>
              <w:jc w:val="center"/>
              <w:outlineLvl w:val="1"/>
              <w:rPr>
                <w:rFonts w:ascii="仿宋_GB2312" w:hAnsi="宋体" w:eastAsia="仿宋_GB2312"/>
                <w:kern w:val="0"/>
                <w:sz w:val="32"/>
                <w:szCs w:val="32"/>
                <w:highlight w:val="none"/>
              </w:rPr>
            </w:pPr>
          </w:p>
        </w:tc>
      </w:tr>
    </w:tbl>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w:t>
      </w:r>
      <w:r>
        <w:rPr>
          <w:rFonts w:ascii="宋体" w:hAnsi="宋体" w:cs="宋体"/>
          <w:kern w:val="0"/>
          <w:sz w:val="20"/>
          <w:szCs w:val="20"/>
          <w:highlight w:val="none"/>
          <w:lang w:bidi="ar"/>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wordWrap w:val="0"/>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 呼图壁县苗木花卉产业园区管理委员会                   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p>
        </w:tc>
        <w:tc>
          <w:tcPr>
            <w:tcW w:w="137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p>
        </w:tc>
        <w:tc>
          <w:tcPr>
            <w:tcW w:w="2157"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9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p>
        </w:tc>
        <w:tc>
          <w:tcPr>
            <w:tcW w:w="235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c>
          <w:tcPr>
            <w:tcW w:w="137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c>
          <w:tcPr>
            <w:tcW w:w="10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r>
    </w:tbl>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 w:hAnsi="仿宋" w:eastAsia="仿宋" w:cs="仿宋"/>
          <w:b/>
          <w:color w:val="FF0000"/>
          <w:kern w:val="0"/>
          <w:sz w:val="20"/>
          <w:szCs w:val="20"/>
          <w:highlight w:val="none"/>
        </w:rPr>
      </w:pPr>
      <w:r>
        <w:rPr>
          <w:rFonts w:hint="eastAsia" w:ascii="仿宋_GB2312" w:hAnsi="宋体" w:eastAsia="仿宋_GB2312"/>
          <w:b/>
          <w:kern w:val="0"/>
          <w:sz w:val="28"/>
          <w:szCs w:val="28"/>
          <w:highlight w:val="none"/>
        </w:rPr>
        <w:t>备注：</w:t>
      </w:r>
      <w:r>
        <w:rPr>
          <w:rFonts w:hint="eastAsia" w:ascii="仿宋" w:hAnsi="仿宋" w:eastAsia="仿宋" w:cs="仿宋"/>
          <w:b/>
          <w:bCs/>
          <w:kern w:val="0"/>
          <w:sz w:val="28"/>
          <w:szCs w:val="28"/>
          <w:highlight w:val="none"/>
        </w:rPr>
        <w:t>呼图壁县苗木花卉产业园区管理委员会2025年</w:t>
      </w:r>
      <w:r>
        <w:rPr>
          <w:rFonts w:hint="eastAsia" w:ascii="仿宋" w:hAnsi="仿宋" w:eastAsia="仿宋" w:cs="仿宋"/>
          <w:b/>
          <w:bCs/>
          <w:kern w:val="0"/>
          <w:sz w:val="28"/>
          <w:szCs w:val="28"/>
          <w:highlight w:val="none"/>
          <w:lang w:bidi="ar"/>
        </w:rPr>
        <w:t>未安排政府性基金预算，政府性基金预算支出情况表为空表。</w:t>
      </w: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仿宋_GB2312" w:hAnsi="宋体" w:eastAsia="仿宋_GB2312"/>
          <w:b/>
          <w:kern w:val="0"/>
          <w:sz w:val="28"/>
          <w:szCs w:val="32"/>
          <w:highlight w:val="none"/>
        </w:rPr>
      </w:pPr>
      <w:r>
        <w:rPr>
          <w:rFonts w:hint="eastAsia" w:ascii="宋体" w:hAnsi="宋体" w:cs="宋体"/>
          <w:kern w:val="0"/>
          <w:sz w:val="20"/>
          <w:szCs w:val="20"/>
          <w:highlight w:val="none"/>
          <w:lang w:bidi="ar"/>
        </w:rPr>
        <w:t>表9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wordWrap w:val="0"/>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p>
        </w:tc>
      </w:tr>
    </w:tbl>
    <w:p>
      <w:pPr>
        <w:widowControl/>
        <w:spacing w:line="280" w:lineRule="exact"/>
        <w:outlineLvl w:val="1"/>
        <w:rPr>
          <w:rFonts w:ascii="仿宋_GB2312" w:hAnsi="宋体" w:eastAsia="仿宋_GB2312"/>
          <w:b/>
          <w:kern w:val="0"/>
          <w:sz w:val="28"/>
          <w:szCs w:val="32"/>
          <w:highlight w:val="none"/>
        </w:rPr>
      </w:pPr>
    </w:p>
    <w:p>
      <w:pPr>
        <w:widowControl/>
        <w:rPr>
          <w:rFonts w:ascii="仿宋" w:hAnsi="仿宋" w:eastAsia="仿宋" w:cs="仿宋"/>
          <w:b/>
          <w:color w:val="FF0000"/>
          <w:kern w:val="0"/>
          <w:sz w:val="20"/>
          <w:szCs w:val="20"/>
          <w:highlight w:val="none"/>
        </w:rPr>
      </w:pPr>
      <w:r>
        <w:rPr>
          <w:rFonts w:hint="eastAsia" w:ascii="仿宋_GB2312" w:hAnsi="宋体" w:eastAsia="仿宋_GB2312"/>
          <w:b/>
          <w:kern w:val="0"/>
          <w:sz w:val="28"/>
          <w:szCs w:val="28"/>
          <w:highlight w:val="none"/>
        </w:rPr>
        <w:t>备注：</w:t>
      </w:r>
      <w:r>
        <w:rPr>
          <w:rFonts w:hint="eastAsia" w:ascii="仿宋" w:hAnsi="仿宋" w:eastAsia="仿宋" w:cs="仿宋"/>
          <w:b/>
          <w:kern w:val="0"/>
          <w:sz w:val="28"/>
          <w:szCs w:val="28"/>
          <w:highlight w:val="none"/>
        </w:rPr>
        <w:t>呼图壁县苗木花卉产业园区管理委员会2025年</w:t>
      </w:r>
      <w:r>
        <w:rPr>
          <w:rFonts w:hint="eastAsia" w:ascii="仿宋" w:hAnsi="仿宋" w:eastAsia="仿宋" w:cs="仿宋"/>
          <w:b/>
          <w:kern w:val="0"/>
          <w:sz w:val="28"/>
          <w:szCs w:val="28"/>
          <w:highlight w:val="none"/>
          <w:lang w:bidi="ar"/>
        </w:rPr>
        <w:t>未安排国有资本经营预算，</w:t>
      </w:r>
      <w:r>
        <w:rPr>
          <w:rFonts w:hint="eastAsia" w:ascii="仿宋" w:hAnsi="仿宋" w:eastAsia="仿宋" w:cs="仿宋"/>
          <w:b/>
          <w:kern w:val="0"/>
          <w:sz w:val="28"/>
          <w:szCs w:val="28"/>
          <w:highlight w:val="none"/>
        </w:rPr>
        <w:t>国有资本经营预算支出情况表</w:t>
      </w:r>
      <w:r>
        <w:rPr>
          <w:rFonts w:hint="eastAsia" w:ascii="仿宋" w:hAnsi="仿宋" w:eastAsia="仿宋" w:cs="仿宋"/>
          <w:b/>
          <w:kern w:val="0"/>
          <w:sz w:val="28"/>
          <w:szCs w:val="28"/>
          <w:highlight w:val="none"/>
          <w:lang w:bidi="ar"/>
        </w:rPr>
        <w:t>为空表。</w:t>
      </w:r>
    </w:p>
    <w:p>
      <w:pPr>
        <w:widowControl/>
        <w:spacing w:line="280" w:lineRule="exact"/>
        <w:outlineLvl w:val="1"/>
        <w:rPr>
          <w:rFonts w:ascii="仿宋_GB2312" w:hAnsi="宋体" w:eastAsia="仿宋_GB2312"/>
          <w:color w:val="FF0000"/>
          <w:kern w:val="0"/>
          <w:sz w:val="32"/>
          <w:szCs w:val="32"/>
          <w:highlight w:val="none"/>
        </w:rPr>
      </w:pPr>
    </w:p>
    <w:p>
      <w:pPr>
        <w:widowControl/>
        <w:jc w:val="left"/>
        <w:textAlignment w:val="bottom"/>
        <w:rPr>
          <w:rFonts w:ascii="宋体" w:hAnsi="宋体" w:cs="宋体"/>
          <w:kern w:val="0"/>
          <w:sz w:val="20"/>
          <w:szCs w:val="20"/>
          <w:highlight w:val="none"/>
          <w:lang w:bidi="ar"/>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highlight w:val="none"/>
          <w:lang w:bidi="ar"/>
        </w:rPr>
      </w:pPr>
      <w:r>
        <w:rPr>
          <w:rFonts w:hint="eastAsia" w:ascii="宋体" w:hAnsi="宋体" w:cs="宋体"/>
          <w:kern w:val="0"/>
          <w:sz w:val="20"/>
          <w:szCs w:val="20"/>
          <w:highlight w:val="none"/>
          <w:lang w:bidi="ar"/>
        </w:rPr>
        <w:t>表</w:t>
      </w:r>
      <w:r>
        <w:rPr>
          <w:rFonts w:ascii="宋体" w:hAnsi="宋体" w:cs="宋体"/>
          <w:kern w:val="0"/>
          <w:sz w:val="20"/>
          <w:szCs w:val="20"/>
          <w:highlight w:val="none"/>
          <w:lang w:bidi="ar"/>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lang w:eastAsia="zh-Hans"/>
        </w:rPr>
        <w:t>财政拨款</w:t>
      </w:r>
      <w:r>
        <w:rPr>
          <w:rFonts w:hint="eastAsia" w:ascii="仿宋_GB2312" w:hAnsi="宋体" w:eastAsia="仿宋_GB2312"/>
          <w:b/>
          <w:kern w:val="0"/>
          <w:sz w:val="32"/>
          <w:szCs w:val="32"/>
          <w:highlight w:val="none"/>
        </w:rPr>
        <w:t>“三公”经费支出情况表</w:t>
      </w:r>
    </w:p>
    <w:p>
      <w:pPr>
        <w:widowControl/>
        <w:wordWrap w:val="0"/>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编制部门：呼图壁县苗木花卉产业园区管理委员会                    单位：万元</w:t>
      </w:r>
    </w:p>
    <w:tbl>
      <w:tblPr>
        <w:tblStyle w:val="12"/>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vMerge w:val="restart"/>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“三公”经费支出内容</w:t>
            </w:r>
          </w:p>
        </w:tc>
        <w:tc>
          <w:tcPr>
            <w:tcW w:w="1215" w:type="dxa"/>
            <w:vMerge w:val="restart"/>
            <w:vAlign w:val="center"/>
          </w:tcPr>
          <w:p>
            <w:pPr>
              <w:widowControl/>
              <w:jc w:val="center"/>
              <w:outlineLvl w:val="1"/>
              <w:rPr>
                <w:rFonts w:ascii="仿宋_GB2312" w:hAnsi="宋体" w:eastAsia="仿宋_GB2312"/>
                <w:b/>
                <w:kern w:val="0"/>
                <w:sz w:val="24"/>
                <w:highlight w:val="none"/>
                <w:lang w:eastAsia="zh-Hans"/>
              </w:rPr>
            </w:pPr>
            <w:r>
              <w:rPr>
                <w:rFonts w:hint="eastAsia" w:ascii="仿宋_GB2312" w:hAnsi="宋体" w:eastAsia="仿宋_GB2312"/>
                <w:b/>
                <w:kern w:val="0"/>
                <w:sz w:val="24"/>
                <w:highlight w:val="none"/>
                <w:lang w:eastAsia="zh-Hans"/>
              </w:rPr>
              <w:t>合计</w:t>
            </w:r>
          </w:p>
        </w:tc>
        <w:tc>
          <w:tcPr>
            <w:tcW w:w="4530" w:type="dxa"/>
            <w:gridSpan w:val="3"/>
            <w:vAlign w:val="center"/>
          </w:tcPr>
          <w:p>
            <w:pPr>
              <w:widowControl/>
              <w:jc w:val="center"/>
              <w:outlineLvl w:val="1"/>
              <w:rPr>
                <w:rFonts w:ascii="仿宋_GB2312" w:hAnsi="宋体" w:eastAsia="仿宋_GB2312"/>
                <w:b/>
                <w:kern w:val="0"/>
                <w:sz w:val="24"/>
                <w:highlight w:val="none"/>
                <w:lang w:eastAsia="zh-Hans"/>
              </w:rPr>
            </w:pPr>
            <w:r>
              <w:rPr>
                <w:rFonts w:hint="eastAsia" w:ascii="仿宋_GB2312" w:hAnsi="宋体" w:eastAsia="仿宋_GB2312"/>
                <w:b/>
                <w:kern w:val="0"/>
                <w:sz w:val="24"/>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4"/>
                <w:highlight w:val="none"/>
              </w:rPr>
            </w:pPr>
          </w:p>
        </w:tc>
        <w:tc>
          <w:tcPr>
            <w:tcW w:w="1215" w:type="dxa"/>
            <w:vMerge w:val="continue"/>
          </w:tcPr>
          <w:p>
            <w:pPr>
              <w:widowControl/>
              <w:outlineLvl w:val="1"/>
              <w:rPr>
                <w:rFonts w:ascii="仿宋_GB2312" w:hAnsi="宋体" w:eastAsia="仿宋_GB2312"/>
                <w:b/>
                <w:kern w:val="0"/>
                <w:sz w:val="24"/>
                <w:highlight w:val="none"/>
              </w:rPr>
            </w:pPr>
          </w:p>
        </w:tc>
        <w:tc>
          <w:tcPr>
            <w:tcW w:w="1314" w:type="dxa"/>
            <w:vAlign w:val="center"/>
          </w:tcPr>
          <w:p>
            <w:pPr>
              <w:widowControl/>
              <w:jc w:val="center"/>
              <w:outlineLvl w:val="1"/>
              <w:rPr>
                <w:rFonts w:ascii="仿宋_GB2312" w:hAnsi="宋体" w:eastAsia="仿宋_GB2312"/>
                <w:b/>
                <w:kern w:val="0"/>
                <w:sz w:val="24"/>
                <w:highlight w:val="none"/>
                <w:lang w:eastAsia="zh-Hans"/>
              </w:rPr>
            </w:pPr>
            <w:r>
              <w:rPr>
                <w:rFonts w:hint="eastAsia" w:ascii="仿宋_GB2312" w:hAnsi="宋体" w:eastAsia="仿宋_GB2312"/>
                <w:b/>
                <w:kern w:val="0"/>
                <w:sz w:val="24"/>
                <w:highlight w:val="none"/>
                <w:lang w:eastAsia="zh-Hans"/>
              </w:rPr>
              <w:t>一般公共预算</w:t>
            </w:r>
          </w:p>
        </w:tc>
        <w:tc>
          <w:tcPr>
            <w:tcW w:w="1595"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政府性基金</w:t>
            </w:r>
          </w:p>
        </w:tc>
        <w:tc>
          <w:tcPr>
            <w:tcW w:w="1621"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合计</w:t>
            </w:r>
          </w:p>
        </w:tc>
        <w:tc>
          <w:tcPr>
            <w:tcW w:w="1215"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314"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因公出国（境）费</w:t>
            </w:r>
          </w:p>
        </w:tc>
        <w:tc>
          <w:tcPr>
            <w:tcW w:w="1215" w:type="dxa"/>
          </w:tcPr>
          <w:p>
            <w:pPr>
              <w:widowControl/>
              <w:outlineLvl w:val="1"/>
              <w:rPr>
                <w:rFonts w:ascii="仿宋_GB2312" w:hAnsi="宋体" w:eastAsia="仿宋_GB2312"/>
                <w:b/>
                <w:kern w:val="0"/>
                <w:sz w:val="24"/>
                <w:highlight w:val="none"/>
              </w:rPr>
            </w:pPr>
          </w:p>
        </w:tc>
        <w:tc>
          <w:tcPr>
            <w:tcW w:w="1314" w:type="dxa"/>
          </w:tcPr>
          <w:p>
            <w:pPr>
              <w:widowControl/>
              <w:outlineLvl w:val="1"/>
              <w:rPr>
                <w:rFonts w:ascii="仿宋_GB2312" w:hAnsi="宋体" w:eastAsia="仿宋_GB2312"/>
                <w:b/>
                <w:kern w:val="0"/>
                <w:sz w:val="24"/>
                <w:highlight w:val="none"/>
              </w:rPr>
            </w:pP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公务接待费</w:t>
            </w:r>
          </w:p>
        </w:tc>
        <w:tc>
          <w:tcPr>
            <w:tcW w:w="1215" w:type="dxa"/>
          </w:tcPr>
          <w:p>
            <w:pPr>
              <w:widowControl/>
              <w:outlineLvl w:val="1"/>
              <w:rPr>
                <w:rFonts w:ascii="仿宋_GB2312" w:hAnsi="宋体" w:eastAsia="仿宋_GB2312"/>
                <w:b/>
                <w:kern w:val="0"/>
                <w:sz w:val="24"/>
                <w:highlight w:val="none"/>
              </w:rPr>
            </w:pPr>
          </w:p>
        </w:tc>
        <w:tc>
          <w:tcPr>
            <w:tcW w:w="1314" w:type="dxa"/>
          </w:tcPr>
          <w:p>
            <w:pPr>
              <w:widowControl/>
              <w:outlineLvl w:val="1"/>
              <w:rPr>
                <w:rFonts w:ascii="仿宋_GB2312" w:hAnsi="宋体" w:eastAsia="仿宋_GB2312"/>
                <w:b/>
                <w:kern w:val="0"/>
                <w:sz w:val="24"/>
                <w:highlight w:val="none"/>
              </w:rPr>
            </w:pP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公务用车购置及运行费</w:t>
            </w:r>
          </w:p>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（小计）</w:t>
            </w:r>
          </w:p>
        </w:tc>
        <w:tc>
          <w:tcPr>
            <w:tcW w:w="1215"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314"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41" w:firstLineChars="100"/>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其中：公务用车购置费</w:t>
            </w:r>
          </w:p>
        </w:tc>
        <w:tc>
          <w:tcPr>
            <w:tcW w:w="1215" w:type="dxa"/>
          </w:tcPr>
          <w:p>
            <w:pPr>
              <w:widowControl/>
              <w:outlineLvl w:val="1"/>
              <w:rPr>
                <w:rFonts w:ascii="仿宋_GB2312" w:hAnsi="宋体" w:eastAsia="仿宋_GB2312"/>
                <w:b/>
                <w:kern w:val="0"/>
                <w:sz w:val="24"/>
                <w:highlight w:val="none"/>
              </w:rPr>
            </w:pPr>
          </w:p>
        </w:tc>
        <w:tc>
          <w:tcPr>
            <w:tcW w:w="1314" w:type="dxa"/>
          </w:tcPr>
          <w:p>
            <w:pPr>
              <w:widowControl/>
              <w:outlineLvl w:val="1"/>
              <w:rPr>
                <w:rFonts w:ascii="仿宋_GB2312" w:hAnsi="宋体" w:eastAsia="仿宋_GB2312"/>
                <w:b/>
                <w:kern w:val="0"/>
                <w:sz w:val="24"/>
                <w:highlight w:val="none"/>
              </w:rPr>
            </w:pP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 xml:space="preserve">     </w:t>
            </w:r>
            <w:r>
              <w:rPr>
                <w:rFonts w:ascii="仿宋_GB2312" w:hAnsi="宋体" w:eastAsia="仿宋_GB2312"/>
                <w:b/>
                <w:kern w:val="0"/>
                <w:sz w:val="24"/>
                <w:highlight w:val="none"/>
              </w:rPr>
              <w:t xml:space="preserve">  </w:t>
            </w:r>
            <w:r>
              <w:rPr>
                <w:rFonts w:hint="eastAsia" w:ascii="仿宋_GB2312" w:hAnsi="宋体" w:eastAsia="仿宋_GB2312"/>
                <w:b/>
                <w:kern w:val="0"/>
                <w:sz w:val="24"/>
                <w:highlight w:val="none"/>
              </w:rPr>
              <w:t xml:space="preserve"> 公务用车运行费</w:t>
            </w:r>
          </w:p>
        </w:tc>
        <w:tc>
          <w:tcPr>
            <w:tcW w:w="1215"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314"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w:t>
            </w:r>
          </w:p>
        </w:tc>
        <w:tc>
          <w:tcPr>
            <w:tcW w:w="1595" w:type="dxa"/>
          </w:tcPr>
          <w:p>
            <w:pPr>
              <w:widowControl/>
              <w:outlineLvl w:val="1"/>
              <w:rPr>
                <w:rFonts w:ascii="仿宋_GB2312" w:hAnsi="宋体" w:eastAsia="仿宋_GB2312"/>
                <w:b/>
                <w:kern w:val="0"/>
                <w:sz w:val="24"/>
                <w:highlight w:val="none"/>
              </w:rPr>
            </w:pPr>
          </w:p>
        </w:tc>
        <w:tc>
          <w:tcPr>
            <w:tcW w:w="1621" w:type="dxa"/>
          </w:tcPr>
          <w:p>
            <w:pPr>
              <w:widowControl/>
              <w:outlineLvl w:val="1"/>
              <w:rPr>
                <w:rFonts w:ascii="仿宋_GB2312" w:hAnsi="宋体" w:eastAsia="仿宋_GB2312"/>
                <w:b/>
                <w:kern w:val="0"/>
                <w:sz w:val="24"/>
                <w:highlight w:val="none"/>
              </w:rPr>
            </w:pPr>
          </w:p>
        </w:tc>
      </w:tr>
    </w:tbl>
    <w:p>
      <w:pPr>
        <w:spacing w:line="600" w:lineRule="exact"/>
        <w:ind w:firstLine="2891" w:firstLineChars="900"/>
        <w:rPr>
          <w:rFonts w:ascii="仿宋_GB2312" w:hAnsi="宋体" w:eastAsia="仿宋_GB2312"/>
          <w:b/>
          <w:kern w:val="0"/>
          <w:sz w:val="32"/>
          <w:szCs w:val="32"/>
          <w:highlight w:val="none"/>
          <w:lang w:eastAsia="zh-Hans"/>
        </w:rPr>
      </w:pPr>
    </w:p>
    <w:p>
      <w:pPr>
        <w:widowControl/>
        <w:jc w:val="left"/>
        <w:textAlignment w:val="bottom"/>
        <w:rPr>
          <w:rFonts w:ascii="宋体" w:hAnsi="宋体" w:cs="宋体"/>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仿宋" w:hAnsi="仿宋" w:eastAsia="仿宋" w:cs="仿宋_GB2312"/>
          <w:bCs/>
          <w:kern w:val="0"/>
          <w:sz w:val="28"/>
          <w:szCs w:val="28"/>
          <w:highlight w:val="none"/>
        </w:rPr>
      </w:pPr>
      <w:r>
        <w:rPr>
          <w:rFonts w:hint="eastAsia" w:ascii="宋体" w:hAnsi="宋体" w:cs="宋体"/>
          <w:kern w:val="0"/>
          <w:sz w:val="20"/>
          <w:szCs w:val="20"/>
          <w:highlight w:val="none"/>
          <w:lang w:bidi="ar"/>
        </w:rPr>
        <w:t>表</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1</w:t>
      </w:r>
    </w:p>
    <w:p>
      <w:pPr>
        <w:spacing w:line="600" w:lineRule="exact"/>
        <w:ind w:firstLine="2891" w:firstLineChars="900"/>
        <w:rPr>
          <w:rFonts w:ascii="仿宋_GB2312" w:hAnsi="宋体" w:eastAsia="仿宋_GB2312"/>
          <w:b/>
          <w:kern w:val="0"/>
          <w:sz w:val="32"/>
          <w:szCs w:val="32"/>
          <w:highlight w:val="none"/>
          <w:lang w:eastAsia="zh-Hans"/>
        </w:rPr>
      </w:pPr>
      <w:r>
        <w:rPr>
          <w:rFonts w:hint="eastAsia" w:ascii="仿宋_GB2312" w:hAnsi="宋体" w:eastAsia="仿宋_GB2312"/>
          <w:b/>
          <w:kern w:val="0"/>
          <w:sz w:val="32"/>
          <w:szCs w:val="32"/>
          <w:highlight w:val="none"/>
          <w:lang w:eastAsia="zh-Hans"/>
        </w:rPr>
        <w:t>上年结转</w:t>
      </w:r>
      <w:r>
        <w:rPr>
          <w:rFonts w:hint="eastAsia" w:ascii="仿宋_GB2312" w:hAnsi="宋体" w:eastAsia="仿宋_GB2312"/>
          <w:b/>
          <w:kern w:val="0"/>
          <w:sz w:val="32"/>
          <w:szCs w:val="32"/>
          <w:highlight w:val="none"/>
        </w:rPr>
        <w:t>结余</w:t>
      </w:r>
      <w:r>
        <w:rPr>
          <w:rFonts w:hint="eastAsia" w:ascii="仿宋_GB2312" w:hAnsi="宋体" w:eastAsia="仿宋_GB2312"/>
          <w:b/>
          <w:kern w:val="0"/>
          <w:sz w:val="32"/>
          <w:szCs w:val="32"/>
          <w:highlight w:val="none"/>
          <w:lang w:eastAsia="zh-Hans"/>
        </w:rPr>
        <w:t>情况明细表</w:t>
      </w:r>
    </w:p>
    <w:p>
      <w:pPr>
        <w:wordWrap w:val="0"/>
        <w:jc w:val="left"/>
        <w:rPr>
          <w:rFonts w:ascii="仿宋_GB2312" w:hAnsi="宋体" w:eastAsia="仿宋_GB2312"/>
          <w:b/>
          <w:kern w:val="0"/>
          <w:sz w:val="32"/>
          <w:szCs w:val="32"/>
          <w:highlight w:val="none"/>
          <w:lang w:eastAsia="zh-Hans"/>
        </w:rPr>
      </w:pPr>
      <w:r>
        <w:rPr>
          <w:rFonts w:hint="eastAsia" w:ascii="仿宋_GB2312" w:hAnsi="宋体" w:eastAsia="仿宋_GB2312"/>
          <w:kern w:val="0"/>
          <w:sz w:val="24"/>
          <w:highlight w:val="none"/>
        </w:rPr>
        <w:t>编制部门：呼图壁县苗木花卉产业园区管理委员会                  单位：万元</w:t>
      </w:r>
    </w:p>
    <w:tbl>
      <w:tblPr>
        <w:tblStyle w:val="12"/>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2024年访惠聚为民办实事-村级支出</w:t>
            </w:r>
          </w:p>
        </w:tc>
        <w:tc>
          <w:tcPr>
            <w:tcW w:w="850"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4.86</w:t>
            </w:r>
          </w:p>
        </w:tc>
        <w:tc>
          <w:tcPr>
            <w:tcW w:w="1054"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4.86</w:t>
            </w:r>
          </w:p>
        </w:tc>
        <w:tc>
          <w:tcPr>
            <w:tcW w:w="890" w:type="dxa"/>
            <w:vAlign w:val="center"/>
          </w:tcPr>
          <w:p>
            <w:pPr>
              <w:widowControl/>
              <w:spacing w:line="280" w:lineRule="exact"/>
              <w:jc w:val="center"/>
              <w:rPr>
                <w:rFonts w:ascii="仿宋" w:hAnsi="仿宋" w:eastAsia="仿宋" w:cs="仿宋"/>
                <w:b/>
                <w:bCs/>
                <w:kern w:val="0"/>
                <w:sz w:val="18"/>
                <w:szCs w:val="18"/>
                <w:highlight w:val="none"/>
              </w:rPr>
            </w:pPr>
          </w:p>
        </w:tc>
        <w:tc>
          <w:tcPr>
            <w:tcW w:w="714" w:type="dxa"/>
            <w:vAlign w:val="center"/>
          </w:tcPr>
          <w:p>
            <w:pPr>
              <w:widowControl/>
              <w:spacing w:line="280" w:lineRule="exact"/>
              <w:jc w:val="center"/>
              <w:rPr>
                <w:rFonts w:ascii="仿宋" w:hAnsi="仿宋" w:eastAsia="仿宋" w:cs="仿宋"/>
                <w:b/>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4.86</w:t>
            </w:r>
          </w:p>
        </w:tc>
        <w:tc>
          <w:tcPr>
            <w:tcW w:w="797" w:type="dxa"/>
            <w:vAlign w:val="center"/>
          </w:tcPr>
          <w:p>
            <w:pPr>
              <w:spacing w:line="600" w:lineRule="exact"/>
              <w:jc w:val="center"/>
              <w:rPr>
                <w:rFonts w:ascii="仿宋" w:hAnsi="仿宋" w:eastAsia="仿宋" w:cs="仿宋"/>
                <w:bCs/>
                <w:kern w:val="0"/>
                <w:sz w:val="18"/>
                <w:szCs w:val="18"/>
                <w:highlight w:val="none"/>
              </w:rPr>
            </w:pPr>
          </w:p>
        </w:tc>
        <w:tc>
          <w:tcPr>
            <w:tcW w:w="723" w:type="dxa"/>
            <w:vAlign w:val="center"/>
          </w:tcPr>
          <w:p>
            <w:pPr>
              <w:spacing w:line="600" w:lineRule="exact"/>
              <w:jc w:val="center"/>
              <w:rPr>
                <w:rFonts w:ascii="仿宋" w:hAnsi="仿宋" w:eastAsia="仿宋" w:cs="仿宋"/>
                <w:bCs/>
                <w:kern w:val="0"/>
                <w:sz w:val="18"/>
                <w:szCs w:val="18"/>
                <w:highlight w:val="none"/>
              </w:rPr>
            </w:pPr>
          </w:p>
        </w:tc>
        <w:tc>
          <w:tcPr>
            <w:tcW w:w="881" w:type="dxa"/>
            <w:vAlign w:val="center"/>
          </w:tcPr>
          <w:p>
            <w:pPr>
              <w:spacing w:line="600" w:lineRule="exact"/>
              <w:jc w:val="center"/>
              <w:rPr>
                <w:rFonts w:ascii="仿宋" w:hAnsi="仿宋" w:eastAsia="仿宋" w:cs="仿宋"/>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2024年访惠聚为民办实事-村级支出</w:t>
            </w:r>
          </w:p>
        </w:tc>
        <w:tc>
          <w:tcPr>
            <w:tcW w:w="850"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0.04</w:t>
            </w:r>
          </w:p>
        </w:tc>
        <w:tc>
          <w:tcPr>
            <w:tcW w:w="1054"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0.04</w:t>
            </w:r>
          </w:p>
        </w:tc>
        <w:tc>
          <w:tcPr>
            <w:tcW w:w="890" w:type="dxa"/>
            <w:vAlign w:val="center"/>
          </w:tcPr>
          <w:p>
            <w:pPr>
              <w:widowControl/>
              <w:spacing w:line="280" w:lineRule="exact"/>
              <w:jc w:val="center"/>
              <w:rPr>
                <w:rFonts w:ascii="仿宋" w:hAnsi="仿宋" w:eastAsia="仿宋" w:cs="仿宋"/>
                <w:b/>
                <w:bCs/>
                <w:kern w:val="0"/>
                <w:sz w:val="18"/>
                <w:szCs w:val="18"/>
                <w:highlight w:val="none"/>
              </w:rPr>
            </w:pPr>
          </w:p>
        </w:tc>
        <w:tc>
          <w:tcPr>
            <w:tcW w:w="714" w:type="dxa"/>
            <w:vAlign w:val="center"/>
          </w:tcPr>
          <w:p>
            <w:pPr>
              <w:widowControl/>
              <w:spacing w:line="280" w:lineRule="exact"/>
              <w:jc w:val="center"/>
              <w:rPr>
                <w:rFonts w:ascii="仿宋" w:hAnsi="仿宋" w:eastAsia="仿宋" w:cs="仿宋"/>
                <w:b/>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0.04</w:t>
            </w:r>
          </w:p>
        </w:tc>
        <w:tc>
          <w:tcPr>
            <w:tcW w:w="797" w:type="dxa"/>
            <w:vAlign w:val="center"/>
          </w:tcPr>
          <w:p>
            <w:pPr>
              <w:spacing w:line="600" w:lineRule="exact"/>
              <w:jc w:val="center"/>
              <w:rPr>
                <w:rFonts w:ascii="仿宋" w:hAnsi="仿宋" w:eastAsia="仿宋" w:cs="仿宋"/>
                <w:bCs/>
                <w:kern w:val="0"/>
                <w:sz w:val="18"/>
                <w:szCs w:val="18"/>
                <w:highlight w:val="none"/>
              </w:rPr>
            </w:pPr>
          </w:p>
        </w:tc>
        <w:tc>
          <w:tcPr>
            <w:tcW w:w="723" w:type="dxa"/>
            <w:vAlign w:val="center"/>
          </w:tcPr>
          <w:p>
            <w:pPr>
              <w:spacing w:line="600" w:lineRule="exact"/>
              <w:jc w:val="center"/>
              <w:rPr>
                <w:rFonts w:ascii="仿宋" w:hAnsi="仿宋" w:eastAsia="仿宋" w:cs="仿宋"/>
                <w:bCs/>
                <w:kern w:val="0"/>
                <w:sz w:val="18"/>
                <w:szCs w:val="18"/>
                <w:highlight w:val="none"/>
              </w:rPr>
            </w:pPr>
          </w:p>
        </w:tc>
        <w:tc>
          <w:tcPr>
            <w:tcW w:w="881" w:type="dxa"/>
            <w:vAlign w:val="center"/>
          </w:tcPr>
          <w:p>
            <w:pPr>
              <w:spacing w:line="600" w:lineRule="exact"/>
              <w:jc w:val="center"/>
              <w:rPr>
                <w:rFonts w:ascii="仿宋" w:hAnsi="仿宋" w:eastAsia="仿宋" w:cs="仿宋"/>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2024年自治区科技计划专项资金（第三批）-呼图壁县自治区农业科技园区2024年科研项目资金</w:t>
            </w:r>
          </w:p>
        </w:tc>
        <w:tc>
          <w:tcPr>
            <w:tcW w:w="850"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15</w:t>
            </w:r>
          </w:p>
        </w:tc>
        <w:tc>
          <w:tcPr>
            <w:tcW w:w="1054"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15</w:t>
            </w:r>
          </w:p>
        </w:tc>
        <w:tc>
          <w:tcPr>
            <w:tcW w:w="890" w:type="dxa"/>
            <w:vAlign w:val="center"/>
          </w:tcPr>
          <w:p>
            <w:pPr>
              <w:widowControl/>
              <w:spacing w:line="280" w:lineRule="exact"/>
              <w:jc w:val="center"/>
              <w:rPr>
                <w:rFonts w:ascii="仿宋" w:hAnsi="仿宋" w:eastAsia="仿宋" w:cs="仿宋"/>
                <w:b/>
                <w:bCs/>
                <w:kern w:val="0"/>
                <w:sz w:val="18"/>
                <w:szCs w:val="18"/>
                <w:highlight w:val="none"/>
              </w:rPr>
            </w:pPr>
          </w:p>
        </w:tc>
        <w:tc>
          <w:tcPr>
            <w:tcW w:w="714" w:type="dxa"/>
            <w:vAlign w:val="center"/>
          </w:tcPr>
          <w:p>
            <w:pPr>
              <w:widowControl/>
              <w:spacing w:line="280" w:lineRule="exact"/>
              <w:jc w:val="center"/>
              <w:rPr>
                <w:rFonts w:ascii="仿宋" w:hAnsi="仿宋" w:eastAsia="仿宋" w:cs="仿宋"/>
                <w:b/>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Cs/>
                <w:kern w:val="0"/>
                <w:sz w:val="18"/>
                <w:szCs w:val="18"/>
                <w:highlight w:val="none"/>
              </w:rPr>
              <w:t>15</w:t>
            </w:r>
          </w:p>
        </w:tc>
        <w:tc>
          <w:tcPr>
            <w:tcW w:w="797" w:type="dxa"/>
            <w:vAlign w:val="center"/>
          </w:tcPr>
          <w:p>
            <w:pPr>
              <w:spacing w:line="600" w:lineRule="exact"/>
              <w:jc w:val="center"/>
              <w:rPr>
                <w:rFonts w:ascii="仿宋" w:hAnsi="仿宋" w:eastAsia="仿宋" w:cs="仿宋"/>
                <w:bCs/>
                <w:kern w:val="0"/>
                <w:sz w:val="18"/>
                <w:szCs w:val="18"/>
                <w:highlight w:val="none"/>
              </w:rPr>
            </w:pPr>
          </w:p>
        </w:tc>
        <w:tc>
          <w:tcPr>
            <w:tcW w:w="723" w:type="dxa"/>
            <w:vAlign w:val="center"/>
          </w:tcPr>
          <w:p>
            <w:pPr>
              <w:spacing w:line="600" w:lineRule="exact"/>
              <w:jc w:val="center"/>
              <w:rPr>
                <w:rFonts w:ascii="仿宋" w:hAnsi="仿宋" w:eastAsia="仿宋" w:cs="仿宋"/>
                <w:bCs/>
                <w:kern w:val="0"/>
                <w:sz w:val="18"/>
                <w:szCs w:val="18"/>
                <w:highlight w:val="none"/>
              </w:rPr>
            </w:pPr>
          </w:p>
        </w:tc>
        <w:tc>
          <w:tcPr>
            <w:tcW w:w="881" w:type="dxa"/>
            <w:vAlign w:val="center"/>
          </w:tcPr>
          <w:p>
            <w:pPr>
              <w:spacing w:line="600" w:lineRule="exact"/>
              <w:jc w:val="center"/>
              <w:rPr>
                <w:rFonts w:ascii="仿宋" w:hAnsi="仿宋" w:eastAsia="仿宋" w:cs="仿宋"/>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
                <w:bCs/>
                <w:kern w:val="0"/>
                <w:sz w:val="18"/>
                <w:szCs w:val="18"/>
                <w:highlight w:val="none"/>
              </w:rPr>
            </w:pPr>
            <w:r>
              <w:rPr>
                <w:rFonts w:hint="eastAsia" w:ascii="仿宋" w:hAnsi="仿宋" w:eastAsia="仿宋" w:cs="仿宋"/>
                <w:b/>
                <w:bCs/>
                <w:kern w:val="0"/>
                <w:sz w:val="18"/>
                <w:szCs w:val="18"/>
                <w:highlight w:val="none"/>
              </w:rPr>
              <w:t>总计</w:t>
            </w:r>
          </w:p>
        </w:tc>
        <w:tc>
          <w:tcPr>
            <w:tcW w:w="850" w:type="dxa"/>
            <w:vAlign w:val="center"/>
          </w:tcPr>
          <w:p>
            <w:pPr>
              <w:spacing w:line="600" w:lineRule="exact"/>
              <w:jc w:val="center"/>
              <w:rPr>
                <w:rFonts w:ascii="仿宋" w:hAnsi="仿宋" w:eastAsia="仿宋" w:cs="仿宋"/>
                <w:b/>
                <w:kern w:val="0"/>
                <w:sz w:val="18"/>
                <w:szCs w:val="18"/>
                <w:highlight w:val="none"/>
              </w:rPr>
            </w:pPr>
            <w:r>
              <w:rPr>
                <w:rFonts w:hint="eastAsia" w:ascii="仿宋" w:hAnsi="仿宋" w:eastAsia="仿宋" w:cs="仿宋"/>
                <w:b/>
                <w:kern w:val="0"/>
                <w:sz w:val="18"/>
                <w:szCs w:val="18"/>
                <w:highlight w:val="none"/>
              </w:rPr>
              <w:t>19.9</w:t>
            </w:r>
          </w:p>
        </w:tc>
        <w:tc>
          <w:tcPr>
            <w:tcW w:w="1054" w:type="dxa"/>
            <w:vAlign w:val="center"/>
          </w:tcPr>
          <w:p>
            <w:pPr>
              <w:spacing w:line="600" w:lineRule="exact"/>
              <w:jc w:val="center"/>
              <w:rPr>
                <w:rFonts w:ascii="仿宋" w:hAnsi="仿宋" w:eastAsia="仿宋" w:cs="仿宋"/>
                <w:b/>
                <w:kern w:val="0"/>
                <w:sz w:val="18"/>
                <w:szCs w:val="18"/>
                <w:highlight w:val="none"/>
              </w:rPr>
            </w:pPr>
            <w:r>
              <w:rPr>
                <w:rFonts w:hint="eastAsia" w:ascii="仿宋" w:hAnsi="仿宋" w:eastAsia="仿宋" w:cs="仿宋"/>
                <w:b/>
                <w:kern w:val="0"/>
                <w:sz w:val="18"/>
                <w:szCs w:val="18"/>
                <w:highlight w:val="none"/>
              </w:rPr>
              <w:t>19.9</w:t>
            </w:r>
          </w:p>
        </w:tc>
        <w:tc>
          <w:tcPr>
            <w:tcW w:w="890" w:type="dxa"/>
            <w:vAlign w:val="center"/>
          </w:tcPr>
          <w:p>
            <w:pPr>
              <w:widowControl/>
              <w:spacing w:line="280" w:lineRule="exact"/>
              <w:jc w:val="center"/>
              <w:rPr>
                <w:rFonts w:ascii="仿宋" w:hAnsi="仿宋" w:eastAsia="仿宋" w:cs="仿宋"/>
                <w:b/>
                <w:kern w:val="0"/>
                <w:sz w:val="18"/>
                <w:szCs w:val="18"/>
                <w:highlight w:val="none"/>
              </w:rPr>
            </w:pPr>
          </w:p>
        </w:tc>
        <w:tc>
          <w:tcPr>
            <w:tcW w:w="714" w:type="dxa"/>
            <w:vAlign w:val="center"/>
          </w:tcPr>
          <w:p>
            <w:pPr>
              <w:widowControl/>
              <w:spacing w:line="280" w:lineRule="exact"/>
              <w:jc w:val="center"/>
              <w:rPr>
                <w:rFonts w:ascii="仿宋" w:hAnsi="仿宋" w:eastAsia="仿宋" w:cs="仿宋"/>
                <w:b/>
                <w:kern w:val="0"/>
                <w:sz w:val="18"/>
                <w:szCs w:val="18"/>
                <w:highlight w:val="none"/>
              </w:rPr>
            </w:pPr>
          </w:p>
        </w:tc>
        <w:tc>
          <w:tcPr>
            <w:tcW w:w="1211" w:type="dxa"/>
            <w:vAlign w:val="center"/>
          </w:tcPr>
          <w:p>
            <w:pPr>
              <w:spacing w:line="600" w:lineRule="exact"/>
              <w:jc w:val="center"/>
              <w:rPr>
                <w:rFonts w:ascii="仿宋" w:hAnsi="仿宋" w:eastAsia="仿宋" w:cs="仿宋"/>
                <w:b/>
                <w:kern w:val="0"/>
                <w:sz w:val="18"/>
                <w:szCs w:val="18"/>
                <w:highlight w:val="none"/>
              </w:rPr>
            </w:pPr>
            <w:r>
              <w:rPr>
                <w:rFonts w:hint="eastAsia" w:ascii="仿宋" w:hAnsi="仿宋" w:eastAsia="仿宋" w:cs="仿宋"/>
                <w:b/>
                <w:kern w:val="0"/>
                <w:sz w:val="18"/>
                <w:szCs w:val="18"/>
                <w:highlight w:val="none"/>
              </w:rPr>
              <w:t>19.9</w:t>
            </w:r>
          </w:p>
        </w:tc>
        <w:tc>
          <w:tcPr>
            <w:tcW w:w="797" w:type="dxa"/>
            <w:vAlign w:val="center"/>
          </w:tcPr>
          <w:p>
            <w:pPr>
              <w:spacing w:line="600" w:lineRule="exact"/>
              <w:jc w:val="center"/>
              <w:rPr>
                <w:rFonts w:ascii="仿宋" w:hAnsi="仿宋" w:eastAsia="仿宋" w:cs="仿宋"/>
                <w:bCs/>
                <w:kern w:val="0"/>
                <w:sz w:val="18"/>
                <w:szCs w:val="18"/>
                <w:highlight w:val="none"/>
              </w:rPr>
            </w:pPr>
          </w:p>
        </w:tc>
        <w:tc>
          <w:tcPr>
            <w:tcW w:w="723" w:type="dxa"/>
            <w:vAlign w:val="center"/>
          </w:tcPr>
          <w:p>
            <w:pPr>
              <w:spacing w:line="600" w:lineRule="exact"/>
              <w:jc w:val="center"/>
              <w:rPr>
                <w:rFonts w:ascii="仿宋" w:hAnsi="仿宋" w:eastAsia="仿宋" w:cs="仿宋"/>
                <w:bCs/>
                <w:kern w:val="0"/>
                <w:sz w:val="18"/>
                <w:szCs w:val="18"/>
                <w:highlight w:val="none"/>
              </w:rPr>
            </w:pPr>
          </w:p>
        </w:tc>
        <w:tc>
          <w:tcPr>
            <w:tcW w:w="881" w:type="dxa"/>
            <w:vAlign w:val="center"/>
          </w:tcPr>
          <w:p>
            <w:pPr>
              <w:spacing w:line="600" w:lineRule="exact"/>
              <w:jc w:val="center"/>
              <w:rPr>
                <w:rFonts w:ascii="仿宋" w:hAnsi="仿宋" w:eastAsia="仿宋" w:cs="仿宋"/>
                <w:bCs/>
                <w:kern w:val="0"/>
                <w:sz w:val="18"/>
                <w:szCs w:val="18"/>
                <w:highlight w:val="none"/>
              </w:rPr>
            </w:pPr>
          </w:p>
        </w:tc>
        <w:tc>
          <w:tcPr>
            <w:tcW w:w="1211" w:type="dxa"/>
            <w:vAlign w:val="center"/>
          </w:tcPr>
          <w:p>
            <w:pPr>
              <w:spacing w:line="600" w:lineRule="exact"/>
              <w:jc w:val="center"/>
              <w:rPr>
                <w:rFonts w:ascii="仿宋" w:hAnsi="仿宋" w:eastAsia="仿宋" w:cs="仿宋"/>
                <w:bCs/>
                <w:kern w:val="0"/>
                <w:sz w:val="18"/>
                <w:szCs w:val="18"/>
                <w:highlight w:val="none"/>
              </w:rPr>
            </w:pPr>
          </w:p>
        </w:tc>
      </w:tr>
    </w:tbl>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第三部分  2025年呼图壁县苗木花卉产业园区管理委员会预算情况说明</w:t>
      </w:r>
    </w:p>
    <w:p>
      <w:pPr>
        <w:spacing w:line="600" w:lineRule="exact"/>
        <w:ind w:firstLine="640" w:firstLineChars="200"/>
        <w:rPr>
          <w:rFonts w:ascii="黑体" w:hAnsi="黑体" w:eastAsia="黑体"/>
          <w:kern w:val="0"/>
          <w:sz w:val="32"/>
          <w:szCs w:val="32"/>
          <w:highlight w:val="none"/>
        </w:rPr>
      </w:pPr>
    </w:p>
    <w:p>
      <w:pPr>
        <w:spacing w:line="60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一、关于呼图壁县苗木花卉产业园区管理委员会2025年收支预算情况的总体说明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w:t>
      </w:r>
      <w:r>
        <w:rPr>
          <w:rFonts w:hint="eastAsia" w:ascii="仿宋" w:hAnsi="仿宋" w:eastAsia="仿宋" w:cs="仿宋"/>
          <w:kern w:val="0"/>
          <w:sz w:val="32"/>
          <w:szCs w:val="32"/>
          <w:highlight w:val="none"/>
        </w:rPr>
        <w:t>呼图壁县苗木花卉产业园区管理委员会2025</w:t>
      </w:r>
      <w:r>
        <w:rPr>
          <w:rFonts w:hint="eastAsia" w:ascii="仿宋_GB2312" w:hAnsi="宋体" w:eastAsia="仿宋_GB2312" w:cs="宋体"/>
          <w:kern w:val="0"/>
          <w:sz w:val="32"/>
          <w:szCs w:val="32"/>
          <w:highlight w:val="none"/>
        </w:rPr>
        <w:t>年所有收入和支出均纳入部门预算管理。收支总预算409.96万元。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eastAsia="zh-Hans"/>
        </w:rPr>
        <w:t>单位资金、财政拨款结转结余</w:t>
      </w:r>
      <w:r>
        <w:rPr>
          <w:rFonts w:hint="eastAsia" w:ascii="仿宋_GB2312" w:hAnsi="宋体" w:eastAsia="仿宋_GB2312" w:cs="宋体"/>
          <w:kern w:val="0"/>
          <w:sz w:val="32"/>
          <w:szCs w:val="32"/>
          <w:highlight w:val="none"/>
        </w:rPr>
        <w:t>。</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支出预算包括：科学技术支出、社会保障和就业支出、卫生健康支出、农林水支出、住房保障支出。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w:t>
      </w:r>
      <w:r>
        <w:rPr>
          <w:rFonts w:hint="eastAsia" w:ascii="楷体_GB2312" w:hAnsi="楷体_GB2312" w:eastAsia="楷体_GB2312" w:cs="楷体_GB2312"/>
          <w:b/>
          <w:kern w:val="0"/>
          <w:sz w:val="32"/>
          <w:szCs w:val="32"/>
          <w:highlight w:val="none"/>
        </w:rPr>
        <w:t>关于呼图壁县苗木花卉产业园区管理委员会2025年收入预算情况说明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呼图壁县苗木花卉产业园区管理委员会收入预算409.96万元，其中：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一般公共预算261.06万元，占63.68%，比</w:t>
      </w:r>
      <w:r>
        <w:rPr>
          <w:rFonts w:hint="eastAsia" w:ascii="仿宋_GB2312" w:hAnsi="宋体" w:eastAsia="仿宋_GB2312" w:cs="宋体"/>
          <w:kern w:val="0"/>
          <w:sz w:val="32"/>
          <w:szCs w:val="32"/>
          <w:highlight w:val="none"/>
        </w:rPr>
        <w:t>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rPr>
        <w:t>23.97万元，增长10.11%，主要原因是调进1人，人员工资、社保、公积金基数调整，经费增加。</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上级</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Hans"/>
        </w:rPr>
        <w:t>安排的转移支付资金</w:t>
      </w:r>
      <w:r>
        <w:rPr>
          <w:rFonts w:hint="eastAsia" w:ascii="仿宋_GB2312" w:hAnsi="宋体" w:eastAsia="仿宋_GB2312" w:cs="宋体"/>
          <w:kern w:val="0"/>
          <w:sz w:val="32"/>
          <w:szCs w:val="32"/>
          <w:highlight w:val="none"/>
        </w:rPr>
        <w:t>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上级政府性基金安排的转移支付资金</w:t>
      </w:r>
      <w:r>
        <w:rPr>
          <w:rFonts w:hint="eastAsia" w:ascii="仿宋_GB2312" w:hAnsi="宋体" w:eastAsia="仿宋_GB2312" w:cs="宋体"/>
          <w:kern w:val="0"/>
          <w:sz w:val="32"/>
          <w:szCs w:val="32"/>
          <w:highlight w:val="none"/>
        </w:rPr>
        <w:t>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上级国有资本经营预算安排的转移支付资金</w:t>
      </w:r>
      <w:r>
        <w:rPr>
          <w:rFonts w:hint="eastAsia" w:ascii="仿宋_GB2312" w:hAnsi="宋体" w:eastAsia="仿宋_GB2312" w:cs="宋体"/>
          <w:kern w:val="0"/>
          <w:sz w:val="32"/>
          <w:szCs w:val="32"/>
          <w:highlight w:val="none"/>
        </w:rPr>
        <w:t>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rPr>
        <w:t>129万元，占31.47%，</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rPr>
        <w:t>37.5万元，增长40.98%，主要原因是调入1人，人员工资、社保、公积金基数调整，经费增加。</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财政拨款结转</w:t>
      </w:r>
      <w:r>
        <w:rPr>
          <w:rFonts w:hint="eastAsia" w:ascii="仿宋_GB2312" w:hAnsi="宋体" w:eastAsia="仿宋_GB2312" w:cs="宋体"/>
          <w:kern w:val="0"/>
          <w:sz w:val="32"/>
          <w:szCs w:val="32"/>
          <w:highlight w:val="none"/>
        </w:rPr>
        <w:t>19.9万元，占4.85%，比</w:t>
      </w:r>
      <w:r>
        <w:rPr>
          <w:rFonts w:hint="eastAsia" w:ascii="仿宋_GB2312" w:hAnsi="宋体" w:eastAsia="仿宋_GB2312" w:cs="宋体"/>
          <w:kern w:val="0"/>
          <w:sz w:val="32"/>
          <w:szCs w:val="32"/>
          <w:highlight w:val="none"/>
        </w:rPr>
        <w:t>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rPr>
        <w:t>14.9万元，增长298%，主要原因是</w:t>
      </w:r>
      <w:r>
        <w:rPr>
          <w:rFonts w:hint="eastAsia" w:ascii="仿宋_GB2312" w:hAnsi="黑体" w:eastAsia="仿宋_GB2312"/>
          <w:sz w:val="32"/>
          <w:szCs w:val="32"/>
          <w:highlight w:val="none"/>
        </w:rPr>
        <w:t>2024年自治区科技计划专项资金（第三批）-呼图壁县自治区农业科技园区2024年度科研项目资金</w:t>
      </w:r>
      <w:r>
        <w:rPr>
          <w:rFonts w:hint="eastAsia" w:ascii="仿宋_GB2312" w:hAnsi="宋体" w:eastAsia="仿宋_GB2312" w:cs="宋体"/>
          <w:kern w:val="0"/>
          <w:sz w:val="32"/>
          <w:szCs w:val="32"/>
          <w:highlight w:val="none"/>
        </w:rPr>
        <w:t>、</w:t>
      </w:r>
      <w:r>
        <w:rPr>
          <w:rFonts w:hint="eastAsia" w:ascii="仿宋_GB2312" w:hAnsi="黑体" w:eastAsia="仿宋_GB2312"/>
          <w:sz w:val="32"/>
          <w:szCs w:val="32"/>
          <w:highlight w:val="none"/>
        </w:rPr>
        <w:t>2024年访惠聚为民办实事-村级支出</w:t>
      </w:r>
      <w:r>
        <w:rPr>
          <w:rFonts w:hint="eastAsia" w:ascii="仿宋_GB2312" w:hAnsi="宋体" w:eastAsia="仿宋_GB2312" w:cs="宋体"/>
          <w:kern w:val="0"/>
          <w:sz w:val="32"/>
          <w:szCs w:val="32"/>
          <w:highlight w:val="none"/>
          <w:lang w:eastAsia="zh-Hans"/>
        </w:rPr>
        <w:t>结转</w:t>
      </w:r>
      <w:r>
        <w:rPr>
          <w:rFonts w:hint="eastAsia" w:ascii="仿宋_GB2312" w:hAnsi="宋体" w:eastAsia="仿宋_GB2312" w:cs="宋体"/>
          <w:kern w:val="0"/>
          <w:sz w:val="32"/>
          <w:szCs w:val="32"/>
          <w:highlight w:val="none"/>
        </w:rPr>
        <w:t>至2025年。</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w:t>
      </w:r>
      <w:r>
        <w:rPr>
          <w:rFonts w:hint="eastAsia" w:ascii="楷体_GB2312" w:hAnsi="楷体_GB2312" w:eastAsia="楷体_GB2312" w:cs="楷体_GB2312"/>
          <w:b/>
          <w:kern w:val="0"/>
          <w:sz w:val="32"/>
          <w:szCs w:val="32"/>
          <w:highlight w:val="none"/>
        </w:rPr>
        <w:t>关于呼图壁县苗木花卉产业园区管理委员会2025年支出预算情况说明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呼图壁县苗木花卉产业园区管理委员会2025年支出预算409.96万元，其中：</w:t>
      </w:r>
    </w:p>
    <w:p>
      <w:pPr>
        <w:spacing w:line="600" w:lineRule="exact"/>
        <w:ind w:firstLine="640" w:firstLineChars="200"/>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基本支出346.06万元，占84.41%，比上年预算增加85.63万元，增长32.88%，主要原因是人员调入，工资、社保、公积金基数调整，经费增加。</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项目支出63.9万元，占15.59%，比上年预算减少9.26万元，下降12.66%，主要原因是管护林费用支出减少。</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w:t>
      </w:r>
      <w:r>
        <w:rPr>
          <w:rFonts w:hint="eastAsia" w:ascii="楷体_GB2312" w:hAnsi="楷体_GB2312" w:eastAsia="楷体_GB2312" w:cs="楷体_GB2312"/>
          <w:b/>
          <w:kern w:val="0"/>
          <w:sz w:val="32"/>
          <w:szCs w:val="32"/>
          <w:highlight w:val="none"/>
        </w:rPr>
        <w:t>关于呼图壁县苗木花卉产业园区管理委员会2025年财政拨款收支预算情况的总体说明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2025年财政拨款收支总预算261.06万元。</w:t>
      </w:r>
    </w:p>
    <w:p>
      <w:pPr>
        <w:spacing w:line="60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收入预算包括：一般公共预算拨款261.06万元。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一般公共预算支出包括：社会保障和就业支出20.89万元，</w:t>
      </w:r>
      <w:r>
        <w:rPr>
          <w:rFonts w:hint="eastAsia" w:ascii="仿宋_GB2312" w:hAnsi="宋体" w:eastAsia="仿宋_GB2312" w:cs="宋体"/>
          <w:kern w:val="0"/>
          <w:sz w:val="32"/>
          <w:szCs w:val="32"/>
          <w:highlight w:val="none"/>
          <w:lang w:val="en-US" w:eastAsia="zh-CN"/>
        </w:rPr>
        <w:t>主要</w:t>
      </w:r>
      <w:r>
        <w:rPr>
          <w:rFonts w:hint="eastAsia" w:ascii="仿宋_GB2312" w:hAnsi="宋体" w:eastAsia="仿宋_GB2312" w:cs="宋体"/>
          <w:kern w:val="0"/>
          <w:sz w:val="32"/>
          <w:szCs w:val="32"/>
          <w:highlight w:val="none"/>
        </w:rPr>
        <w:t>用于</w:t>
      </w:r>
      <w:r>
        <w:rPr>
          <w:rFonts w:hint="eastAsia" w:ascii="仿宋_GB2312" w:hAnsi="宋体" w:eastAsia="仿宋_GB2312" w:cs="宋体"/>
          <w:kern w:val="0"/>
          <w:sz w:val="32"/>
          <w:szCs w:val="32"/>
          <w:highlight w:val="none"/>
        </w:rPr>
        <w:t>职工养老保险缴费；卫生健康支出15.33万元，</w:t>
      </w:r>
      <w:r>
        <w:rPr>
          <w:rFonts w:hint="eastAsia" w:ascii="仿宋_GB2312" w:hAnsi="宋体" w:eastAsia="仿宋_GB2312" w:cs="宋体"/>
          <w:kern w:val="0"/>
          <w:sz w:val="32"/>
          <w:szCs w:val="32"/>
          <w:highlight w:val="none"/>
          <w:lang w:val="en-US" w:eastAsia="zh-CN"/>
        </w:rPr>
        <w:t>主要</w:t>
      </w:r>
      <w:r>
        <w:rPr>
          <w:rFonts w:hint="eastAsia" w:ascii="仿宋_GB2312" w:hAnsi="宋体" w:eastAsia="仿宋_GB2312" w:cs="宋体"/>
          <w:kern w:val="0"/>
          <w:sz w:val="32"/>
          <w:szCs w:val="32"/>
          <w:highlight w:val="none"/>
        </w:rPr>
        <w:t>用于职工医疗保险缴费；农林水支出208.19万元，</w:t>
      </w:r>
      <w:r>
        <w:rPr>
          <w:rFonts w:hint="eastAsia" w:ascii="仿宋_GB2312" w:hAnsi="宋体" w:eastAsia="仿宋_GB2312" w:cs="宋体"/>
          <w:kern w:val="0"/>
          <w:sz w:val="32"/>
          <w:szCs w:val="32"/>
          <w:highlight w:val="none"/>
          <w:lang w:val="en-US" w:eastAsia="zh-CN"/>
        </w:rPr>
        <w:t>主要</w:t>
      </w:r>
      <w:r>
        <w:rPr>
          <w:rFonts w:hint="eastAsia" w:ascii="仿宋_GB2312" w:hAnsi="宋体" w:eastAsia="仿宋_GB2312" w:cs="宋体"/>
          <w:kern w:val="0"/>
          <w:sz w:val="32"/>
          <w:szCs w:val="32"/>
          <w:highlight w:val="none"/>
        </w:rPr>
        <w:t>用于</w:t>
      </w:r>
      <w:r>
        <w:rPr>
          <w:rFonts w:hint="eastAsia" w:ascii="仿宋_GB2312" w:hAnsi="宋体" w:eastAsia="仿宋_GB2312" w:cs="宋体"/>
          <w:kern w:val="0"/>
          <w:sz w:val="32"/>
          <w:szCs w:val="32"/>
          <w:highlight w:val="none"/>
        </w:rPr>
        <w:t>在职工资福利支出、对个人和家庭的补助及单位公用经费支出；住房保障支出16.64万元，用于缴纳职工住房公积金。</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kern w:val="0"/>
          <w:sz w:val="32"/>
          <w:szCs w:val="32"/>
          <w:highlight w:val="none"/>
        </w:rPr>
        <w:t>关于呼图壁县苗木花卉产业园区管理委员会2025年一般公共预算当年拨款情况说明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ascii="仿宋_GB2312" w:hAnsi="宋体" w:eastAsia="仿宋_GB2312" w:cs="宋体"/>
          <w:b/>
          <w:kern w:val="0"/>
          <w:sz w:val="32"/>
          <w:szCs w:val="32"/>
          <w:highlight w:val="none"/>
        </w:rPr>
      </w:pPr>
      <w:r>
        <w:rPr>
          <w:rFonts w:hint="eastAsia" w:ascii="仿宋_GB2312" w:hAnsi="仿宋_GB2312" w:eastAsia="仿宋_GB2312" w:cs="仿宋_GB2312"/>
          <w:kern w:val="0"/>
          <w:sz w:val="32"/>
          <w:szCs w:val="32"/>
          <w:highlight w:val="none"/>
        </w:rPr>
        <w:t>呼图壁县苗木花卉产业园区管理委员会2025年一般公共预算拨款合计261.06万元，其中：基本支出217.06万元，比上年预算增加39.97万元，增长22.57%，主要原因是：</w:t>
      </w:r>
      <w:r>
        <w:rPr>
          <w:rFonts w:hint="eastAsia" w:ascii="仿宋_GB2312" w:hAnsi="宋体" w:eastAsia="仿宋_GB2312" w:cs="宋体"/>
          <w:kern w:val="0"/>
          <w:sz w:val="32"/>
          <w:szCs w:val="32"/>
          <w:highlight w:val="none"/>
        </w:rPr>
        <w:t>人员调入，工资、社保、公积金基数调整，经费增加。</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项目支出44万元，比上年预算减少21万元，下降32.31%，主要原因是：2025年</w:t>
      </w:r>
      <w:r>
        <w:rPr>
          <w:rFonts w:hint="eastAsia" w:ascii="仿宋_GB2312" w:hAnsi="宋体" w:eastAsia="仿宋_GB2312" w:cs="宋体"/>
          <w:kern w:val="0"/>
          <w:sz w:val="32"/>
          <w:szCs w:val="32"/>
          <w:highlight w:val="none"/>
        </w:rPr>
        <w:t>管护林预算费用减少。</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widowControl/>
        <w:ind w:firstLine="640" w:firstLineChars="200"/>
        <w:jc w:val="left"/>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color w:val="000000"/>
          <w:kern w:val="0"/>
          <w:sz w:val="31"/>
          <w:szCs w:val="31"/>
          <w:highlight w:val="none"/>
          <w:lang w:bidi="ar"/>
        </w:rPr>
        <w:t>社会保障和就业支出（类）20.89</w:t>
      </w:r>
      <w:r>
        <w:rPr>
          <w:rFonts w:hint="eastAsia" w:ascii="仿宋_GB2312" w:hAnsi="仿宋_GB2312" w:eastAsia="仿宋_GB2312" w:cs="仿宋_GB2312"/>
          <w:kern w:val="0"/>
          <w:sz w:val="32"/>
          <w:szCs w:val="32"/>
          <w:highlight w:val="none"/>
        </w:rPr>
        <w:t>万</w:t>
      </w:r>
      <w:r>
        <w:rPr>
          <w:rFonts w:hint="eastAsia" w:ascii="仿宋_GB2312" w:hAnsi="宋体" w:eastAsia="仿宋_GB2312" w:cs="宋体"/>
          <w:kern w:val="0"/>
          <w:sz w:val="32"/>
          <w:szCs w:val="32"/>
          <w:highlight w:val="none"/>
        </w:rPr>
        <w:t>元，占8.00%。</w:t>
      </w:r>
    </w:p>
    <w:p>
      <w:pPr>
        <w:widowControl/>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2.卫生健康支出（类）15.33万元，占5.87%。</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3.农林水支出（类）208.19万元，占79.75%。</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4.住房保障支出（类）16.64万元，占6.37%。</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1.社会保障和就业支出（208类）行政事业单位养老支出（05款）事业单位离退休（02项）：2025年预算数0.62万元。比上年预算数0.94万元减少0.32万元，减少34.04%，主要原因是：退休人员医保不再纳入当年预算。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2.社会保障和就业支出（208类）行政事业单位养老支出（05款）机关事业单位基本养老保险缴费支出（05项）：2025年预算数20.27万元。比上年预算数18.38万元增长1.89万元，增长10.28%，主要原因是：社保基数调整后社保费增加。</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3.卫生健康支出（210类）行政事业单位医疗（21011款）事业单位医疗（02项）：2025年预算数为10.14万元，比上年预算9.19万元增加0.95万元，增加10.33%，主要原因是：在职医保基数随工资增长而增加缴费支出。</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卫生健康支出（210类）行政事业单位医疗（21011款）公务员医疗补助（03项）：2025年预算数为5.07万元，比上年预算2.53万元增加2.54万元，增加100.39%，主要原因是：人员调入、在职医保基数比例随工资增长而增加缴费支出。</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5.卫生健康支出（210类）行政事业单位医疗（21011款）其他行政事业单位医疗支出（99项）：2025年预算数为0.13万元，比上年预算0.06万元增加0.07万元，增加116.66%，主要原因是：人员调入、在职医保基数比例随工资增长而增加缴费支出。</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6.农林水支出（213类）林业和草原（21302款）事业机构（04项）：2025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rPr>
        <w:t>164.19万元，比上年预算130.92万元增加33.27万元，增加25.41%，主要原因是：人员调入、在职社保基数随工资增长而增加缴费支出。</w:t>
      </w:r>
    </w:p>
    <w:p>
      <w:pPr>
        <w:spacing w:line="600" w:lineRule="exact"/>
        <w:ind w:firstLine="640" w:firstLineChars="200"/>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7.农林水支出（213类）林业和草原（21302款）其他林业和草原支出（99项）：2025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rPr>
        <w:t>44万元，比上年预算60万元减少16万元，减少26.66%，主要原因是：减少绿化管护林水费电费的支出。</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8.住房保障支出（221类）住房改革支出（22102款）住房公积金（2210201项）：2025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rPr>
        <w:t>16.64</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，比上年预算15.09万元增加1.55万元，增长10.27%，主要原因是：调入1人，在职公积金基数随人员工资调整，经费增加。</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kern w:val="0"/>
          <w:sz w:val="32"/>
          <w:szCs w:val="32"/>
          <w:highlight w:val="none"/>
        </w:rPr>
        <w:t>关于呼图壁县苗木花卉产业园区管理委员会2025年一般公共预算基本支出情况说明</w:t>
      </w:r>
    </w:p>
    <w:p>
      <w:pPr>
        <w:spacing w:line="600" w:lineRule="exact"/>
        <w:ind w:firstLine="640" w:firstLineChars="200"/>
        <w:rPr>
          <w:rFonts w:ascii="仿宋_GB2312" w:hAnsi="宋体" w:eastAsia="仿宋_GB2312" w:cs="宋体"/>
          <w:spacing w:val="-6"/>
          <w:kern w:val="0"/>
          <w:sz w:val="32"/>
          <w:szCs w:val="32"/>
          <w:highlight w:val="none"/>
        </w:rPr>
      </w:pPr>
      <w:r>
        <w:rPr>
          <w:rFonts w:hint="eastAsia" w:ascii="仿宋_GB2312" w:hAnsi="仿宋_GB2312" w:eastAsia="仿宋_GB2312" w:cs="仿宋_GB2312"/>
          <w:kern w:val="0"/>
          <w:sz w:val="32"/>
          <w:szCs w:val="32"/>
          <w:highlight w:val="none"/>
        </w:rPr>
        <w:t>呼图壁县苗木花卉产业园区管理委员会2025</w:t>
      </w:r>
      <w:r>
        <w:rPr>
          <w:rFonts w:hint="eastAsia" w:ascii="仿宋_GB2312" w:hAnsi="宋体" w:eastAsia="仿宋_GB2312" w:cs="宋体"/>
          <w:spacing w:val="-6"/>
          <w:kern w:val="0"/>
          <w:sz w:val="32"/>
          <w:szCs w:val="32"/>
          <w:highlight w:val="none"/>
        </w:rPr>
        <w:t>年一般公共预算基本支出217.06万元，其中：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202.55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公用经费14.52万元，主要包括：办公费、水费、电费、邮电费、差旅费、劳务费、工会经费、公务用车运行维护费。</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kern w:val="0"/>
          <w:sz w:val="32"/>
          <w:szCs w:val="32"/>
          <w:highlight w:val="none"/>
        </w:rPr>
        <w:t>关于呼图壁县苗木花卉产业园区管理委员会2025年一般公共预算项目支出情况说明</w:t>
      </w:r>
    </w:p>
    <w:p>
      <w:pPr>
        <w:spacing w:line="52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：2025年管护林水电费（非定额）</w:t>
      </w:r>
    </w:p>
    <w:p>
      <w:pPr>
        <w:pStyle w:val="5"/>
        <w:spacing w:line="52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：呼财预字【2025】8号《2025年呼图壁县财经委员会第一次会议纪要》</w:t>
      </w:r>
    </w:p>
    <w:p>
      <w:pPr>
        <w:spacing w:line="52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：44万元</w:t>
      </w:r>
    </w:p>
    <w:p>
      <w:pPr>
        <w:spacing w:line="52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：呼图壁县苗木花卉产业园区管理委员会</w:t>
      </w:r>
    </w:p>
    <w:p>
      <w:pPr>
        <w:spacing w:line="52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：管护林水费34万元、电费10万元</w:t>
      </w:r>
    </w:p>
    <w:p>
      <w:pPr>
        <w:spacing w:line="52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：2025年1月1日-2025年12月31日</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八</w:t>
      </w:r>
      <w:r>
        <w:rPr>
          <w:rFonts w:hint="eastAsia" w:ascii="楷体_GB2312" w:hAnsi="楷体_GB2312" w:eastAsia="楷体_GB2312" w:cs="楷体_GB2312"/>
          <w:b/>
          <w:bCs/>
          <w:kern w:val="0"/>
          <w:sz w:val="32"/>
          <w:szCs w:val="32"/>
          <w:highlight w:val="none"/>
        </w:rPr>
        <w:t>、</w:t>
      </w:r>
      <w:r>
        <w:rPr>
          <w:rFonts w:hint="eastAsia" w:ascii="楷体_GB2312" w:hAnsi="楷体_GB2312" w:eastAsia="楷体_GB2312" w:cs="楷体_GB2312"/>
          <w:b/>
          <w:kern w:val="0"/>
          <w:sz w:val="32"/>
          <w:szCs w:val="32"/>
          <w:highlight w:val="none"/>
        </w:rPr>
        <w:t>关于呼图壁县苗木花卉产业园区管理委员会2025年政府性基金预算拨款情况说明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黑体" w:eastAsia="仿宋_GB2312"/>
          <w:sz w:val="32"/>
          <w:szCs w:val="32"/>
          <w:highlight w:val="none"/>
        </w:rPr>
        <w:t>呼图壁县苗木花卉产业园区管理委员会2025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九、</w:t>
      </w:r>
      <w:r>
        <w:rPr>
          <w:rFonts w:hint="eastAsia" w:ascii="楷体_GB2312" w:hAnsi="楷体_GB2312" w:eastAsia="楷体_GB2312" w:cs="楷体_GB2312"/>
          <w:b/>
          <w:kern w:val="0"/>
          <w:sz w:val="32"/>
          <w:szCs w:val="32"/>
          <w:highlight w:val="none"/>
        </w:rPr>
        <w:t>关于呼图壁县苗木花卉产业园区管理委员会2025年国有资本经营预算拨款情况说明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黑体" w:eastAsia="仿宋_GB2312"/>
          <w:sz w:val="32"/>
          <w:szCs w:val="32"/>
          <w:highlight w:val="none"/>
        </w:rPr>
        <w:t>呼图壁县苗木花卉产业园区管理委员会2025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w:t>
      </w:r>
      <w:r>
        <w:rPr>
          <w:rFonts w:hint="eastAsia" w:ascii="楷体_GB2312" w:hAnsi="楷体_GB2312" w:eastAsia="楷体_GB2312" w:cs="楷体_GB2312"/>
          <w:b/>
          <w:kern w:val="0"/>
          <w:sz w:val="32"/>
          <w:szCs w:val="32"/>
          <w:highlight w:val="none"/>
        </w:rPr>
        <w:t>关于呼图壁县苗木花卉产业园区管理委员会2025年</w:t>
      </w:r>
      <w:r>
        <w:rPr>
          <w:rFonts w:hint="eastAsia" w:ascii="楷体_GB2312" w:hAnsi="楷体_GB2312" w:eastAsia="楷体_GB2312" w:cs="楷体_GB2312"/>
          <w:b/>
          <w:kern w:val="0"/>
          <w:sz w:val="32"/>
          <w:szCs w:val="32"/>
          <w:highlight w:val="none"/>
          <w:lang w:eastAsia="zh-Hans"/>
        </w:rPr>
        <w:t>财政拨款</w:t>
      </w:r>
      <w:r>
        <w:rPr>
          <w:rFonts w:hint="eastAsia" w:ascii="楷体_GB2312" w:hAnsi="楷体_GB2312" w:eastAsia="楷体_GB2312" w:cs="楷体_GB2312"/>
          <w:b/>
          <w:kern w:val="0"/>
          <w:sz w:val="32"/>
          <w:szCs w:val="32"/>
          <w:highlight w:val="none"/>
        </w:rPr>
        <w:t>“三公”经费预算情况说明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呼图壁县苗木花卉产业园区管理委员会2025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“三公”经费数为3.2万元，其中：因公出国（境）费0万元，公务用车购置费0万元，公务用车运行费3.2万元，公务接待费0万元。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“三公”经费比上年</w:t>
      </w:r>
      <w:r>
        <w:rPr>
          <w:rFonts w:hint="eastAsia" w:ascii="仿宋_GB2312" w:hAnsi="宋体" w:eastAsia="仿宋_GB2312" w:cs="宋体"/>
          <w:kern w:val="0"/>
          <w:sz w:val="32"/>
          <w:szCs w:val="32"/>
          <w:highlight w:val="none"/>
          <w:lang w:eastAsia="zh-Hans"/>
        </w:rPr>
        <w:t>预算</w:t>
      </w:r>
      <w:r>
        <w:rPr>
          <w:rFonts w:hint="eastAsia" w:ascii="仿宋_GB2312" w:hAnsi="宋体" w:eastAsia="仿宋_GB2312" w:cs="宋体"/>
          <w:kern w:val="0"/>
          <w:sz w:val="32"/>
          <w:szCs w:val="32"/>
          <w:highlight w:val="none"/>
        </w:rPr>
        <w:t>增加3.2万元，增长100%，其中：因公出国（境）费增加0万元，增长0%，主要原因是2024年、2025年均未安排此项预算；公务用车购置费增加0万元，增长0%，主要原因是2024年、2025年均未安排此项预算；公务用车运行费增加3.2万元，增长100%，主要原因是增加2台车辆运行费用纳入本年预算；公务接待费增加0万元，增长0%，主要原因是2024年、2025年均未安排此项预算。</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一、</w:t>
      </w:r>
      <w:r>
        <w:rPr>
          <w:rFonts w:hint="eastAsia" w:ascii="楷体_GB2312" w:hAnsi="楷体_GB2312" w:eastAsia="楷体_GB2312" w:cs="楷体_GB2312"/>
          <w:b/>
          <w:kern w:val="0"/>
          <w:sz w:val="32"/>
          <w:szCs w:val="32"/>
          <w:highlight w:val="none"/>
        </w:rPr>
        <w:t>关于呼图壁县苗木花卉产业园区管理委员会2025年上年结转结余预算情况说明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黑体" w:eastAsia="仿宋_GB2312"/>
          <w:sz w:val="32"/>
          <w:szCs w:val="32"/>
          <w:highlight w:val="none"/>
        </w:rPr>
        <w:t>呼图壁县苗木花卉产业园区管理委员会2025</w:t>
      </w:r>
      <w:r>
        <w:rPr>
          <w:rFonts w:hint="eastAsia" w:ascii="仿宋_GB2312" w:hAnsi="仿宋_GB2312" w:eastAsia="仿宋_GB2312" w:cs="仿宋_GB2312"/>
          <w:kern w:val="0"/>
          <w:sz w:val="32"/>
          <w:szCs w:val="32"/>
          <w:highlight w:val="none"/>
        </w:rPr>
        <w:t>年上年结转结余19.9万元，</w:t>
      </w:r>
      <w:r>
        <w:rPr>
          <w:rFonts w:hint="eastAsia" w:ascii="仿宋_GB2312" w:hAnsi="仿宋_GB2312" w:eastAsia="仿宋_GB2312" w:cs="仿宋_GB2312"/>
          <w:kern w:val="0"/>
          <w:sz w:val="32"/>
          <w:szCs w:val="32"/>
          <w:highlight w:val="none"/>
        </w:rPr>
        <w:t>包括：财政拨款</w:t>
      </w:r>
      <w:r>
        <w:rPr>
          <w:rFonts w:hint="eastAsia" w:ascii="仿宋_GB2312" w:hAnsi="仿宋_GB2312" w:eastAsia="仿宋_GB2312" w:cs="仿宋_GB2312"/>
          <w:kern w:val="0"/>
          <w:sz w:val="32"/>
          <w:szCs w:val="32"/>
          <w:highlight w:val="none"/>
          <w:lang w:val="en-US" w:eastAsia="zh-CN"/>
        </w:rPr>
        <w:t>19</w:t>
      </w:r>
      <w:r>
        <w:rPr>
          <w:rFonts w:hint="eastAsia" w:ascii="仿宋_GB2312" w:hAnsi="仿宋_GB2312" w:eastAsia="仿宋_GB2312" w:cs="仿宋_GB2312"/>
          <w:kern w:val="0"/>
          <w:sz w:val="32"/>
          <w:szCs w:val="32"/>
          <w:highlight w:val="none"/>
        </w:rPr>
        <w:t>.9万元，非财政拨款</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万元，其中：</w:t>
      </w:r>
    </w:p>
    <w:p>
      <w:pPr>
        <w:pStyle w:val="9"/>
        <w:ind w:firstLine="640" w:firstLineChars="200"/>
        <w:rPr>
          <w:rFonts w:ascii="仿宋_GB2312" w:hAnsi="黑体" w:eastAsia="仿宋_GB2312"/>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黑体" w:eastAsia="仿宋_GB2312"/>
          <w:sz w:val="32"/>
          <w:szCs w:val="32"/>
          <w:highlight w:val="none"/>
        </w:rPr>
        <w:t>2024年访惠聚为民办实事-村级支出4.9万元，</w:t>
      </w:r>
      <w:r>
        <w:rPr>
          <w:rFonts w:hint="eastAsia" w:ascii="仿宋_GB2312" w:hAnsi="仿宋_GB2312" w:eastAsia="仿宋_GB2312" w:cs="仿宋_GB2312"/>
          <w:kern w:val="0"/>
          <w:sz w:val="32"/>
          <w:szCs w:val="32"/>
          <w:highlight w:val="none"/>
        </w:rPr>
        <w:t>主要用于历年访惠聚驻村期间办公费用。</w:t>
      </w:r>
    </w:p>
    <w:p>
      <w:pPr>
        <w:pStyle w:val="9"/>
        <w:ind w:firstLine="640" w:firstLineChars="200"/>
        <w:rPr>
          <w:rFonts w:ascii="仿宋_GB2312" w:hAnsi="黑体" w:eastAsia="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黑体" w:eastAsia="仿宋_GB2312"/>
          <w:sz w:val="32"/>
          <w:szCs w:val="32"/>
          <w:highlight w:val="none"/>
        </w:rPr>
        <w:t>2024年自治区科技计划专项资金（第三批）-呼图壁县自治区农业科技园区2024年度科研项目资金</w:t>
      </w:r>
      <w:r>
        <w:rPr>
          <w:rFonts w:hint="eastAsia" w:ascii="仿宋_GB2312" w:hAnsi="仿宋_GB2312" w:eastAsia="仿宋_GB2312" w:cs="仿宋_GB2312"/>
          <w:kern w:val="0"/>
          <w:sz w:val="32"/>
          <w:szCs w:val="32"/>
          <w:highlight w:val="none"/>
        </w:rPr>
        <w:t>15万元，主要用于：</w:t>
      </w:r>
      <w:r>
        <w:rPr>
          <w:rFonts w:hint="eastAsia" w:ascii="仿宋_GB2312" w:hAnsi="宋体" w:eastAsia="仿宋_GB2312" w:cs="宋体"/>
          <w:kern w:val="0"/>
          <w:sz w:val="32"/>
          <w:szCs w:val="32"/>
          <w:highlight w:val="none"/>
        </w:rPr>
        <w:t>科技创新基地建设计划（农业科技园区）项目支出。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二、其他重要事项的情况说明</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（一）单位运行经费情况</w:t>
      </w:r>
    </w:p>
    <w:p>
      <w:pPr>
        <w:wordWrap w:val="0"/>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呼图壁县苗木花卉产业园区管理委员会2025</w:t>
      </w:r>
      <w:r>
        <w:rPr>
          <w:rFonts w:hint="eastAsia" w:ascii="仿宋_GB2312" w:hAnsi="仿宋_GB2312" w:eastAsia="仿宋_GB2312" w:cs="仿宋_GB2312"/>
          <w:kern w:val="0"/>
          <w:sz w:val="32"/>
          <w:szCs w:val="32"/>
          <w:highlight w:val="none"/>
        </w:rPr>
        <w:t>年的事业单位运行经费财政拨款预算261.06万元，比上年预算增加23.97万元，增长10.11%。主要原因是</w:t>
      </w:r>
      <w:r>
        <w:rPr>
          <w:rFonts w:hint="eastAsia" w:ascii="仿宋_GB2312" w:hAnsi="宋体" w:eastAsia="仿宋_GB2312" w:cs="宋体"/>
          <w:kern w:val="0"/>
          <w:sz w:val="32"/>
          <w:szCs w:val="32"/>
          <w:highlight w:val="none"/>
        </w:rPr>
        <w:t>人员调入，工资、社保、公积金基数调整，经费增加。</w:t>
      </w:r>
    </w:p>
    <w:p>
      <w:pPr>
        <w:wordWrap w:val="0"/>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w:t>
      </w:r>
      <w:r>
        <w:rPr>
          <w:rFonts w:hint="eastAsia" w:ascii="仿宋_GB2312" w:hAnsi="黑体" w:eastAsia="仿宋_GB2312"/>
          <w:sz w:val="32"/>
          <w:szCs w:val="32"/>
          <w:highlight w:val="none"/>
        </w:rPr>
        <w:t>呼图壁县苗木花卉产业园区管理委员会</w:t>
      </w:r>
      <w:r>
        <w:rPr>
          <w:rFonts w:hint="eastAsia" w:ascii="仿宋_GB2312" w:hAnsi="仿宋_GB2312" w:eastAsia="仿宋_GB2312" w:cs="仿宋_GB2312"/>
          <w:kern w:val="0"/>
          <w:sz w:val="32"/>
          <w:szCs w:val="32"/>
          <w:highlight w:val="none"/>
        </w:rPr>
        <w:t>政府采购预算15.02万元，其中：政府采购货物预算3.32万元，政府采购工程预算0万元，政府采购服务预算11.7万元。</w:t>
      </w:r>
    </w:p>
    <w:p>
      <w:pPr>
        <w:spacing w:line="600" w:lineRule="exact"/>
        <w:ind w:firstLine="640" w:firstLineChars="200"/>
        <w:rPr>
          <w:rFonts w:ascii="仿宋_GB2312" w:hAnsi="仿宋_GB2312" w:eastAsia="仿宋_GB2312" w:cs="仿宋_GB2312"/>
          <w:sz w:val="32"/>
          <w:highlight w:val="none"/>
        </w:rPr>
      </w:pPr>
      <w:r>
        <w:rPr>
          <w:rFonts w:hint="eastAsia" w:ascii="仿宋_GB2312" w:hAnsi="仿宋_GB2312" w:eastAsia="仿宋_GB2312" w:cs="仿宋_GB2312"/>
          <w:kern w:val="0"/>
          <w:sz w:val="32"/>
          <w:szCs w:val="32"/>
          <w:highlight w:val="none"/>
        </w:rPr>
        <w:t>2025年，</w:t>
      </w:r>
      <w:r>
        <w:rPr>
          <w:rFonts w:hint="eastAsia" w:ascii="仿宋_GB2312" w:hAnsi="黑体" w:eastAsia="仿宋_GB2312"/>
          <w:sz w:val="32"/>
          <w:szCs w:val="32"/>
          <w:highlight w:val="none"/>
        </w:rPr>
        <w:t>呼图壁县苗木花卉产业园区管理委员会</w:t>
      </w:r>
      <w:r>
        <w:rPr>
          <w:rFonts w:hint="eastAsia" w:ascii="仿宋_GB2312" w:hAnsi="仿宋_GB2312" w:eastAsia="仿宋_GB2312" w:cs="仿宋_GB2312"/>
          <w:sz w:val="32"/>
          <w:highlight w:val="none"/>
        </w:rPr>
        <w:t>面向中小企业预留政府采购项目预算金额14.32万元，小微企业预留政府采购项目预算金额14.32万元。</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截至2024年底，</w:t>
      </w:r>
      <w:r>
        <w:rPr>
          <w:rFonts w:hint="eastAsia" w:ascii="仿宋_GB2312" w:hAnsi="黑体" w:eastAsia="仿宋_GB2312"/>
          <w:sz w:val="32"/>
          <w:szCs w:val="32"/>
          <w:highlight w:val="none"/>
        </w:rPr>
        <w:t>呼图壁县苗木花卉产业园区管理委员会</w:t>
      </w:r>
      <w:r>
        <w:rPr>
          <w:rFonts w:hint="eastAsia" w:ascii="仿宋_GB2312" w:hAnsi="仿宋_GB2312" w:eastAsia="仿宋_GB2312" w:cs="仿宋_GB2312"/>
          <w:kern w:val="0"/>
          <w:sz w:val="32"/>
          <w:szCs w:val="32"/>
          <w:highlight w:val="none"/>
        </w:rPr>
        <w:t>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1.房屋0平方米，价值0万元。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2.车辆0辆，价值0万元；其中：一般公务用车0辆，价值0万元；执法执勤用车0辆，价值0万元；其他车辆0辆，价值0万元。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3.办公家具价值5.88万元。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4.其他资产价值34.54万元。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部门价值50万元以上大型设备0台，部门价值100万元以上大型设备0台。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2025年预算未安排购置车辆经费，未安排购置50万元以上大型设备0台，单位价值100万元以上大型设备0台。</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lang w:eastAsia="zh-Hans"/>
        </w:rPr>
        <w:t>（四）</w:t>
      </w:r>
      <w:r>
        <w:rPr>
          <w:rFonts w:hint="eastAsia" w:ascii="仿宋_GB2312" w:hAnsi="仿宋_GB2312" w:eastAsia="仿宋_GB2312" w:cs="仿宋_GB2312"/>
          <w:b/>
          <w:kern w:val="0"/>
          <w:sz w:val="32"/>
          <w:szCs w:val="32"/>
          <w:highlight w:val="none"/>
        </w:rPr>
        <w:t>预算绩效情况</w:t>
      </w:r>
    </w:p>
    <w:p>
      <w:pPr>
        <w:spacing w:line="600" w:lineRule="exact"/>
        <w:ind w:firstLine="640" w:firstLineChars="200"/>
        <w:rPr>
          <w:rFonts w:ascii="仿宋_GB2312" w:hAnsi="仿宋_GB2312" w:eastAsia="仿宋_GB2312" w:cs="仿宋_GB2312"/>
          <w:kern w:val="0"/>
          <w:sz w:val="32"/>
          <w:szCs w:val="32"/>
          <w:highlight w:val="none"/>
        </w:rPr>
      </w:pPr>
      <w:bookmarkStart w:id="0" w:name="OLE_LINK1"/>
      <w:r>
        <w:rPr>
          <w:rFonts w:eastAsia="仿宋_GB2312"/>
          <w:kern w:val="0"/>
          <w:sz w:val="32"/>
          <w:szCs w:val="32"/>
          <w:highlight w:val="none"/>
        </w:rPr>
        <w:t>2025</w:t>
      </w:r>
      <w:r>
        <w:rPr>
          <w:rFonts w:hint="eastAsia" w:ascii="仿宋_GB2312" w:hAnsi="仿宋_GB2312" w:eastAsia="仿宋_GB2312" w:cs="仿宋_GB2312"/>
          <w:kern w:val="0"/>
          <w:sz w:val="32"/>
          <w:szCs w:val="32"/>
          <w:highlight w:val="none"/>
        </w:rPr>
        <w:t>年，本部门预算绩效管理整体预算绩效目标1个，涉及预算金额409.96万元；</w:t>
      </w:r>
      <w:bookmarkEnd w:id="0"/>
      <w:r>
        <w:rPr>
          <w:rFonts w:hint="eastAsia" w:ascii="仿宋_GB2312" w:hAnsi="仿宋_GB2312" w:eastAsia="仿宋_GB2312" w:cs="仿宋_GB2312"/>
          <w:kern w:val="0"/>
          <w:sz w:val="32"/>
          <w:szCs w:val="32"/>
          <w:highlight w:val="none"/>
        </w:rPr>
        <w:t>当年预算安排项目共</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个，其中:</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项目涉及预算金额</w:t>
      </w:r>
      <w:r>
        <w:rPr>
          <w:rFonts w:hint="eastAsia" w:ascii="仿宋_GB2312" w:hAnsi="仿宋_GB2312" w:eastAsia="仿宋_GB2312" w:cs="仿宋_GB2312"/>
          <w:kern w:val="0"/>
          <w:sz w:val="32"/>
          <w:szCs w:val="32"/>
          <w:highlight w:val="none"/>
          <w:lang w:val="en-US" w:eastAsia="zh-CN"/>
        </w:rPr>
        <w:t>44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Hans"/>
        </w:rPr>
        <w:t>非财政拨款项目</w:t>
      </w:r>
      <w:r>
        <w:rPr>
          <w:rFonts w:hint="eastAsia" w:ascii="仿宋_GB2312" w:hAnsi="仿宋_GB2312" w:eastAsia="仿宋_GB2312" w:cs="仿宋_GB2312"/>
          <w:kern w:val="0"/>
          <w:sz w:val="32"/>
          <w:szCs w:val="32"/>
          <w:highlight w:val="none"/>
        </w:rPr>
        <w:t>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万元。具体情况见下表：</w:t>
      </w:r>
    </w:p>
    <w:p>
      <w:pPr>
        <w:spacing w:line="600" w:lineRule="exact"/>
        <w:ind w:firstLine="640" w:firstLineChars="200"/>
        <w:rPr>
          <w:rFonts w:ascii="仿宋_GB2312" w:hAnsi="仿宋_GB2312" w:eastAsia="仿宋_GB2312" w:cs="仿宋_GB2312"/>
          <w:kern w:val="0"/>
          <w:sz w:val="32"/>
          <w:szCs w:val="32"/>
          <w:highlight w:val="none"/>
        </w:rPr>
      </w:pPr>
    </w:p>
    <w:tbl>
      <w:tblPr>
        <w:tblStyle w:val="11"/>
        <w:tblpPr w:leftFromText="180" w:rightFromText="180" w:vertAnchor="text" w:horzAnchor="page" w:tblpX="1210" w:tblpY="-1043"/>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highlight w:val="none"/>
                <w:lang w:bidi="ar"/>
              </w:rPr>
            </w:pPr>
          </w:p>
          <w:p>
            <w:pPr>
              <w:widowControl/>
              <w:jc w:val="center"/>
              <w:textAlignment w:val="center"/>
              <w:rPr>
                <w:rFonts w:ascii="仿宋_GB2312" w:hAnsi="宋体" w:eastAsia="仿宋_GB2312" w:cs="仿宋_GB2312"/>
                <w:b/>
                <w:color w:val="000000"/>
                <w:kern w:val="0"/>
                <w:sz w:val="32"/>
                <w:szCs w:val="32"/>
                <w:highlight w:val="none"/>
                <w:lang w:bidi="ar"/>
              </w:rPr>
            </w:pPr>
            <w:r>
              <w:rPr>
                <w:rFonts w:hint="eastAsia" w:ascii="仿宋_GB2312" w:hAnsi="宋体" w:eastAsia="仿宋_GB2312" w:cs="仿宋_GB2312"/>
                <w:b/>
                <w:color w:val="000000"/>
                <w:kern w:val="0"/>
                <w:sz w:val="32"/>
                <w:szCs w:val="32"/>
                <w:highlight w:val="none"/>
                <w:lang w:bidi="ar"/>
              </w:rPr>
              <w:t>部门整体绩效目标表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highlight w:val="none"/>
                <w:lang w:bidi="ar"/>
              </w:rPr>
            </w:pPr>
            <w:r>
              <w:rPr>
                <w:rFonts w:hint="eastAsia" w:ascii="宋体" w:hAnsi="宋体" w:cs="宋体"/>
                <w:color w:val="000000"/>
                <w:sz w:val="24"/>
                <w:highlight w:val="none"/>
              </w:rPr>
              <w:t>（2025年）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仿宋_GB2312" w:hAnsi="黑体" w:eastAsia="仿宋_GB2312"/>
                <w:sz w:val="24"/>
                <w:highlight w:val="none"/>
              </w:rPr>
              <w:t>呼图壁县苗木花卉产业园区管理委员会</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2"/>
                <w:szCs w:val="22"/>
                <w:highlight w:val="none"/>
              </w:rPr>
              <w:t>徐春晖</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2"/>
                <w:szCs w:val="22"/>
                <w:highlight w:val="none"/>
              </w:rPr>
              <w:t>13565348866</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br w:type="textWrapping"/>
            </w:r>
            <w:r>
              <w:rPr>
                <w:rFonts w:hint="eastAsia" w:ascii="宋体" w:hAnsi="宋体" w:cs="宋体"/>
                <w:color w:val="000000"/>
                <w:kern w:val="0"/>
                <w:sz w:val="20"/>
                <w:szCs w:val="20"/>
                <w:highlight w:val="none"/>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eastAsia="仿宋_GB2312"/>
                <w:color w:val="000000"/>
                <w:sz w:val="22"/>
                <w:szCs w:val="22"/>
                <w:highlight w:val="none"/>
              </w:rPr>
              <w:t>贯彻落实国家、区、州、县人民政府的各项方针、政策，研究编制并组织实施苗木花卉产业及葡萄产业发展的总体规划、经济发展中长期规划及年度工作计划，研究制定园区管理办法、相关优惠政策，</w:t>
            </w:r>
            <w:r>
              <w:rPr>
                <w:rFonts w:hint="eastAsia" w:eastAsia="仿宋_GB2312"/>
                <w:color w:val="000000"/>
                <w:sz w:val="22"/>
                <w:szCs w:val="22"/>
                <w:highlight w:val="none"/>
              </w:rPr>
              <w:t>完成政府职能，提高财政资金使用率，促进我县苗木花卉产业健康发展。</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280.96</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129</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分值权重</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苗农培训次数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3次</w:t>
            </w: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2025年工作发展方向</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30</w:t>
            </w:r>
          </w:p>
        </w:tc>
      </w:tr>
      <w:tr>
        <w:tblPrEx>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验收合格率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2025工作发展思路</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30</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满意度指标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群众满意度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2025年工作发展方向</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30</w:t>
            </w:r>
          </w:p>
        </w:tc>
      </w:tr>
      <w:tr>
        <w:tblPrEx>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r>
      <w:tr>
        <w:tblPrEx>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满意度指标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社会公众满意度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2025年工作整体思路</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10</w:t>
            </w:r>
          </w:p>
        </w:tc>
      </w:tr>
    </w:tbl>
    <w:p>
      <w:pPr>
        <w:spacing w:line="600" w:lineRule="exact"/>
        <w:rPr>
          <w:rFonts w:ascii="仿宋_GB2312" w:hAnsi="仿宋_GB2312" w:eastAsia="仿宋_GB2312" w:cs="仿宋_GB2312"/>
          <w:b/>
          <w:kern w:val="0"/>
          <w:sz w:val="32"/>
          <w:szCs w:val="32"/>
          <w:highlight w:val="none"/>
        </w:rPr>
        <w:sectPr>
          <w:pgSz w:w="11906" w:h="16838"/>
          <w:pgMar w:top="1440" w:right="1800" w:bottom="1440" w:left="1800" w:header="851" w:footer="992" w:gutter="0"/>
          <w:pgNumType w:fmt="numberInDash"/>
          <w:cols w:space="720" w:num="1"/>
          <w:docGrid w:type="lines" w:linePitch="312" w:charSpace="0"/>
        </w:sectPr>
      </w:pPr>
    </w:p>
    <w:tbl>
      <w:tblPr>
        <w:tblStyle w:val="11"/>
        <w:tblpPr w:leftFromText="180" w:rightFromText="180" w:vertAnchor="text" w:horzAnchor="page" w:tblpX="1103" w:tblpY="515"/>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03"/>
        <w:gridCol w:w="1133"/>
        <w:gridCol w:w="917"/>
        <w:gridCol w:w="714"/>
        <w:gridCol w:w="914"/>
      </w:tblGrid>
      <w:tr>
        <w:tblPrEx>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仿宋_GB2312" w:hAnsi="黑体" w:eastAsia="仿宋_GB2312"/>
                <w:sz w:val="24"/>
                <w:highlight w:val="none"/>
              </w:rPr>
              <w:t>呼图壁县苗木花卉产业园区管理委员会</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571" w:type="dxa"/>
            <w:gridSpan w:val="3"/>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22"/>
                <w:szCs w:val="22"/>
                <w:highlight w:val="none"/>
              </w:rPr>
              <w:t>2025年管护林水电费（非定额）</w:t>
            </w:r>
          </w:p>
        </w:tc>
        <w:tc>
          <w:tcPr>
            <w:tcW w:w="2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22"/>
                <w:szCs w:val="22"/>
                <w:highlight w:val="none"/>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r>
              <w:rPr>
                <w:rFonts w:hint="eastAsia" w:ascii="宋体" w:hAnsi="宋体" w:cs="宋体"/>
                <w:color w:val="000000"/>
                <w:sz w:val="18"/>
                <w:szCs w:val="18"/>
                <w:highlight w:val="none"/>
              </w:rPr>
              <w:t>徐春晖</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r>
              <w:rPr>
                <w:rFonts w:hint="eastAsia" w:ascii="宋体" w:hAnsi="宋体" w:cs="宋体"/>
                <w:color w:val="000000"/>
                <w:sz w:val="24"/>
                <w:highlight w:val="none"/>
              </w:rPr>
              <w:t>44</w:t>
            </w:r>
          </w:p>
        </w:tc>
        <w:tc>
          <w:tcPr>
            <w:tcW w:w="1403"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r>
              <w:rPr>
                <w:rFonts w:hint="eastAsia" w:ascii="宋体" w:hAnsi="宋体" w:cs="宋体"/>
                <w:color w:val="000000"/>
                <w:sz w:val="24"/>
                <w:highlight w:val="none"/>
              </w:rPr>
              <w:t>44</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249"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highlight w:val="none"/>
              </w:rPr>
            </w:pPr>
            <w:r>
              <w:rPr>
                <w:rFonts w:hint="eastAsia" w:ascii="宋体" w:hAnsi="宋体" w:cs="宋体"/>
                <w:color w:val="000000"/>
                <w:sz w:val="18"/>
                <w:szCs w:val="18"/>
                <w:highlight w:val="none"/>
              </w:rPr>
              <w:t>红叶河谷生态林共有4650.5亩，为了保证生态林正常生长，每年需投入一定资金对其管护，建有泵站3座、机井2眼，经财政核定，2025年管护林费用44万元，其中：水费34万元（含水资源费）、电费10万元。</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管护面积</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4650.5亩</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水电保障率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95%</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计划完成及时率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100%</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100%</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提升环境整治能力</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有效提升环境整治能力</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提升环境质量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提升环境整治能力</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highlight w:val="none"/>
                <w:lang w:bidi="ar"/>
              </w:rPr>
            </w:pPr>
          </w:p>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进一步提升环境整治能力</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提升环境整治能力</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提升环境质量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有效提升环境整治能力</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社会公众满意度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eastAsia="黑体" w:cs="宋体"/>
                <w:color w:val="000000"/>
                <w:sz w:val="18"/>
                <w:szCs w:val="18"/>
                <w:highlight w:val="none"/>
              </w:rPr>
            </w:pPr>
            <w:r>
              <w:rPr>
                <w:rFonts w:ascii="Arial" w:hAnsi="Arial" w:eastAsia="黑体" w:cs="Arial"/>
                <w:kern w:val="0"/>
                <w:sz w:val="32"/>
                <w:szCs w:val="32"/>
                <w:highlight w:val="none"/>
              </w:rPr>
              <w:t>≥</w:t>
            </w:r>
            <w:r>
              <w:rPr>
                <w:rFonts w:hint="eastAsia" w:ascii="Arial" w:hAnsi="Arial" w:eastAsia="黑体" w:cs="Arial"/>
                <w:kern w:val="0"/>
                <w:sz w:val="20"/>
                <w:szCs w:val="20"/>
                <w:highlight w:val="none"/>
              </w:rPr>
              <w:t>95%</w:t>
            </w:r>
          </w:p>
        </w:tc>
        <w:tc>
          <w:tcPr>
            <w:tcW w:w="14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计划标准</w:t>
            </w:r>
          </w:p>
        </w:tc>
        <w:tc>
          <w:tcPr>
            <w:tcW w:w="11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工作资料</w:t>
            </w:r>
          </w:p>
        </w:tc>
      </w:tr>
    </w:tbl>
    <w:p>
      <w:pPr>
        <w:spacing w:line="600" w:lineRule="exact"/>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本部门无其他需说明的事项。</w:t>
      </w:r>
    </w:p>
    <w:p>
      <w:pPr>
        <w:spacing w:line="600" w:lineRule="exact"/>
        <w:jc w:val="center"/>
        <w:rPr>
          <w:rFonts w:ascii="黑体" w:hAnsi="黑体" w:eastAsia="黑体"/>
          <w:kern w:val="0"/>
          <w:sz w:val="32"/>
          <w:szCs w:val="32"/>
          <w:highlight w:val="none"/>
        </w:rPr>
        <w:sectPr>
          <w:pgSz w:w="11906" w:h="16838"/>
          <w:pgMar w:top="1440" w:right="1800" w:bottom="1440" w:left="1800" w:header="851" w:footer="992" w:gutter="0"/>
          <w:pgNumType w:fmt="numberInDash"/>
          <w:cols w:space="720" w:num="1"/>
          <w:docGrid w:type="lines" w:linePitch="312" w:charSpace="0"/>
        </w:sectPr>
      </w:pPr>
    </w:p>
    <w:p>
      <w:pPr>
        <w:pStyle w:val="9"/>
        <w:ind w:firstLine="210"/>
        <w:rPr>
          <w:highlight w:val="none"/>
        </w:r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部门（单位）支出预算的组成部分，是</w:t>
      </w:r>
      <w:r>
        <w:rPr>
          <w:rFonts w:hint="eastAsia" w:ascii="仿宋_GB2312" w:eastAsia="仿宋_GB2312"/>
          <w:sz w:val="32"/>
          <w:szCs w:val="32"/>
          <w:highlight w:val="none"/>
          <w:lang w:eastAsia="zh-Hans"/>
        </w:rPr>
        <w:t>各</w:t>
      </w:r>
      <w:r>
        <w:rPr>
          <w:rFonts w:hint="eastAsia" w:ascii="仿宋_GB2312" w:eastAsia="仿宋_GB2312"/>
          <w:sz w:val="32"/>
          <w:szCs w:val="32"/>
          <w:highlight w:val="none"/>
        </w:rPr>
        <w:t>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964" w:firstLineChars="300"/>
        <w:rPr>
          <w:rFonts w:ascii="仿宋_GB2312" w:eastAsia="仿宋_GB2312"/>
          <w:b/>
          <w:color w:val="FF0000"/>
          <w:sz w:val="32"/>
          <w:szCs w:val="32"/>
          <w:highlight w:val="none"/>
          <w:lang w:eastAsia="zh-Hans"/>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jc w:val="right"/>
        <w:rPr>
          <w:rFonts w:ascii="仿宋_GB2312" w:hAnsi="宋体" w:eastAsia="仿宋_GB2312" w:cs="宋体"/>
          <w:kern w:val="0"/>
          <w:sz w:val="32"/>
          <w:szCs w:val="32"/>
          <w:highlight w:val="none"/>
        </w:rPr>
      </w:pPr>
      <w:r>
        <w:rPr>
          <w:rFonts w:hint="eastAsia" w:ascii="仿宋" w:hAnsi="仿宋" w:eastAsia="仿宋" w:cs="仿宋"/>
          <w:kern w:val="0"/>
          <w:sz w:val="32"/>
          <w:szCs w:val="32"/>
          <w:highlight w:val="none"/>
        </w:rPr>
        <w:t>呼图壁县苗木花卉产业园区管理委员会</w:t>
      </w:r>
    </w:p>
    <w:p>
      <w:pPr>
        <w:wordWrap w:val="0"/>
        <w:spacing w:line="600" w:lineRule="exact"/>
        <w:ind w:firstLine="640" w:firstLineChars="200"/>
        <w:jc w:val="righ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12</w:t>
      </w:r>
      <w:r>
        <w:rPr>
          <w:rFonts w:ascii="仿宋_GB2312" w:hAnsi="宋体" w:eastAsia="仿宋_GB2312" w:cs="宋体"/>
          <w:kern w:val="0"/>
          <w:sz w:val="32"/>
          <w:szCs w:val="32"/>
          <w:highlight w:val="none"/>
        </w:rPr>
        <w:t>日</w:t>
      </w:r>
      <w:r>
        <w:rPr>
          <w:rFonts w:hint="eastAsia" w:ascii="仿宋_GB2312" w:hAnsi="宋体" w:eastAsia="仿宋_GB2312" w:cs="宋体"/>
          <w:kern w:val="0"/>
          <w:sz w:val="32"/>
          <w:szCs w:val="32"/>
          <w:highlight w:val="none"/>
        </w:rPr>
        <w:t xml:space="preserve">        </w:t>
      </w:r>
    </w:p>
    <w:p>
      <w:pPr>
        <w:rPr>
          <w:highlight w:val="none"/>
        </w:rPr>
      </w:pPr>
    </w:p>
    <w:p>
      <w:pPr>
        <w:rPr>
          <w:highlight w:val="none"/>
        </w:rPr>
      </w:pPr>
    </w:p>
    <w:bookmarkEnd w:id="1"/>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FjNDNmZTBkZTMwNzFjMTBhOTQzYjg4NWQ5OTIifQ=="/>
  </w:docVars>
  <w:rsids>
    <w:rsidRoot w:val="10587512"/>
    <w:rsid w:val="002D751C"/>
    <w:rsid w:val="004B32FD"/>
    <w:rsid w:val="0074691F"/>
    <w:rsid w:val="00E41A1F"/>
    <w:rsid w:val="00EE5DB1"/>
    <w:rsid w:val="014A60CB"/>
    <w:rsid w:val="017B2F92"/>
    <w:rsid w:val="020E507E"/>
    <w:rsid w:val="02230124"/>
    <w:rsid w:val="02732F8E"/>
    <w:rsid w:val="02CB7F49"/>
    <w:rsid w:val="037800D1"/>
    <w:rsid w:val="04001E75"/>
    <w:rsid w:val="04010CEC"/>
    <w:rsid w:val="04267087"/>
    <w:rsid w:val="04267B2D"/>
    <w:rsid w:val="04357D70"/>
    <w:rsid w:val="044C330C"/>
    <w:rsid w:val="04BC5E62"/>
    <w:rsid w:val="0521388A"/>
    <w:rsid w:val="05397FD9"/>
    <w:rsid w:val="05524952"/>
    <w:rsid w:val="057A5F58"/>
    <w:rsid w:val="05A9662D"/>
    <w:rsid w:val="05B60A3D"/>
    <w:rsid w:val="05CA273A"/>
    <w:rsid w:val="06224324"/>
    <w:rsid w:val="06314567"/>
    <w:rsid w:val="06325DF9"/>
    <w:rsid w:val="06692E51"/>
    <w:rsid w:val="06734B80"/>
    <w:rsid w:val="06B87355"/>
    <w:rsid w:val="070E6657"/>
    <w:rsid w:val="076B3AA9"/>
    <w:rsid w:val="080E3E4F"/>
    <w:rsid w:val="08191757"/>
    <w:rsid w:val="084451C2"/>
    <w:rsid w:val="08450B28"/>
    <w:rsid w:val="08762705"/>
    <w:rsid w:val="088F5575"/>
    <w:rsid w:val="08E81855"/>
    <w:rsid w:val="0976720A"/>
    <w:rsid w:val="09A706A5"/>
    <w:rsid w:val="09BB7189"/>
    <w:rsid w:val="09BE25B6"/>
    <w:rsid w:val="09E141FF"/>
    <w:rsid w:val="09FB55B8"/>
    <w:rsid w:val="0A0A684E"/>
    <w:rsid w:val="0A4168EC"/>
    <w:rsid w:val="0AD672A7"/>
    <w:rsid w:val="0AEE0707"/>
    <w:rsid w:val="0B247F12"/>
    <w:rsid w:val="0B7C3034"/>
    <w:rsid w:val="0B841FFD"/>
    <w:rsid w:val="0BD56A2F"/>
    <w:rsid w:val="0BF56037"/>
    <w:rsid w:val="0C0A3890"/>
    <w:rsid w:val="0C6236CC"/>
    <w:rsid w:val="0CD20198"/>
    <w:rsid w:val="0CEC568C"/>
    <w:rsid w:val="0D181FDD"/>
    <w:rsid w:val="0D1E39A5"/>
    <w:rsid w:val="0D6E5FD0"/>
    <w:rsid w:val="0D731909"/>
    <w:rsid w:val="0E320E7D"/>
    <w:rsid w:val="0E9208E7"/>
    <w:rsid w:val="0EC266A4"/>
    <w:rsid w:val="0EEC4007"/>
    <w:rsid w:val="0F7F2C71"/>
    <w:rsid w:val="101478CE"/>
    <w:rsid w:val="10587512"/>
    <w:rsid w:val="105D0E37"/>
    <w:rsid w:val="10916BDA"/>
    <w:rsid w:val="11036B00"/>
    <w:rsid w:val="11301FEB"/>
    <w:rsid w:val="116A6B7F"/>
    <w:rsid w:val="118A3284"/>
    <w:rsid w:val="118E0AC0"/>
    <w:rsid w:val="118E6D12"/>
    <w:rsid w:val="11B6451D"/>
    <w:rsid w:val="121E62E8"/>
    <w:rsid w:val="126006AE"/>
    <w:rsid w:val="127C3F7B"/>
    <w:rsid w:val="132A1CF4"/>
    <w:rsid w:val="138159BF"/>
    <w:rsid w:val="13B41253"/>
    <w:rsid w:val="13C52CCC"/>
    <w:rsid w:val="145850E2"/>
    <w:rsid w:val="14C2661B"/>
    <w:rsid w:val="14FE7669"/>
    <w:rsid w:val="158521DA"/>
    <w:rsid w:val="15C40F54"/>
    <w:rsid w:val="16077093"/>
    <w:rsid w:val="169054FB"/>
    <w:rsid w:val="16930926"/>
    <w:rsid w:val="1697741D"/>
    <w:rsid w:val="16BE3BF5"/>
    <w:rsid w:val="16E6682E"/>
    <w:rsid w:val="17255A22"/>
    <w:rsid w:val="17800EAB"/>
    <w:rsid w:val="18891FE1"/>
    <w:rsid w:val="19526877"/>
    <w:rsid w:val="19A215AC"/>
    <w:rsid w:val="1A132B78"/>
    <w:rsid w:val="1A1A55E6"/>
    <w:rsid w:val="1A935399"/>
    <w:rsid w:val="1AB86BAD"/>
    <w:rsid w:val="1AC437A4"/>
    <w:rsid w:val="1AC75042"/>
    <w:rsid w:val="1ACB3D91"/>
    <w:rsid w:val="1AD5150D"/>
    <w:rsid w:val="1B153D26"/>
    <w:rsid w:val="1BEB54C3"/>
    <w:rsid w:val="1C3C6084"/>
    <w:rsid w:val="1C766D20"/>
    <w:rsid w:val="1C8C02F2"/>
    <w:rsid w:val="1CD777BF"/>
    <w:rsid w:val="1CFE3D41"/>
    <w:rsid w:val="1D107A13"/>
    <w:rsid w:val="1D3E1AFE"/>
    <w:rsid w:val="1DCC309C"/>
    <w:rsid w:val="1E311151"/>
    <w:rsid w:val="1E326D8F"/>
    <w:rsid w:val="1E37428D"/>
    <w:rsid w:val="1E6432D4"/>
    <w:rsid w:val="1E89232D"/>
    <w:rsid w:val="1EB61656"/>
    <w:rsid w:val="1F0979A0"/>
    <w:rsid w:val="1F301408"/>
    <w:rsid w:val="1F422EEA"/>
    <w:rsid w:val="1FD224BF"/>
    <w:rsid w:val="20407429"/>
    <w:rsid w:val="20C462AC"/>
    <w:rsid w:val="20CF3CE4"/>
    <w:rsid w:val="20DD55C0"/>
    <w:rsid w:val="20EC2E4D"/>
    <w:rsid w:val="21005984"/>
    <w:rsid w:val="21FC3824"/>
    <w:rsid w:val="2221772E"/>
    <w:rsid w:val="2245454D"/>
    <w:rsid w:val="225D17EF"/>
    <w:rsid w:val="228757E3"/>
    <w:rsid w:val="22922CB8"/>
    <w:rsid w:val="22DB78DD"/>
    <w:rsid w:val="236E69A3"/>
    <w:rsid w:val="239C52BE"/>
    <w:rsid w:val="24082954"/>
    <w:rsid w:val="244D65B8"/>
    <w:rsid w:val="24845383"/>
    <w:rsid w:val="2492221D"/>
    <w:rsid w:val="24B42D8E"/>
    <w:rsid w:val="250855AF"/>
    <w:rsid w:val="258B383C"/>
    <w:rsid w:val="263B7010"/>
    <w:rsid w:val="26B4291F"/>
    <w:rsid w:val="26BD282A"/>
    <w:rsid w:val="26E769FA"/>
    <w:rsid w:val="277D0F63"/>
    <w:rsid w:val="27C832A1"/>
    <w:rsid w:val="286D65BC"/>
    <w:rsid w:val="28AF4EEF"/>
    <w:rsid w:val="28D9041B"/>
    <w:rsid w:val="28EB4394"/>
    <w:rsid w:val="293B2E83"/>
    <w:rsid w:val="29493255"/>
    <w:rsid w:val="298567F4"/>
    <w:rsid w:val="29BC0ED2"/>
    <w:rsid w:val="2A58589C"/>
    <w:rsid w:val="2AFC4894"/>
    <w:rsid w:val="2B0A5203"/>
    <w:rsid w:val="2B3A05DE"/>
    <w:rsid w:val="2B5640A9"/>
    <w:rsid w:val="2B57646A"/>
    <w:rsid w:val="2B6901C6"/>
    <w:rsid w:val="2BA31082"/>
    <w:rsid w:val="2BB313F7"/>
    <w:rsid w:val="2C704A6C"/>
    <w:rsid w:val="2D480265"/>
    <w:rsid w:val="2D5C6A99"/>
    <w:rsid w:val="2D8A6187"/>
    <w:rsid w:val="2D977453"/>
    <w:rsid w:val="2D9E60D7"/>
    <w:rsid w:val="2DAC4350"/>
    <w:rsid w:val="2E2943BA"/>
    <w:rsid w:val="2E751025"/>
    <w:rsid w:val="2EF22236"/>
    <w:rsid w:val="2F644435"/>
    <w:rsid w:val="2F7B07B2"/>
    <w:rsid w:val="2FE04785"/>
    <w:rsid w:val="2FED29FE"/>
    <w:rsid w:val="300E1D4A"/>
    <w:rsid w:val="305D3B98"/>
    <w:rsid w:val="30B05F05"/>
    <w:rsid w:val="30ED1FF3"/>
    <w:rsid w:val="310F3573"/>
    <w:rsid w:val="31A75185"/>
    <w:rsid w:val="31B263F5"/>
    <w:rsid w:val="32236D03"/>
    <w:rsid w:val="322C1F03"/>
    <w:rsid w:val="32BD643D"/>
    <w:rsid w:val="32D560F7"/>
    <w:rsid w:val="33093FF2"/>
    <w:rsid w:val="33423F49"/>
    <w:rsid w:val="334A12EC"/>
    <w:rsid w:val="33A76F60"/>
    <w:rsid w:val="33EA01AD"/>
    <w:rsid w:val="341E7629"/>
    <w:rsid w:val="345E2C01"/>
    <w:rsid w:val="346A6D13"/>
    <w:rsid w:val="34F12F90"/>
    <w:rsid w:val="357255D5"/>
    <w:rsid w:val="35F117C8"/>
    <w:rsid w:val="35FC1BEC"/>
    <w:rsid w:val="368A71F8"/>
    <w:rsid w:val="36F17277"/>
    <w:rsid w:val="36F841EA"/>
    <w:rsid w:val="372C6501"/>
    <w:rsid w:val="378A3513"/>
    <w:rsid w:val="37D60A36"/>
    <w:rsid w:val="37EB016A"/>
    <w:rsid w:val="3814146F"/>
    <w:rsid w:val="38194CD8"/>
    <w:rsid w:val="38284F1B"/>
    <w:rsid w:val="38B059AF"/>
    <w:rsid w:val="39372850"/>
    <w:rsid w:val="393873DF"/>
    <w:rsid w:val="39406294"/>
    <w:rsid w:val="397F25F0"/>
    <w:rsid w:val="397F500E"/>
    <w:rsid w:val="39B0409D"/>
    <w:rsid w:val="3A7507EB"/>
    <w:rsid w:val="3AA85F85"/>
    <w:rsid w:val="3B7B7D5E"/>
    <w:rsid w:val="3BB23479"/>
    <w:rsid w:val="3BBD06D3"/>
    <w:rsid w:val="3BE45FB7"/>
    <w:rsid w:val="3BF21AC7"/>
    <w:rsid w:val="3BF770DE"/>
    <w:rsid w:val="3C013037"/>
    <w:rsid w:val="3C153A08"/>
    <w:rsid w:val="3C6329C5"/>
    <w:rsid w:val="3C6F7EDA"/>
    <w:rsid w:val="3CB20C75"/>
    <w:rsid w:val="3CC66AB0"/>
    <w:rsid w:val="3CCD7E3F"/>
    <w:rsid w:val="3D820C29"/>
    <w:rsid w:val="3DDF607B"/>
    <w:rsid w:val="3DF721EA"/>
    <w:rsid w:val="3ED23E32"/>
    <w:rsid w:val="3FDF4D23"/>
    <w:rsid w:val="40582115"/>
    <w:rsid w:val="41083B3B"/>
    <w:rsid w:val="41270465"/>
    <w:rsid w:val="412F731A"/>
    <w:rsid w:val="41982852"/>
    <w:rsid w:val="41DB2FFE"/>
    <w:rsid w:val="42F779C3"/>
    <w:rsid w:val="43034765"/>
    <w:rsid w:val="43502DA9"/>
    <w:rsid w:val="43C26223"/>
    <w:rsid w:val="43CB5BD0"/>
    <w:rsid w:val="43D8307E"/>
    <w:rsid w:val="43E77A38"/>
    <w:rsid w:val="442F37F6"/>
    <w:rsid w:val="4450382F"/>
    <w:rsid w:val="44507CD3"/>
    <w:rsid w:val="44AF5181"/>
    <w:rsid w:val="4529605A"/>
    <w:rsid w:val="455A018C"/>
    <w:rsid w:val="455A248C"/>
    <w:rsid w:val="45B642FE"/>
    <w:rsid w:val="46250CEB"/>
    <w:rsid w:val="465A12E5"/>
    <w:rsid w:val="46A460B4"/>
    <w:rsid w:val="46B02CAB"/>
    <w:rsid w:val="46CE3131"/>
    <w:rsid w:val="46CF6378"/>
    <w:rsid w:val="46F030A7"/>
    <w:rsid w:val="47D6229D"/>
    <w:rsid w:val="48050DD4"/>
    <w:rsid w:val="482E4AE5"/>
    <w:rsid w:val="487A7E33"/>
    <w:rsid w:val="492C29E9"/>
    <w:rsid w:val="493059DD"/>
    <w:rsid w:val="494F7907"/>
    <w:rsid w:val="49A33E79"/>
    <w:rsid w:val="49A55673"/>
    <w:rsid w:val="4A711EBA"/>
    <w:rsid w:val="4A7C5990"/>
    <w:rsid w:val="4ADF73DC"/>
    <w:rsid w:val="4B1B26BD"/>
    <w:rsid w:val="4B315A3D"/>
    <w:rsid w:val="4C0055E5"/>
    <w:rsid w:val="4C1E4213"/>
    <w:rsid w:val="4C3677AE"/>
    <w:rsid w:val="4C392DFB"/>
    <w:rsid w:val="4C706B3A"/>
    <w:rsid w:val="4CA63DE7"/>
    <w:rsid w:val="4D1D3D92"/>
    <w:rsid w:val="4D896004"/>
    <w:rsid w:val="4DBF37D4"/>
    <w:rsid w:val="4DE84AD8"/>
    <w:rsid w:val="4DF641EB"/>
    <w:rsid w:val="4E2250FF"/>
    <w:rsid w:val="4E327823"/>
    <w:rsid w:val="4E6F51FA"/>
    <w:rsid w:val="4E85651F"/>
    <w:rsid w:val="4F3B332E"/>
    <w:rsid w:val="4F9121C3"/>
    <w:rsid w:val="4FAC7D88"/>
    <w:rsid w:val="4FD935F9"/>
    <w:rsid w:val="50942AD6"/>
    <w:rsid w:val="50C07F8E"/>
    <w:rsid w:val="51C15CED"/>
    <w:rsid w:val="521560B8"/>
    <w:rsid w:val="52285DEB"/>
    <w:rsid w:val="52A06744"/>
    <w:rsid w:val="52AD62F0"/>
    <w:rsid w:val="52C13500"/>
    <w:rsid w:val="53191BD8"/>
    <w:rsid w:val="53A94D0A"/>
    <w:rsid w:val="53B75635"/>
    <w:rsid w:val="546308FE"/>
    <w:rsid w:val="55110DB9"/>
    <w:rsid w:val="55CE3E0E"/>
    <w:rsid w:val="560F2015"/>
    <w:rsid w:val="56FE59C9"/>
    <w:rsid w:val="570D735E"/>
    <w:rsid w:val="571B2674"/>
    <w:rsid w:val="571B49CC"/>
    <w:rsid w:val="57313026"/>
    <w:rsid w:val="57C459FD"/>
    <w:rsid w:val="58913FBE"/>
    <w:rsid w:val="589917F1"/>
    <w:rsid w:val="58C67F73"/>
    <w:rsid w:val="58F1687C"/>
    <w:rsid w:val="59184546"/>
    <w:rsid w:val="59441031"/>
    <w:rsid w:val="59912903"/>
    <w:rsid w:val="59B241EC"/>
    <w:rsid w:val="59C3464B"/>
    <w:rsid w:val="59DB3743"/>
    <w:rsid w:val="5A12625C"/>
    <w:rsid w:val="5A565E36"/>
    <w:rsid w:val="5A5A6D5E"/>
    <w:rsid w:val="5A5E27F6"/>
    <w:rsid w:val="5A704801"/>
    <w:rsid w:val="5A8C5E4D"/>
    <w:rsid w:val="5AD02F4D"/>
    <w:rsid w:val="5AED2A9A"/>
    <w:rsid w:val="5AF01B33"/>
    <w:rsid w:val="5C074CC3"/>
    <w:rsid w:val="5C341831"/>
    <w:rsid w:val="5CD94E88"/>
    <w:rsid w:val="5D2D6D35"/>
    <w:rsid w:val="5D63417B"/>
    <w:rsid w:val="5D9E1657"/>
    <w:rsid w:val="5E084D23"/>
    <w:rsid w:val="5E0C14B0"/>
    <w:rsid w:val="5E225DE5"/>
    <w:rsid w:val="5E243BED"/>
    <w:rsid w:val="5E257683"/>
    <w:rsid w:val="5E7802BC"/>
    <w:rsid w:val="5E851FCE"/>
    <w:rsid w:val="5EE078B0"/>
    <w:rsid w:val="5EFD415C"/>
    <w:rsid w:val="5F0D5523"/>
    <w:rsid w:val="5F2346ED"/>
    <w:rsid w:val="5FB011CE"/>
    <w:rsid w:val="609676C4"/>
    <w:rsid w:val="60EF59E1"/>
    <w:rsid w:val="61086613"/>
    <w:rsid w:val="61686204"/>
    <w:rsid w:val="61D218D0"/>
    <w:rsid w:val="628C5F22"/>
    <w:rsid w:val="62917095"/>
    <w:rsid w:val="630E06E5"/>
    <w:rsid w:val="630E7C68"/>
    <w:rsid w:val="634560D1"/>
    <w:rsid w:val="639A7360"/>
    <w:rsid w:val="63ED0C43"/>
    <w:rsid w:val="6408782B"/>
    <w:rsid w:val="640B731B"/>
    <w:rsid w:val="646627A3"/>
    <w:rsid w:val="65322CBF"/>
    <w:rsid w:val="653F727C"/>
    <w:rsid w:val="65AD6361"/>
    <w:rsid w:val="65B35574"/>
    <w:rsid w:val="65C658ED"/>
    <w:rsid w:val="66550380"/>
    <w:rsid w:val="669C2A74"/>
    <w:rsid w:val="66C537B1"/>
    <w:rsid w:val="66F92485"/>
    <w:rsid w:val="670D087B"/>
    <w:rsid w:val="67310E46"/>
    <w:rsid w:val="67694A84"/>
    <w:rsid w:val="676A3084"/>
    <w:rsid w:val="6809591F"/>
    <w:rsid w:val="68583FA1"/>
    <w:rsid w:val="687436E1"/>
    <w:rsid w:val="68CC52CB"/>
    <w:rsid w:val="68DE4FFE"/>
    <w:rsid w:val="68F80968"/>
    <w:rsid w:val="691B0000"/>
    <w:rsid w:val="691E364C"/>
    <w:rsid w:val="694B58D7"/>
    <w:rsid w:val="69CE4E15"/>
    <w:rsid w:val="6AD246EE"/>
    <w:rsid w:val="6B1A05B4"/>
    <w:rsid w:val="6B3E7E06"/>
    <w:rsid w:val="6B7F3246"/>
    <w:rsid w:val="6BF904A6"/>
    <w:rsid w:val="6CB5251A"/>
    <w:rsid w:val="6CD429A0"/>
    <w:rsid w:val="6D512242"/>
    <w:rsid w:val="6D524A3A"/>
    <w:rsid w:val="6D94212F"/>
    <w:rsid w:val="6D9702C2"/>
    <w:rsid w:val="6E80213E"/>
    <w:rsid w:val="6EBA5BC5"/>
    <w:rsid w:val="6EF07839"/>
    <w:rsid w:val="6F63000B"/>
    <w:rsid w:val="6FB45735"/>
    <w:rsid w:val="6FBF4FC4"/>
    <w:rsid w:val="6FCF0C72"/>
    <w:rsid w:val="708A15C7"/>
    <w:rsid w:val="70C96594"/>
    <w:rsid w:val="70F30069"/>
    <w:rsid w:val="711373BD"/>
    <w:rsid w:val="71500A63"/>
    <w:rsid w:val="717C1858"/>
    <w:rsid w:val="71B92164"/>
    <w:rsid w:val="72090091"/>
    <w:rsid w:val="72B56DCF"/>
    <w:rsid w:val="72E964BC"/>
    <w:rsid w:val="731E6F21"/>
    <w:rsid w:val="733F48EB"/>
    <w:rsid w:val="735C7C42"/>
    <w:rsid w:val="73A2714D"/>
    <w:rsid w:val="74183C77"/>
    <w:rsid w:val="742C4E6F"/>
    <w:rsid w:val="744A1799"/>
    <w:rsid w:val="7452521E"/>
    <w:rsid w:val="74D07EF1"/>
    <w:rsid w:val="750D2430"/>
    <w:rsid w:val="753D12FE"/>
    <w:rsid w:val="758E3908"/>
    <w:rsid w:val="75B570E6"/>
    <w:rsid w:val="75BF3AC1"/>
    <w:rsid w:val="76DB2B7D"/>
    <w:rsid w:val="7706409E"/>
    <w:rsid w:val="772462D2"/>
    <w:rsid w:val="7797777E"/>
    <w:rsid w:val="77980A6E"/>
    <w:rsid w:val="77A8306B"/>
    <w:rsid w:val="780A1873"/>
    <w:rsid w:val="783A7153"/>
    <w:rsid w:val="784604CA"/>
    <w:rsid w:val="7875067F"/>
    <w:rsid w:val="787D11B8"/>
    <w:rsid w:val="78A771BA"/>
    <w:rsid w:val="78AC6820"/>
    <w:rsid w:val="78D94334"/>
    <w:rsid w:val="792C5912"/>
    <w:rsid w:val="79425135"/>
    <w:rsid w:val="79B853F7"/>
    <w:rsid w:val="79DF4732"/>
    <w:rsid w:val="7A4A42A1"/>
    <w:rsid w:val="7BF302C3"/>
    <w:rsid w:val="7CBA4FE2"/>
    <w:rsid w:val="7D06612B"/>
    <w:rsid w:val="7D292894"/>
    <w:rsid w:val="7D4E5471"/>
    <w:rsid w:val="7DE43690"/>
    <w:rsid w:val="7E16651A"/>
    <w:rsid w:val="7E470AF8"/>
    <w:rsid w:val="7E880152"/>
    <w:rsid w:val="7E8B30DA"/>
    <w:rsid w:val="7ED01F20"/>
    <w:rsid w:val="7EFB0260"/>
    <w:rsid w:val="7EFE1EC7"/>
    <w:rsid w:val="7F5B0CFF"/>
    <w:rsid w:val="7FEE1B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style>
  <w:style w:type="paragraph" w:styleId="4">
    <w:name w:val="Body Text Indent"/>
    <w:basedOn w:val="1"/>
    <w:qFormat/>
    <w:uiPriority w:val="0"/>
    <w:pPr>
      <w:spacing w:after="120"/>
      <w:ind w:left="420" w:leftChars="200"/>
    </w:pPr>
  </w:style>
  <w:style w:type="paragraph" w:styleId="5">
    <w:name w:val="footer"/>
    <w:basedOn w:val="1"/>
    <w:next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w:basedOn w:val="3"/>
    <w:next w:val="5"/>
    <w:qFormat/>
    <w:uiPriority w:val="0"/>
    <w:pPr>
      <w:ind w:firstLine="420" w:firstLineChars="100"/>
    </w:pPr>
  </w:style>
  <w:style w:type="paragraph" w:styleId="10">
    <w:name w:val="Body Text First Indent 2"/>
    <w:basedOn w:val="4"/>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2131</Words>
  <Characters>12149</Characters>
  <Lines>101</Lines>
  <Paragraphs>28</Paragraphs>
  <TotalTime>1</TotalTime>
  <ScaleCrop>false</ScaleCrop>
  <LinksUpToDate>false</LinksUpToDate>
  <CharactersWithSpaces>14252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2025-10-28T13:22:33Z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0D4DE24AE1AF488EB5CE5F1234482630_13</vt:lpwstr>
  </property>
  <property fmtid="{D5CDD505-2E9C-101B-9397-08002B2CF9AE}" pid="4" name="KSOTemplateDocerSaveRecord">
    <vt:lpwstr>eyJoZGlkIjoiM2ExNDk4Y2IwNDdhNDYzNmE4NWYxMjAyYjZlMjJlNWUifQ==</vt:lpwstr>
  </property>
</Properties>
</file>