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both"/>
        <w:outlineLvl w:val="1"/>
        <w:rPr>
          <w:rFonts w:hint="default" w:ascii="方正小标宋_GBK" w:hAnsi="宋体" w:eastAsia="方正小标宋_GBK"/>
          <w:color w:val="auto"/>
          <w:kern w:val="0"/>
          <w:sz w:val="44"/>
          <w:szCs w:val="44"/>
          <w:highlight w:val="none"/>
        </w:rPr>
      </w:pPr>
      <w:bookmarkStart w:id="1" w:name="_GoBack"/>
    </w:p>
    <w:p>
      <w:pPr>
        <w:pStyle w:val="2"/>
        <w:rPr>
          <w:rFonts w:hint="default"/>
          <w:highlight w:val="none"/>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eastAsia" w:ascii="方正小标宋_GBK" w:hAnsi="宋体" w:eastAsia="方正小标宋_GBK"/>
          <w:color w:val="auto"/>
          <w:kern w:val="0"/>
          <w:sz w:val="44"/>
          <w:szCs w:val="44"/>
          <w:highlight w:val="none"/>
        </w:rPr>
      </w:pPr>
      <w:r>
        <w:rPr>
          <w:rFonts w:hint="eastAsia" w:ascii="方正小标宋_GBK" w:hAnsi="宋体" w:eastAsia="方正小标宋_GBK"/>
          <w:color w:val="auto"/>
          <w:kern w:val="0"/>
          <w:sz w:val="44"/>
          <w:szCs w:val="44"/>
          <w:highlight w:val="none"/>
        </w:rPr>
        <w:t>昌吉州青少年示范性综合实践基地服务中心</w:t>
      </w: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lang w:val="en-US" w:eastAsia="zh-CN"/>
        </w:rPr>
      </w:pPr>
      <w:r>
        <w:rPr>
          <w:rFonts w:hint="eastAsia" w:ascii="方正小标宋_GBK" w:hAnsi="宋体" w:eastAsia="方正小标宋_GBK"/>
          <w:color w:val="auto"/>
          <w:kern w:val="0"/>
          <w:sz w:val="44"/>
          <w:szCs w:val="44"/>
          <w:highlight w:val="none"/>
          <w:lang w:val="en-US" w:eastAsia="zh-CN"/>
        </w:rPr>
        <w:t>2025年部门预算公开</w:t>
      </w: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default" w:ascii="黑体" w:hAnsi="黑体" w:eastAsia="黑体"/>
          <w:color w:val="auto"/>
          <w:kern w:val="0"/>
          <w:sz w:val="36"/>
          <w:szCs w:val="32"/>
          <w:highlight w:val="none"/>
          <w:lang w:val="en-US" w:eastAsia="zh-CN"/>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val="en-US" w:eastAsia="zh-CN"/>
        </w:rPr>
        <w:t>2</w:t>
      </w:r>
      <w:r>
        <w:rPr>
          <w:rFonts w:hint="eastAsia" w:ascii="仿宋_GB2312" w:hAnsi="仿宋_GB2312" w:eastAsia="仿宋_GB2312" w:cs="仿宋_GB2312"/>
          <w:b/>
          <w:color w:val="auto"/>
          <w:kern w:val="0"/>
          <w:sz w:val="32"/>
          <w:szCs w:val="32"/>
          <w:highlight w:val="none"/>
          <w:lang w:eastAsia="zh-CN"/>
        </w:rPr>
        <w:t>02</w:t>
      </w:r>
      <w:r>
        <w:rPr>
          <w:rFonts w:hint="eastAsia" w:ascii="仿宋_GB2312" w:hAnsi="仿宋_GB2312" w:eastAsia="仿宋_GB2312" w:cs="仿宋_GB2312"/>
          <w:b/>
          <w:color w:val="auto"/>
          <w:kern w:val="0"/>
          <w:sz w:val="32"/>
          <w:szCs w:val="32"/>
          <w:highlight w:val="none"/>
          <w:lang w:val="en-US" w:eastAsia="zh-CN"/>
        </w:rPr>
        <w:t>5</w:t>
      </w:r>
      <w:r>
        <w:rPr>
          <w:rFonts w:hint="eastAsia" w:ascii="仿宋_GB2312" w:hAnsi="仿宋_GB2312" w:eastAsia="仿宋_GB2312" w:cs="仿宋_GB2312"/>
          <w:b/>
          <w:color w:val="auto"/>
          <w:kern w:val="0"/>
          <w:sz w:val="32"/>
          <w:szCs w:val="32"/>
          <w:highlight w:val="none"/>
          <w:lang w:eastAsia="zh-CN"/>
        </w:rPr>
        <w:t>年</w:t>
      </w:r>
      <w:r>
        <w:rPr>
          <w:rFonts w:hint="eastAsia" w:ascii="仿宋_GB2312" w:hAnsi="宋体" w:eastAsia="仿宋_GB2312"/>
          <w:b/>
          <w:color w:val="auto"/>
          <w:kern w:val="0"/>
          <w:sz w:val="32"/>
          <w:szCs w:val="32"/>
          <w:highlight w:val="none"/>
        </w:rPr>
        <w:t>昌吉州青少年示范性综合实践基地</w:t>
      </w:r>
      <w:r>
        <w:rPr>
          <w:rFonts w:hint="eastAsia" w:ascii="仿宋_GB2312" w:hAnsi="宋体" w:eastAsia="仿宋_GB2312"/>
          <w:b/>
          <w:color w:val="auto"/>
          <w:kern w:val="0"/>
          <w:sz w:val="32"/>
          <w:szCs w:val="32"/>
          <w:highlight w:val="none"/>
          <w:lang w:val="en-US" w:eastAsia="zh-CN"/>
        </w:rPr>
        <w:t>服务</w:t>
      </w:r>
      <w:r>
        <w:rPr>
          <w:rFonts w:hint="eastAsia" w:ascii="仿宋_GB2312" w:hAnsi="宋体" w:eastAsia="仿宋_GB2312"/>
          <w:b/>
          <w:color w:val="auto"/>
          <w:kern w:val="0"/>
          <w:sz w:val="32"/>
          <w:szCs w:val="32"/>
          <w:highlight w:val="none"/>
        </w:rPr>
        <w:t>中心</w:t>
      </w:r>
      <w:r>
        <w:rPr>
          <w:rFonts w:hint="eastAsia" w:ascii="仿宋_GB2312" w:hAnsi="仿宋_GB2312" w:eastAsia="仿宋_GB2312" w:cs="仿宋_GB2312"/>
          <w:b/>
          <w:color w:val="auto"/>
          <w:kern w:val="0"/>
          <w:sz w:val="32"/>
          <w:szCs w:val="32"/>
          <w:highlight w:val="none"/>
          <w:lang w:eastAsia="zh-CN"/>
        </w:rPr>
        <w:t>部门</w:t>
      </w:r>
      <w:r>
        <w:rPr>
          <w:rFonts w:hint="eastAsia" w:ascii="仿宋_GB2312" w:hAnsi="仿宋_GB2312" w:eastAsia="仿宋_GB2312" w:cs="仿宋_GB2312"/>
          <w:b/>
          <w:color w:val="auto"/>
          <w:kern w:val="0"/>
          <w:sz w:val="32"/>
          <w:szCs w:val="32"/>
          <w:highlight w:val="none"/>
        </w:rPr>
        <w:t>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val="en-US" w:eastAsia="zh-CN"/>
        </w:rPr>
        <w:t>2</w:t>
      </w:r>
      <w:r>
        <w:rPr>
          <w:rFonts w:hint="eastAsia" w:ascii="仿宋_GB2312" w:hAnsi="仿宋_GB2312" w:eastAsia="仿宋_GB2312" w:cs="仿宋_GB2312"/>
          <w:b/>
          <w:color w:val="auto"/>
          <w:kern w:val="0"/>
          <w:sz w:val="32"/>
          <w:szCs w:val="32"/>
          <w:highlight w:val="none"/>
          <w:lang w:eastAsia="zh-CN"/>
        </w:rPr>
        <w:t>02</w:t>
      </w:r>
      <w:r>
        <w:rPr>
          <w:rFonts w:hint="eastAsia" w:ascii="仿宋_GB2312" w:hAnsi="仿宋_GB2312" w:eastAsia="仿宋_GB2312" w:cs="仿宋_GB2312"/>
          <w:b/>
          <w:color w:val="auto"/>
          <w:kern w:val="0"/>
          <w:sz w:val="32"/>
          <w:szCs w:val="32"/>
          <w:highlight w:val="none"/>
          <w:lang w:val="en-US" w:eastAsia="zh-CN"/>
        </w:rPr>
        <w:t>5</w:t>
      </w:r>
      <w:r>
        <w:rPr>
          <w:rFonts w:hint="eastAsia" w:ascii="仿宋_GB2312" w:hAnsi="仿宋_GB2312" w:eastAsia="仿宋_GB2312" w:cs="仿宋_GB2312"/>
          <w:b/>
          <w:color w:val="auto"/>
          <w:kern w:val="0"/>
          <w:sz w:val="32"/>
          <w:szCs w:val="32"/>
          <w:highlight w:val="none"/>
          <w:lang w:eastAsia="zh-CN"/>
        </w:rPr>
        <w:t>年部门</w:t>
      </w:r>
      <w:r>
        <w:rPr>
          <w:rFonts w:hint="eastAsia" w:ascii="仿宋_GB2312" w:hAnsi="仿宋_GB2312" w:eastAsia="仿宋_GB2312" w:cs="仿宋_GB2312"/>
          <w:b/>
          <w:color w:val="auto"/>
          <w:kern w:val="0"/>
          <w:sz w:val="32"/>
          <w:szCs w:val="32"/>
          <w:highlight w:val="none"/>
        </w:rPr>
        <w:t>预算公开表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支出总体情况表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val="en-US" w:eastAsia="zh-CN"/>
        </w:rPr>
        <w:t>2</w:t>
      </w:r>
      <w:r>
        <w:rPr>
          <w:rFonts w:hint="eastAsia" w:ascii="仿宋_GB2312" w:hAnsi="仿宋_GB2312" w:eastAsia="仿宋_GB2312" w:cs="仿宋_GB2312"/>
          <w:b/>
          <w:color w:val="auto"/>
          <w:kern w:val="0"/>
          <w:sz w:val="32"/>
          <w:szCs w:val="32"/>
          <w:highlight w:val="none"/>
          <w:lang w:eastAsia="zh-CN"/>
        </w:rPr>
        <w:t>02</w:t>
      </w:r>
      <w:r>
        <w:rPr>
          <w:rFonts w:hint="eastAsia" w:ascii="仿宋_GB2312" w:hAnsi="仿宋_GB2312" w:eastAsia="仿宋_GB2312" w:cs="仿宋_GB2312"/>
          <w:b/>
          <w:color w:val="auto"/>
          <w:kern w:val="0"/>
          <w:sz w:val="32"/>
          <w:szCs w:val="32"/>
          <w:highlight w:val="none"/>
          <w:lang w:val="en-US" w:eastAsia="zh-CN"/>
        </w:rPr>
        <w:t>5</w:t>
      </w:r>
      <w:r>
        <w:rPr>
          <w:rFonts w:hint="eastAsia" w:ascii="仿宋_GB2312" w:hAnsi="仿宋_GB2312" w:eastAsia="仿宋_GB2312" w:cs="仿宋_GB2312"/>
          <w:b/>
          <w:color w:val="auto"/>
          <w:kern w:val="0"/>
          <w:sz w:val="32"/>
          <w:szCs w:val="32"/>
          <w:highlight w:val="none"/>
          <w:lang w:eastAsia="zh-CN"/>
        </w:rPr>
        <w:t>年部门</w:t>
      </w:r>
      <w:r>
        <w:rPr>
          <w:rFonts w:hint="eastAsia" w:ascii="仿宋_GB2312" w:hAnsi="仿宋_GB2312" w:eastAsia="仿宋_GB2312" w:cs="仿宋_GB2312"/>
          <w:b/>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一、关于昌吉州青少年示范性综合实践基地</w:t>
      </w:r>
      <w:r>
        <w:rPr>
          <w:rFonts w:hint="eastAsia" w:ascii="仿宋_GB2312" w:hAnsi="仿宋_GB2312" w:eastAsia="仿宋_GB2312" w:cs="仿宋_GB2312"/>
          <w:color w:val="auto"/>
          <w:kern w:val="0"/>
          <w:sz w:val="32"/>
          <w:szCs w:val="32"/>
          <w:highlight w:val="none"/>
          <w:lang w:val="en-US" w:eastAsia="zh-CN"/>
        </w:rPr>
        <w:t>服务</w:t>
      </w:r>
      <w:r>
        <w:rPr>
          <w:rFonts w:hint="eastAsia" w:ascii="仿宋_GB2312" w:hAnsi="仿宋_GB2312" w:eastAsia="仿宋_GB2312" w:cs="仿宋_GB2312"/>
          <w:color w:val="auto"/>
          <w:kern w:val="0"/>
          <w:sz w:val="32"/>
          <w:szCs w:val="32"/>
          <w:highlight w:val="none"/>
        </w:rPr>
        <w:t>中心</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二、关于昌吉州青少年示范性综合实践基地</w:t>
      </w:r>
      <w:r>
        <w:rPr>
          <w:rFonts w:hint="eastAsia" w:ascii="仿宋_GB2312" w:hAnsi="仿宋_GB2312" w:eastAsia="仿宋_GB2312" w:cs="仿宋_GB2312"/>
          <w:color w:val="auto"/>
          <w:kern w:val="0"/>
          <w:sz w:val="32"/>
          <w:szCs w:val="32"/>
          <w:highlight w:val="none"/>
          <w:lang w:val="en-US" w:eastAsia="zh-CN"/>
        </w:rPr>
        <w:t>服务</w:t>
      </w:r>
      <w:r>
        <w:rPr>
          <w:rFonts w:hint="eastAsia" w:ascii="仿宋_GB2312" w:hAnsi="仿宋_GB2312" w:eastAsia="仿宋_GB2312" w:cs="仿宋_GB2312"/>
          <w:color w:val="auto"/>
          <w:kern w:val="0"/>
          <w:sz w:val="32"/>
          <w:szCs w:val="32"/>
          <w:highlight w:val="none"/>
        </w:rPr>
        <w:t>中心</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年收入预算情况说明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三、关于昌吉州青少年示范性综合实践基地</w:t>
      </w:r>
      <w:r>
        <w:rPr>
          <w:rFonts w:hint="eastAsia" w:ascii="仿宋_GB2312" w:hAnsi="仿宋_GB2312" w:eastAsia="仿宋_GB2312" w:cs="仿宋_GB2312"/>
          <w:color w:val="auto"/>
          <w:kern w:val="0"/>
          <w:sz w:val="32"/>
          <w:szCs w:val="32"/>
          <w:highlight w:val="none"/>
          <w:lang w:val="en-US" w:eastAsia="zh-CN"/>
        </w:rPr>
        <w:t>服务</w:t>
      </w:r>
      <w:r>
        <w:rPr>
          <w:rFonts w:hint="eastAsia" w:ascii="仿宋_GB2312" w:hAnsi="仿宋_GB2312" w:eastAsia="仿宋_GB2312" w:cs="仿宋_GB2312"/>
          <w:color w:val="auto"/>
          <w:kern w:val="0"/>
          <w:sz w:val="32"/>
          <w:szCs w:val="32"/>
          <w:highlight w:val="none"/>
        </w:rPr>
        <w:t>中心</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仿宋_GB2312" w:eastAsia="仿宋_GB2312" w:cs="仿宋_GB2312"/>
          <w:color w:val="auto"/>
          <w:kern w:val="0"/>
          <w:sz w:val="32"/>
          <w:szCs w:val="32"/>
          <w:highlight w:val="none"/>
        </w:rPr>
        <w:t>昌吉州青少年示范性综合实践基地</w:t>
      </w:r>
      <w:r>
        <w:rPr>
          <w:rFonts w:hint="eastAsia" w:ascii="仿宋_GB2312" w:hAnsi="仿宋_GB2312" w:eastAsia="仿宋_GB2312" w:cs="仿宋_GB2312"/>
          <w:color w:val="auto"/>
          <w:kern w:val="0"/>
          <w:sz w:val="32"/>
          <w:szCs w:val="32"/>
          <w:highlight w:val="none"/>
          <w:lang w:val="en-US" w:eastAsia="zh-CN"/>
        </w:rPr>
        <w:t>服务</w:t>
      </w:r>
      <w:r>
        <w:rPr>
          <w:rFonts w:hint="eastAsia" w:ascii="仿宋_GB2312" w:hAnsi="仿宋_GB2312" w:eastAsia="仿宋_GB2312" w:cs="仿宋_GB2312"/>
          <w:color w:val="auto"/>
          <w:kern w:val="0"/>
          <w:sz w:val="32"/>
          <w:szCs w:val="32"/>
          <w:highlight w:val="none"/>
        </w:rPr>
        <w:t>中心</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bCs/>
          <w:color w:val="auto"/>
          <w:kern w:val="0"/>
          <w:sz w:val="32"/>
          <w:szCs w:val="32"/>
          <w:highlight w:val="none"/>
        </w:rPr>
        <w:t>年财政拨款收支预算情况的总体说明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rPr>
        <w:t>昌吉州青少年示范性综合实践基地</w:t>
      </w:r>
      <w:r>
        <w:rPr>
          <w:rFonts w:hint="eastAsia" w:ascii="仿宋_GB2312" w:hAnsi="仿宋_GB2312" w:eastAsia="仿宋_GB2312" w:cs="仿宋_GB2312"/>
          <w:color w:val="auto"/>
          <w:kern w:val="0"/>
          <w:sz w:val="32"/>
          <w:szCs w:val="32"/>
          <w:highlight w:val="none"/>
          <w:lang w:val="en-US" w:eastAsia="zh-CN"/>
        </w:rPr>
        <w:t>服务</w:t>
      </w:r>
      <w:r>
        <w:rPr>
          <w:rFonts w:hint="eastAsia" w:ascii="仿宋_GB2312" w:hAnsi="仿宋_GB2312" w:eastAsia="仿宋_GB2312" w:cs="仿宋_GB2312"/>
          <w:color w:val="auto"/>
          <w:kern w:val="0"/>
          <w:sz w:val="32"/>
          <w:szCs w:val="32"/>
          <w:highlight w:val="none"/>
        </w:rPr>
        <w:t>中心</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spacing w:val="-6"/>
          <w:kern w:val="0"/>
          <w:sz w:val="32"/>
          <w:szCs w:val="32"/>
          <w:highlight w:val="none"/>
        </w:rPr>
        <w:t>年一般公共预算当年拨款情况说明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rPr>
        <w:t>昌吉州青少年示范性综合实践基地</w:t>
      </w:r>
      <w:r>
        <w:rPr>
          <w:rFonts w:hint="eastAsia" w:ascii="仿宋_GB2312" w:hAnsi="仿宋_GB2312" w:eastAsia="仿宋_GB2312" w:cs="仿宋_GB2312"/>
          <w:color w:val="auto"/>
          <w:kern w:val="0"/>
          <w:sz w:val="32"/>
          <w:szCs w:val="32"/>
          <w:highlight w:val="none"/>
          <w:lang w:val="en-US" w:eastAsia="zh-CN"/>
        </w:rPr>
        <w:t>服务</w:t>
      </w:r>
      <w:r>
        <w:rPr>
          <w:rFonts w:hint="eastAsia" w:ascii="仿宋_GB2312" w:hAnsi="仿宋_GB2312" w:eastAsia="仿宋_GB2312" w:cs="仿宋_GB2312"/>
          <w:color w:val="auto"/>
          <w:kern w:val="0"/>
          <w:sz w:val="32"/>
          <w:szCs w:val="32"/>
          <w:highlight w:val="none"/>
        </w:rPr>
        <w:t>中心</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spacing w:val="-6"/>
          <w:kern w:val="0"/>
          <w:sz w:val="32"/>
          <w:szCs w:val="32"/>
          <w:highlight w:val="none"/>
        </w:rPr>
        <w:t>年一般公共预算基本支出情况说明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rPr>
        <w:t>昌吉州青少年示范性综合实践基地</w:t>
      </w:r>
      <w:r>
        <w:rPr>
          <w:rFonts w:hint="eastAsia" w:ascii="仿宋_GB2312" w:hAnsi="仿宋_GB2312" w:eastAsia="仿宋_GB2312" w:cs="仿宋_GB2312"/>
          <w:color w:val="auto"/>
          <w:kern w:val="0"/>
          <w:sz w:val="32"/>
          <w:szCs w:val="32"/>
          <w:highlight w:val="none"/>
          <w:lang w:val="en-US" w:eastAsia="zh-CN"/>
        </w:rPr>
        <w:t>服务</w:t>
      </w:r>
      <w:r>
        <w:rPr>
          <w:rFonts w:hint="eastAsia" w:ascii="仿宋_GB2312" w:hAnsi="仿宋_GB2312" w:eastAsia="仿宋_GB2312" w:cs="仿宋_GB2312"/>
          <w:color w:val="auto"/>
          <w:kern w:val="0"/>
          <w:sz w:val="32"/>
          <w:szCs w:val="32"/>
          <w:highlight w:val="none"/>
        </w:rPr>
        <w:t>中心</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spacing w:val="-6"/>
          <w:kern w:val="0"/>
          <w:sz w:val="32"/>
          <w:szCs w:val="32"/>
          <w:highlight w:val="none"/>
        </w:rPr>
        <w:t>年一般公共预算项目支出情况说明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、关于昌吉州青少年示范性综合实践基地</w:t>
      </w:r>
      <w:r>
        <w:rPr>
          <w:rFonts w:hint="eastAsia" w:ascii="仿宋_GB2312" w:hAnsi="仿宋_GB2312" w:eastAsia="仿宋_GB2312" w:cs="仿宋_GB2312"/>
          <w:color w:val="auto"/>
          <w:kern w:val="0"/>
          <w:sz w:val="32"/>
          <w:szCs w:val="32"/>
          <w:highlight w:val="none"/>
          <w:lang w:val="en-US" w:eastAsia="zh-CN"/>
        </w:rPr>
        <w:t>服务</w:t>
      </w:r>
      <w:r>
        <w:rPr>
          <w:rFonts w:hint="eastAsia" w:ascii="仿宋_GB2312" w:hAnsi="仿宋_GB2312" w:eastAsia="仿宋_GB2312" w:cs="仿宋_GB2312"/>
          <w:color w:val="auto"/>
          <w:kern w:val="0"/>
          <w:sz w:val="32"/>
          <w:szCs w:val="32"/>
          <w:highlight w:val="none"/>
        </w:rPr>
        <w:t>中心</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关于昌吉州青少年示范性综合实践基地</w:t>
      </w:r>
      <w:r>
        <w:rPr>
          <w:rFonts w:hint="eastAsia" w:ascii="仿宋_GB2312" w:hAnsi="仿宋_GB2312" w:eastAsia="仿宋_GB2312" w:cs="仿宋_GB2312"/>
          <w:color w:val="auto"/>
          <w:kern w:val="0"/>
          <w:sz w:val="32"/>
          <w:szCs w:val="32"/>
          <w:highlight w:val="none"/>
          <w:lang w:val="en-US" w:eastAsia="zh-CN"/>
        </w:rPr>
        <w:t>服务</w:t>
      </w:r>
      <w:r>
        <w:rPr>
          <w:rFonts w:hint="eastAsia" w:ascii="仿宋_GB2312" w:hAnsi="仿宋_GB2312" w:eastAsia="仿宋_GB2312" w:cs="仿宋_GB2312"/>
          <w:color w:val="auto"/>
          <w:kern w:val="0"/>
          <w:sz w:val="32"/>
          <w:szCs w:val="32"/>
          <w:highlight w:val="none"/>
        </w:rPr>
        <w:t>中心</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、关于昌吉州青少年示范性综合实践基地</w:t>
      </w:r>
      <w:r>
        <w:rPr>
          <w:rFonts w:hint="eastAsia" w:ascii="仿宋_GB2312" w:hAnsi="仿宋_GB2312" w:eastAsia="仿宋_GB2312" w:cs="仿宋_GB2312"/>
          <w:color w:val="auto"/>
          <w:kern w:val="0"/>
          <w:sz w:val="32"/>
          <w:szCs w:val="32"/>
          <w:highlight w:val="none"/>
          <w:lang w:val="en-US" w:eastAsia="zh-CN"/>
        </w:rPr>
        <w:t>服务</w:t>
      </w:r>
      <w:r>
        <w:rPr>
          <w:rFonts w:hint="eastAsia" w:ascii="仿宋_GB2312" w:hAnsi="仿宋_GB2312" w:eastAsia="仿宋_GB2312" w:cs="仿宋_GB2312"/>
          <w:color w:val="auto"/>
          <w:kern w:val="0"/>
          <w:sz w:val="32"/>
          <w:szCs w:val="32"/>
          <w:highlight w:val="none"/>
        </w:rPr>
        <w:t>中心</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、关于昌吉州青少年示范性综合实践基地</w:t>
      </w:r>
      <w:r>
        <w:rPr>
          <w:rFonts w:hint="eastAsia" w:ascii="仿宋_GB2312" w:hAnsi="仿宋_GB2312" w:eastAsia="仿宋_GB2312" w:cs="仿宋_GB2312"/>
          <w:color w:val="auto"/>
          <w:kern w:val="0"/>
          <w:sz w:val="32"/>
          <w:szCs w:val="32"/>
          <w:highlight w:val="none"/>
          <w:lang w:val="en-US" w:eastAsia="zh-CN"/>
        </w:rPr>
        <w:t>服务</w:t>
      </w:r>
      <w:r>
        <w:rPr>
          <w:rFonts w:hint="eastAsia" w:ascii="仿宋_GB2312" w:hAnsi="仿宋_GB2312" w:eastAsia="仿宋_GB2312" w:cs="仿宋_GB2312"/>
          <w:color w:val="auto"/>
          <w:kern w:val="0"/>
          <w:sz w:val="32"/>
          <w:szCs w:val="32"/>
          <w:highlight w:val="none"/>
        </w:rPr>
        <w:t>中心</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both"/>
        <w:textAlignment w:val="auto"/>
        <w:outlineLvl w:val="1"/>
        <w:rPr>
          <w:rFonts w:hint="eastAsia" w:ascii="黑体" w:hAnsi="黑体" w:eastAsia="黑体"/>
          <w:color w:val="auto"/>
          <w:kern w:val="0"/>
          <w:sz w:val="32"/>
          <w:szCs w:val="32"/>
          <w:highlight w:val="none"/>
        </w:rPr>
      </w:pPr>
    </w:p>
    <w:p>
      <w:pPr>
        <w:keepNext w:val="0"/>
        <w:keepLines w:val="0"/>
        <w:pageBreakBefore w:val="0"/>
        <w:widowControl/>
        <w:numPr>
          <w:ilvl w:val="0"/>
          <w:numId w:val="1"/>
        </w:numPr>
        <w:kinsoku/>
        <w:wordWrap/>
        <w:overflowPunct/>
        <w:topLinePunct w:val="0"/>
        <w:autoSpaceDE/>
        <w:autoSpaceDN/>
        <w:bidi w:val="0"/>
        <w:adjustRightInd/>
        <w:snapToGrid/>
        <w:spacing w:beforeLines="0" w:line="540" w:lineRule="exact"/>
        <w:jc w:val="both"/>
        <w:textAlignment w:val="auto"/>
        <w:outlineLvl w:val="1"/>
        <w:rPr>
          <w:rFonts w:hint="eastAsia" w:ascii="仿宋_GB2312" w:hAnsi="宋体" w:eastAsia="仿宋_GB2312"/>
          <w:b/>
          <w:color w:val="auto"/>
          <w:kern w:val="0"/>
          <w:sz w:val="28"/>
          <w:szCs w:val="28"/>
          <w:highlight w:val="none"/>
        </w:rPr>
      </w:pPr>
      <w:r>
        <w:rPr>
          <w:rFonts w:hint="eastAsia" w:ascii="黑体" w:hAnsi="黑体" w:eastAsia="黑体"/>
          <w:color w:val="auto"/>
          <w:kern w:val="0"/>
          <w:sz w:val="32"/>
          <w:szCs w:val="32"/>
          <w:highlight w:val="none"/>
        </w:rPr>
        <w:t xml:space="preserve">  </w:t>
      </w:r>
      <w:r>
        <w:rPr>
          <w:rFonts w:hint="eastAsia" w:ascii="仿宋_GB2312" w:hAnsi="仿宋_GB2312" w:eastAsia="仿宋_GB2312" w:cs="仿宋_GB2312"/>
          <w:b/>
          <w:color w:val="auto"/>
          <w:kern w:val="0"/>
          <w:sz w:val="28"/>
          <w:szCs w:val="28"/>
          <w:highlight w:val="none"/>
          <w:lang w:val="en-US" w:eastAsia="zh-CN"/>
        </w:rPr>
        <w:t>2</w:t>
      </w:r>
      <w:r>
        <w:rPr>
          <w:rFonts w:hint="eastAsia" w:ascii="仿宋_GB2312" w:hAnsi="仿宋_GB2312" w:eastAsia="仿宋_GB2312" w:cs="仿宋_GB2312"/>
          <w:b/>
          <w:color w:val="auto"/>
          <w:kern w:val="0"/>
          <w:sz w:val="28"/>
          <w:szCs w:val="28"/>
          <w:highlight w:val="none"/>
          <w:lang w:eastAsia="zh-CN"/>
        </w:rPr>
        <w:t>02</w:t>
      </w:r>
      <w:r>
        <w:rPr>
          <w:rFonts w:hint="eastAsia" w:ascii="仿宋_GB2312" w:hAnsi="仿宋_GB2312" w:eastAsia="仿宋_GB2312" w:cs="仿宋_GB2312"/>
          <w:b/>
          <w:color w:val="auto"/>
          <w:kern w:val="0"/>
          <w:sz w:val="28"/>
          <w:szCs w:val="28"/>
          <w:highlight w:val="none"/>
          <w:lang w:val="en-US" w:eastAsia="zh-CN"/>
        </w:rPr>
        <w:t>5</w:t>
      </w:r>
      <w:r>
        <w:rPr>
          <w:rFonts w:hint="eastAsia" w:ascii="仿宋_GB2312" w:hAnsi="仿宋_GB2312" w:eastAsia="仿宋_GB2312" w:cs="仿宋_GB2312"/>
          <w:b/>
          <w:color w:val="auto"/>
          <w:kern w:val="0"/>
          <w:sz w:val="28"/>
          <w:szCs w:val="28"/>
          <w:highlight w:val="none"/>
          <w:lang w:eastAsia="zh-CN"/>
        </w:rPr>
        <w:t>年</w:t>
      </w:r>
      <w:r>
        <w:rPr>
          <w:rFonts w:hint="eastAsia" w:ascii="仿宋_GB2312" w:hAnsi="宋体" w:eastAsia="仿宋_GB2312"/>
          <w:b/>
          <w:color w:val="auto"/>
          <w:kern w:val="0"/>
          <w:sz w:val="28"/>
          <w:szCs w:val="28"/>
          <w:highlight w:val="none"/>
        </w:rPr>
        <w:t>昌吉州青少年示范性综合实践基地</w:t>
      </w:r>
      <w:r>
        <w:rPr>
          <w:rFonts w:hint="eastAsia" w:ascii="仿宋_GB2312" w:hAnsi="宋体" w:eastAsia="仿宋_GB2312"/>
          <w:b/>
          <w:color w:val="auto"/>
          <w:kern w:val="0"/>
          <w:sz w:val="28"/>
          <w:szCs w:val="28"/>
          <w:highlight w:val="none"/>
          <w:lang w:val="en-US" w:eastAsia="zh-CN"/>
        </w:rPr>
        <w:t>服务</w:t>
      </w:r>
      <w:r>
        <w:rPr>
          <w:rFonts w:hint="eastAsia" w:ascii="仿宋_GB2312" w:hAnsi="宋体" w:eastAsia="仿宋_GB2312"/>
          <w:b/>
          <w:color w:val="auto"/>
          <w:kern w:val="0"/>
          <w:sz w:val="28"/>
          <w:szCs w:val="28"/>
          <w:highlight w:val="none"/>
        </w:rPr>
        <w:t>中心</w:t>
      </w:r>
    </w:p>
    <w:p>
      <w:pPr>
        <w:keepNext w:val="0"/>
        <w:keepLines w:val="0"/>
        <w:pageBreakBefore w:val="0"/>
        <w:widowControl/>
        <w:numPr>
          <w:ilvl w:val="0"/>
          <w:numId w:val="0"/>
        </w:numPr>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28"/>
          <w:szCs w:val="28"/>
          <w:highlight w:val="none"/>
        </w:rPr>
      </w:pPr>
      <w:r>
        <w:rPr>
          <w:rFonts w:hint="eastAsia" w:ascii="仿宋_GB2312" w:hAnsi="宋体" w:eastAsia="仿宋_GB2312"/>
          <w:b/>
          <w:color w:val="auto"/>
          <w:kern w:val="0"/>
          <w:sz w:val="28"/>
          <w:szCs w:val="28"/>
          <w:highlight w:val="none"/>
          <w:lang w:eastAsia="zh-CN"/>
        </w:rPr>
        <w:t>部门</w:t>
      </w:r>
      <w:r>
        <w:rPr>
          <w:rFonts w:hint="eastAsia" w:ascii="仿宋_GB2312" w:hAnsi="宋体" w:eastAsia="仿宋_GB2312"/>
          <w:b/>
          <w:color w:val="auto"/>
          <w:kern w:val="0"/>
          <w:sz w:val="28"/>
          <w:szCs w:val="28"/>
          <w:highlight w:val="none"/>
        </w:rPr>
        <w:t>概</w:t>
      </w:r>
      <w:r>
        <w:rPr>
          <w:rFonts w:hint="eastAsia" w:ascii="黑体" w:hAnsi="黑体" w:eastAsia="黑体"/>
          <w:color w:val="auto"/>
          <w:kern w:val="0"/>
          <w:sz w:val="28"/>
          <w:szCs w:val="28"/>
          <w:highlight w:val="none"/>
        </w:rPr>
        <w:t>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spacing w:line="560" w:lineRule="exact"/>
        <w:ind w:firstLine="640" w:firstLineChars="200"/>
        <w:jc w:val="left"/>
        <w:rPr>
          <w:rFonts w:ascii="仿宋_GB2312" w:hAnsi="宋体" w:eastAsia="仿宋_GB2312" w:cs="宋体"/>
          <w:bCs/>
          <w:color w:val="auto"/>
          <w:kern w:val="0"/>
          <w:sz w:val="32"/>
          <w:szCs w:val="32"/>
          <w:highlight w:val="none"/>
        </w:rPr>
      </w:pPr>
      <w:r>
        <w:rPr>
          <w:rFonts w:hint="eastAsia" w:ascii="黑体" w:hAnsi="黑体" w:eastAsia="黑体" w:cs="宋体"/>
          <w:bCs/>
          <w:color w:val="auto"/>
          <w:kern w:val="0"/>
          <w:sz w:val="32"/>
          <w:szCs w:val="32"/>
          <w:highlight w:val="none"/>
        </w:rPr>
        <w:t xml:space="preserve">  </w:t>
      </w:r>
      <w:r>
        <w:rPr>
          <w:rFonts w:hint="eastAsia" w:ascii="仿宋" w:hAnsi="仿宋" w:eastAsia="仿宋" w:cs="仿宋_GB2312"/>
          <w:color w:val="auto"/>
          <w:kern w:val="0"/>
          <w:sz w:val="32"/>
          <w:szCs w:val="32"/>
          <w:highlight w:val="none"/>
          <w:shd w:val="clear" w:color="auto" w:fill="FFFFFF"/>
          <w:lang w:bidi="ar"/>
        </w:rPr>
        <w:t>负责昌吉州、呼图壁周边县市小学综合实践活动的组织、协调和服务保障工作</w:t>
      </w:r>
      <w:r>
        <w:rPr>
          <w:rFonts w:hint="eastAsia" w:ascii="仿宋" w:hAnsi="仿宋" w:eastAsia="仿宋" w:cs="仿宋_GB2312"/>
          <w:color w:val="auto"/>
          <w:kern w:val="0"/>
          <w:sz w:val="32"/>
          <w:szCs w:val="32"/>
          <w:highlight w:val="none"/>
          <w:shd w:val="clear" w:color="auto" w:fill="FFFFFF"/>
          <w:lang w:eastAsia="zh-CN" w:bidi="ar"/>
        </w:rPr>
        <w:t>，</w:t>
      </w:r>
      <w:r>
        <w:rPr>
          <w:rFonts w:hint="eastAsia" w:ascii="仿宋" w:hAnsi="仿宋" w:eastAsia="仿宋" w:cs="仿宋_GB2312"/>
          <w:color w:val="auto"/>
          <w:kern w:val="0"/>
          <w:sz w:val="32"/>
          <w:szCs w:val="32"/>
          <w:highlight w:val="none"/>
          <w:shd w:val="clear" w:color="auto" w:fill="FFFFFF"/>
          <w:lang w:bidi="ar"/>
        </w:rPr>
        <w:t>开展学工、学农、学军、科普和技术创新教育、生命安全教育、环保和可持续发展教育等综合实践教育活动</w:t>
      </w:r>
      <w:r>
        <w:rPr>
          <w:rFonts w:hint="eastAsia" w:ascii="仿宋" w:hAnsi="仿宋" w:eastAsia="仿宋" w:cs="仿宋_GB2312"/>
          <w:color w:val="auto"/>
          <w:kern w:val="0"/>
          <w:sz w:val="32"/>
          <w:szCs w:val="32"/>
          <w:highlight w:val="none"/>
          <w:shd w:val="clear" w:color="auto" w:fill="FFFFFF"/>
          <w:lang w:eastAsia="zh-CN" w:bidi="ar"/>
        </w:rPr>
        <w:t>，</w:t>
      </w:r>
      <w:r>
        <w:rPr>
          <w:rFonts w:hint="eastAsia" w:ascii="仿宋" w:hAnsi="仿宋" w:eastAsia="仿宋" w:cs="仿宋_GB2312"/>
          <w:color w:val="auto"/>
          <w:kern w:val="0"/>
          <w:sz w:val="32"/>
          <w:szCs w:val="32"/>
          <w:highlight w:val="none"/>
          <w:shd w:val="clear" w:color="auto" w:fill="FFFFFF"/>
          <w:lang w:bidi="ar"/>
        </w:rPr>
        <w:t>管理和指导呼图壁县和周边县市各中小学开展社会实践活动</w:t>
      </w:r>
      <w:r>
        <w:rPr>
          <w:rFonts w:hint="eastAsia" w:ascii="仿宋" w:hAnsi="仿宋" w:eastAsia="仿宋" w:cs="仿宋_GB2312"/>
          <w:color w:val="auto"/>
          <w:kern w:val="0"/>
          <w:sz w:val="32"/>
          <w:szCs w:val="32"/>
          <w:highlight w:val="none"/>
          <w:shd w:val="clear" w:color="auto" w:fill="FFFFFF"/>
          <w:lang w:eastAsia="zh-CN" w:bidi="ar"/>
        </w:rPr>
        <w:t>，</w:t>
      </w:r>
      <w:r>
        <w:rPr>
          <w:rFonts w:hint="eastAsia" w:ascii="仿宋" w:hAnsi="仿宋" w:eastAsia="仿宋" w:cs="仿宋_GB2312"/>
          <w:color w:val="auto"/>
          <w:kern w:val="0"/>
          <w:sz w:val="32"/>
          <w:szCs w:val="32"/>
          <w:highlight w:val="none"/>
          <w:shd w:val="clear" w:color="auto" w:fill="FFFFFF"/>
          <w:lang w:bidi="ar"/>
        </w:rPr>
        <w:t xml:space="preserve">负责实践课程资源的开发、教材的选定或编写以及活动项目实施规程的制定和实践效果评估等工作。 </w:t>
      </w: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ascii="仿宋_GB2312" w:hAnsi="黑体" w:eastAsia="仿宋_GB2312" w:cs="宋体"/>
          <w:b/>
          <w:bCs/>
          <w:color w:val="FF0000"/>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widowControl/>
        <w:spacing w:line="560" w:lineRule="exact"/>
        <w:ind w:firstLine="640" w:firstLineChars="200"/>
        <w:jc w:val="left"/>
        <w:rPr>
          <w:rFonts w:hint="eastAsia" w:ascii="仿宋_GB2312" w:hAnsi="宋体" w:eastAsia="仿宋_GB2312" w:cs="宋体"/>
          <w:color w:val="auto"/>
          <w:kern w:val="0"/>
          <w:sz w:val="32"/>
          <w:szCs w:val="32"/>
          <w:highlight w:val="none"/>
        </w:rPr>
      </w:pPr>
      <w:r>
        <w:rPr>
          <w:rFonts w:hint="eastAsia" w:ascii="仿宋" w:hAnsi="仿宋" w:eastAsia="仿宋" w:cs="仿宋"/>
          <w:bCs/>
          <w:color w:val="auto"/>
          <w:sz w:val="32"/>
          <w:szCs w:val="32"/>
          <w:highlight w:val="none"/>
        </w:rPr>
        <w:t>昌吉州青少年示范性综合实践基地</w:t>
      </w:r>
      <w:r>
        <w:rPr>
          <w:rFonts w:hint="eastAsia" w:ascii="仿宋" w:hAnsi="仿宋" w:eastAsia="仿宋" w:cs="仿宋"/>
          <w:bCs/>
          <w:color w:val="auto"/>
          <w:sz w:val="32"/>
          <w:szCs w:val="32"/>
          <w:highlight w:val="none"/>
          <w:lang w:val="en-US" w:eastAsia="zh-CN"/>
        </w:rPr>
        <w:t>服务</w:t>
      </w:r>
      <w:r>
        <w:rPr>
          <w:rFonts w:hint="eastAsia" w:ascii="仿宋" w:hAnsi="仿宋" w:eastAsia="仿宋" w:cs="仿宋"/>
          <w:bCs/>
          <w:color w:val="auto"/>
          <w:sz w:val="32"/>
          <w:szCs w:val="32"/>
          <w:highlight w:val="none"/>
        </w:rPr>
        <w:t>中心</w:t>
      </w:r>
      <w:r>
        <w:rPr>
          <w:rFonts w:hint="eastAsia" w:ascii="仿宋_GB2312" w:hAnsi="黑体" w:eastAsia="仿宋_GB2312" w:cs="宋体"/>
          <w:bCs/>
          <w:color w:val="auto"/>
          <w:kern w:val="0"/>
          <w:sz w:val="32"/>
          <w:szCs w:val="32"/>
          <w:highlight w:val="none"/>
        </w:rPr>
        <w:t>无下属预算单位，</w:t>
      </w:r>
      <w:r>
        <w:rPr>
          <w:rFonts w:hint="eastAsia" w:ascii="仿宋_GB2312" w:hAnsi="黑体" w:eastAsia="仿宋_GB2312" w:cs="宋体"/>
          <w:bCs/>
          <w:color w:val="auto"/>
          <w:kern w:val="0"/>
          <w:sz w:val="32"/>
          <w:szCs w:val="32"/>
          <w:highlight w:val="none"/>
        </w:rPr>
        <w:t>下设</w:t>
      </w:r>
      <w:r>
        <w:rPr>
          <w:rFonts w:hint="eastAsia" w:ascii="仿宋_GB2312" w:hAnsi="黑体" w:eastAsia="仿宋_GB2312" w:cs="宋体"/>
          <w:bCs/>
          <w:color w:val="auto"/>
          <w:kern w:val="0"/>
          <w:sz w:val="32"/>
          <w:szCs w:val="32"/>
          <w:highlight w:val="none"/>
          <w:lang w:val="en-US" w:eastAsia="zh-CN"/>
        </w:rPr>
        <w:t>4</w:t>
      </w:r>
      <w:r>
        <w:rPr>
          <w:rFonts w:hint="eastAsia" w:ascii="仿宋_GB2312" w:hAnsi="黑体" w:eastAsia="仿宋_GB2312" w:cs="宋体"/>
          <w:bCs/>
          <w:color w:val="auto"/>
          <w:kern w:val="0"/>
          <w:sz w:val="32"/>
          <w:szCs w:val="32"/>
          <w:highlight w:val="none"/>
        </w:rPr>
        <w:t>个处室，分别是：</w:t>
      </w:r>
      <w:r>
        <w:rPr>
          <w:rFonts w:hint="eastAsia" w:ascii="仿宋_GB2312" w:hAnsi="宋体" w:eastAsia="仿宋_GB2312" w:cs="宋体"/>
          <w:color w:val="auto"/>
          <w:kern w:val="0"/>
          <w:sz w:val="32"/>
          <w:szCs w:val="32"/>
          <w:highlight w:val="none"/>
        </w:rPr>
        <w:t>综合办公</w:t>
      </w:r>
      <w:r>
        <w:rPr>
          <w:rFonts w:hint="eastAsia" w:ascii="仿宋_GB2312" w:hAnsi="宋体" w:eastAsia="仿宋_GB2312" w:cs="宋体"/>
          <w:color w:val="auto"/>
          <w:kern w:val="0"/>
          <w:sz w:val="32"/>
          <w:szCs w:val="32"/>
          <w:highlight w:val="none"/>
          <w:lang w:eastAsia="zh-CN"/>
        </w:rPr>
        <w:t>室、教务处、</w:t>
      </w:r>
      <w:r>
        <w:rPr>
          <w:rFonts w:hint="eastAsia" w:ascii="仿宋_GB2312" w:hAnsi="宋体" w:eastAsia="仿宋_GB2312" w:cs="宋体"/>
          <w:color w:val="auto"/>
          <w:kern w:val="0"/>
          <w:sz w:val="32"/>
          <w:szCs w:val="32"/>
          <w:highlight w:val="none"/>
        </w:rPr>
        <w:t>总务室、</w:t>
      </w:r>
      <w:r>
        <w:rPr>
          <w:rFonts w:hint="eastAsia" w:ascii="仿宋_GB2312" w:hAnsi="宋体" w:eastAsia="仿宋_GB2312" w:cs="宋体"/>
          <w:color w:val="auto"/>
          <w:kern w:val="0"/>
          <w:sz w:val="32"/>
          <w:szCs w:val="32"/>
          <w:highlight w:val="none"/>
          <w:lang w:val="en-US" w:eastAsia="zh-CN"/>
        </w:rPr>
        <w:t>安全办</w:t>
      </w:r>
      <w:r>
        <w:rPr>
          <w:rFonts w:hint="eastAsia" w:ascii="仿宋_GB2312" w:hAnsi="宋体" w:eastAsia="仿宋_GB2312" w:cs="宋体"/>
          <w:color w:val="auto"/>
          <w:kern w:val="0"/>
          <w:sz w:val="32"/>
          <w:szCs w:val="32"/>
          <w:highlight w:val="none"/>
        </w:rPr>
        <w:t>。</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ascii="仿宋_GB2312" w:hAnsi="宋体" w:eastAsia="仿宋_GB2312" w:cs="宋体"/>
          <w:color w:val="auto"/>
          <w:kern w:val="0"/>
          <w:sz w:val="32"/>
          <w:szCs w:val="32"/>
          <w:highlight w:val="none"/>
        </w:rPr>
      </w:pPr>
      <w:r>
        <w:rPr>
          <w:rFonts w:hint="eastAsia" w:ascii="仿宋" w:hAnsi="仿宋" w:eastAsia="仿宋" w:cs="仿宋"/>
          <w:bCs/>
          <w:color w:val="auto"/>
          <w:sz w:val="32"/>
          <w:szCs w:val="32"/>
          <w:highlight w:val="none"/>
        </w:rPr>
        <w:t>昌吉州青少年示范性综合实践基地</w:t>
      </w:r>
      <w:r>
        <w:rPr>
          <w:rFonts w:hint="eastAsia" w:ascii="仿宋" w:hAnsi="仿宋" w:eastAsia="仿宋" w:cs="仿宋"/>
          <w:bCs/>
          <w:color w:val="auto"/>
          <w:sz w:val="32"/>
          <w:szCs w:val="32"/>
          <w:highlight w:val="none"/>
          <w:lang w:val="en-US" w:eastAsia="zh-CN"/>
        </w:rPr>
        <w:t>服务</w:t>
      </w:r>
      <w:r>
        <w:rPr>
          <w:rFonts w:hint="eastAsia" w:ascii="仿宋" w:hAnsi="仿宋" w:eastAsia="仿宋" w:cs="仿宋"/>
          <w:bCs/>
          <w:color w:val="auto"/>
          <w:sz w:val="32"/>
          <w:szCs w:val="32"/>
          <w:highlight w:val="none"/>
        </w:rPr>
        <w:t>中心</w:t>
      </w:r>
      <w:r>
        <w:rPr>
          <w:rFonts w:hint="eastAsia" w:ascii="仿宋_GB2312" w:hAnsi="宋体" w:eastAsia="仿宋_GB2312" w:cs="宋体"/>
          <w:color w:val="auto"/>
          <w:kern w:val="0"/>
          <w:sz w:val="32"/>
          <w:szCs w:val="32"/>
          <w:highlight w:val="none"/>
        </w:rPr>
        <w:t xml:space="preserve">编制数 </w:t>
      </w:r>
      <w:r>
        <w:rPr>
          <w:rFonts w:hint="eastAsia" w:ascii="仿宋_GB2312" w:hAnsi="宋体" w:eastAsia="仿宋_GB2312" w:cs="宋体"/>
          <w:color w:val="auto"/>
          <w:kern w:val="0"/>
          <w:sz w:val="32"/>
          <w:szCs w:val="32"/>
          <w:highlight w:val="none"/>
          <w:lang w:val="en-US" w:eastAsia="zh-CN"/>
        </w:rPr>
        <w:t>8人</w:t>
      </w:r>
      <w:r>
        <w:rPr>
          <w:rFonts w:hint="eastAsia" w:ascii="仿宋_GB2312" w:hAnsi="宋体" w:eastAsia="仿宋_GB2312" w:cs="宋体"/>
          <w:color w:val="auto"/>
          <w:kern w:val="0"/>
          <w:sz w:val="32"/>
          <w:szCs w:val="32"/>
          <w:highlight w:val="none"/>
        </w:rPr>
        <w:t>，实有人数</w:t>
      </w:r>
      <w:r>
        <w:rPr>
          <w:rFonts w:hint="eastAsia" w:ascii="仿宋_GB2312" w:hAnsi="宋体" w:eastAsia="仿宋_GB2312" w:cs="宋体"/>
          <w:color w:val="auto"/>
          <w:kern w:val="0"/>
          <w:sz w:val="32"/>
          <w:szCs w:val="32"/>
          <w:highlight w:val="none"/>
          <w:lang w:val="en-US" w:eastAsia="zh-CN"/>
        </w:rPr>
        <w:t>9</w:t>
      </w:r>
      <w:r>
        <w:rPr>
          <w:rFonts w:hint="eastAsia" w:ascii="仿宋_GB2312" w:hAnsi="宋体" w:eastAsia="仿宋_GB2312" w:cs="宋体"/>
          <w:color w:val="auto"/>
          <w:kern w:val="0"/>
          <w:sz w:val="32"/>
          <w:szCs w:val="32"/>
          <w:highlight w:val="none"/>
        </w:rPr>
        <w:t>人，其中：在职</w:t>
      </w:r>
      <w:r>
        <w:rPr>
          <w:rFonts w:hint="eastAsia" w:ascii="仿宋_GB2312" w:hAnsi="宋体" w:eastAsia="仿宋_GB2312" w:cs="宋体"/>
          <w:color w:val="auto"/>
          <w:kern w:val="0"/>
          <w:sz w:val="32"/>
          <w:szCs w:val="32"/>
          <w:highlight w:val="none"/>
          <w:lang w:val="en-US" w:eastAsia="zh-CN"/>
        </w:rPr>
        <w:t>8</w:t>
      </w:r>
      <w:r>
        <w:rPr>
          <w:rFonts w:hint="eastAsia" w:ascii="仿宋_GB2312" w:hAnsi="宋体" w:eastAsia="仿宋_GB2312" w:cs="宋体"/>
          <w:color w:val="auto"/>
          <w:kern w:val="0"/>
          <w:sz w:val="32"/>
          <w:szCs w:val="32"/>
          <w:highlight w:val="none"/>
        </w:rPr>
        <w:t>人，增加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人；退休</w:t>
      </w:r>
      <w:r>
        <w:rPr>
          <w:rFonts w:hint="eastAsia" w:ascii="仿宋_GB2312" w:hAnsi="宋体" w:eastAsia="仿宋_GB2312" w:cs="宋体"/>
          <w:color w:val="auto"/>
          <w:kern w:val="0"/>
          <w:sz w:val="32"/>
          <w:szCs w:val="32"/>
          <w:highlight w:val="none"/>
          <w:lang w:val="en-US" w:eastAsia="zh-CN"/>
        </w:rPr>
        <w:t>1</w:t>
      </w:r>
      <w:r>
        <w:rPr>
          <w:rFonts w:hint="eastAsia" w:ascii="仿宋_GB2312" w:hAnsi="宋体" w:eastAsia="仿宋_GB2312" w:cs="宋体"/>
          <w:color w:val="auto"/>
          <w:kern w:val="0"/>
          <w:sz w:val="32"/>
          <w:szCs w:val="32"/>
          <w:highlight w:val="none"/>
        </w:rPr>
        <w:t>人，增加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人；离休</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w:t>
      </w: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pStyle w:val="2"/>
        <w:rPr>
          <w:rFonts w:hint="eastAsia" w:ascii="黑体" w:hAnsi="黑体" w:eastAsia="黑体"/>
          <w:color w:val="auto"/>
          <w:kern w:val="0"/>
          <w:sz w:val="32"/>
          <w:szCs w:val="32"/>
          <w:highlight w:val="none"/>
        </w:rPr>
      </w:pPr>
    </w:p>
    <w:p>
      <w:pPr>
        <w:pStyle w:val="2"/>
        <w:rPr>
          <w:rFonts w:hint="eastAsia" w:ascii="黑体" w:hAnsi="黑体" w:eastAsia="黑体"/>
          <w:color w:val="auto"/>
          <w:kern w:val="0"/>
          <w:sz w:val="32"/>
          <w:szCs w:val="32"/>
          <w:highlight w:val="none"/>
        </w:rPr>
      </w:pPr>
    </w:p>
    <w:p>
      <w:pPr>
        <w:pStyle w:val="2"/>
        <w:rPr>
          <w:rFonts w:hint="eastAsia" w:ascii="黑体" w:hAnsi="黑体" w:eastAsia="黑体"/>
          <w:color w:val="auto"/>
          <w:kern w:val="0"/>
          <w:sz w:val="32"/>
          <w:szCs w:val="32"/>
          <w:highlight w:val="none"/>
        </w:rPr>
      </w:pPr>
    </w:p>
    <w:p>
      <w:pPr>
        <w:pStyle w:val="2"/>
        <w:rPr>
          <w:rFonts w:hint="eastAsia" w:ascii="黑体" w:hAnsi="黑体" w:eastAsia="黑体"/>
          <w:color w:val="auto"/>
          <w:kern w:val="0"/>
          <w:sz w:val="32"/>
          <w:szCs w:val="32"/>
          <w:highlight w:val="none"/>
        </w:rPr>
      </w:pPr>
    </w:p>
    <w:p>
      <w:pPr>
        <w:pStyle w:val="2"/>
        <w:rPr>
          <w:rFonts w:hint="eastAsia" w:ascii="黑体" w:hAnsi="黑体" w:eastAsia="黑体"/>
          <w:color w:val="auto"/>
          <w:kern w:val="0"/>
          <w:sz w:val="32"/>
          <w:szCs w:val="32"/>
          <w:highlight w:val="none"/>
        </w:rPr>
      </w:pPr>
    </w:p>
    <w:p>
      <w:pPr>
        <w:pStyle w:val="2"/>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val="en-US" w:eastAsia="zh-CN"/>
        </w:rPr>
        <w:t>2025</w:t>
      </w:r>
      <w:r>
        <w:rPr>
          <w:rFonts w:hint="eastAsia" w:ascii="黑体" w:hAnsi="黑体" w:eastAsia="黑体"/>
          <w:color w:val="auto"/>
          <w:kern w:val="0"/>
          <w:sz w:val="32"/>
          <w:szCs w:val="32"/>
          <w:highlight w:val="none"/>
        </w:rPr>
        <w:t>年</w:t>
      </w:r>
      <w:r>
        <w:rPr>
          <w:rFonts w:hint="eastAsia" w:ascii="黑体" w:hAnsi="黑体" w:eastAsia="黑体"/>
          <w:color w:val="auto"/>
          <w:kern w:val="0"/>
          <w:sz w:val="32"/>
          <w:szCs w:val="32"/>
          <w:highlight w:val="none"/>
          <w:lang w:eastAsia="zh-CN"/>
        </w:rPr>
        <w:t>部门</w:t>
      </w:r>
      <w:r>
        <w:rPr>
          <w:rFonts w:hint="eastAsia" w:ascii="黑体" w:hAnsi="黑体" w:eastAsia="黑体"/>
          <w:color w:val="auto"/>
          <w:kern w:val="0"/>
          <w:sz w:val="32"/>
          <w:szCs w:val="32"/>
          <w:highlight w:val="none"/>
        </w:rPr>
        <w:t>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部门</w:t>
      </w:r>
      <w:r>
        <w:rPr>
          <w:rFonts w:hint="eastAsia" w:ascii="仿宋_GB2312" w:hAnsi="宋体" w:eastAsia="仿宋_GB2312"/>
          <w:b/>
          <w:color w:val="auto"/>
          <w:kern w:val="0"/>
          <w:sz w:val="32"/>
          <w:szCs w:val="32"/>
          <w:highlight w:val="none"/>
        </w:rPr>
        <w:t>收支总体情况表</w:t>
      </w:r>
    </w:p>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编制</w:t>
      </w:r>
      <w:r>
        <w:rPr>
          <w:rFonts w:hint="eastAsia" w:ascii="仿宋_GB2312" w:hAnsi="宋体" w:eastAsia="仿宋_GB2312" w:cs="宋体"/>
          <w:color w:val="auto"/>
          <w:kern w:val="0"/>
          <w:sz w:val="18"/>
          <w:szCs w:val="18"/>
          <w:highlight w:val="none"/>
          <w:shd w:val="clear" w:color="auto" w:fill="auto"/>
          <w:lang w:eastAsia="zh-CN"/>
        </w:rPr>
        <w:t>部门</w:t>
      </w:r>
      <w:r>
        <w:rPr>
          <w:rFonts w:hint="eastAsia" w:ascii="仿宋_GB2312" w:hAnsi="宋体" w:eastAsia="仿宋_GB2312" w:cs="宋体"/>
          <w:color w:val="auto"/>
          <w:kern w:val="0"/>
          <w:sz w:val="18"/>
          <w:szCs w:val="18"/>
          <w:highlight w:val="none"/>
          <w:shd w:val="clear" w:color="auto" w:fill="auto"/>
        </w:rPr>
        <w:t>：昌吉州青少年示范性综合实践基地</w:t>
      </w:r>
      <w:r>
        <w:rPr>
          <w:rFonts w:hint="eastAsia" w:ascii="仿宋_GB2312" w:hAnsi="宋体" w:eastAsia="仿宋_GB2312" w:cs="宋体"/>
          <w:color w:val="auto"/>
          <w:kern w:val="0"/>
          <w:sz w:val="18"/>
          <w:szCs w:val="18"/>
          <w:highlight w:val="none"/>
          <w:shd w:val="clear" w:color="auto" w:fill="auto"/>
          <w:lang w:val="en-US" w:eastAsia="zh-CN"/>
        </w:rPr>
        <w:t>服务</w:t>
      </w:r>
      <w:r>
        <w:rPr>
          <w:rFonts w:hint="eastAsia" w:ascii="仿宋_GB2312" w:hAnsi="宋体" w:eastAsia="仿宋_GB2312" w:cs="宋体"/>
          <w:color w:val="auto"/>
          <w:kern w:val="0"/>
          <w:sz w:val="18"/>
          <w:szCs w:val="18"/>
          <w:highlight w:val="none"/>
          <w:shd w:val="clear" w:color="auto" w:fill="auto"/>
        </w:rPr>
        <w:t xml:space="preserve">中心                                  </w:t>
      </w:r>
      <w:r>
        <w:rPr>
          <w:rFonts w:hint="eastAsia" w:ascii="仿宋_GB2312" w:hAnsi="宋体" w:eastAsia="仿宋_GB2312" w:cs="宋体"/>
          <w:color w:val="auto"/>
          <w:kern w:val="0"/>
          <w:sz w:val="18"/>
          <w:szCs w:val="18"/>
          <w:highlight w:val="none"/>
          <w:shd w:val="clear" w:color="auto" w:fill="auto"/>
          <w:lang w:val="en-US" w:eastAsia="zh-CN"/>
        </w:rPr>
        <w:t xml:space="preserve"> </w:t>
      </w:r>
      <w:r>
        <w:rPr>
          <w:rFonts w:hint="eastAsia" w:ascii="仿宋_GB2312" w:hAnsi="宋体" w:eastAsia="仿宋_GB2312" w:cs="宋体"/>
          <w:color w:val="auto"/>
          <w:kern w:val="0"/>
          <w:sz w:val="18"/>
          <w:szCs w:val="18"/>
          <w:highlight w:val="none"/>
          <w:shd w:val="clear" w:color="auto" w:fill="auto"/>
        </w:rPr>
        <w:t>单位：万元</w:t>
      </w:r>
    </w:p>
    <w:tbl>
      <w:tblPr>
        <w:tblStyle w:val="9"/>
        <w:tblW w:w="8662" w:type="dxa"/>
        <w:tblInd w:w="93" w:type="dxa"/>
        <w:tblLayout w:type="fixed"/>
        <w:tblCellMar>
          <w:top w:w="0" w:type="dxa"/>
          <w:left w:w="108" w:type="dxa"/>
          <w:bottom w:w="0" w:type="dxa"/>
          <w:right w:w="108" w:type="dxa"/>
        </w:tblCellMar>
      </w:tblPr>
      <w:tblGrid>
        <w:gridCol w:w="3165"/>
        <w:gridCol w:w="1103"/>
        <w:gridCol w:w="2693"/>
        <w:gridCol w:w="1701"/>
      </w:tblGrid>
      <w:tr>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vAlign w:val="bottom"/>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both"/>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lang w:val="en-US" w:eastAsia="zh-CN"/>
              </w:rPr>
              <w:t>299.48</w:t>
            </w:r>
            <w:r>
              <w:rPr>
                <w:rFonts w:hint="eastAsia" w:ascii="仿宋" w:hAnsi="仿宋" w:eastAsia="仿宋" w:cs="仿宋"/>
                <w:color w:val="auto"/>
                <w:kern w:val="0"/>
                <w:sz w:val="20"/>
                <w:szCs w:val="20"/>
                <w:highlight w:val="none"/>
              </w:rPr>
              <w:t>　</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vAlign w:val="top"/>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lang w:val="en-US" w:eastAsia="zh-CN"/>
              </w:rPr>
              <w:t>226.03</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vAlign w:val="top"/>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lang w:val="en-US" w:eastAsia="zh-CN"/>
              </w:rPr>
              <w:t>226.03</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lang w:val="en-US" w:eastAsia="zh-CN"/>
              </w:rPr>
              <w:t>299.48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20"/>
                <w:szCs w:val="20"/>
                <w:highlight w:val="none"/>
              </w:rPr>
            </w:pP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卫生健康支出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r>
              <w:rPr>
                <w:rFonts w:hint="eastAsia" w:ascii="仿宋" w:hAnsi="仿宋" w:eastAsia="仿宋" w:cs="仿宋"/>
                <w:color w:val="auto"/>
                <w:kern w:val="0"/>
                <w:sz w:val="20"/>
                <w:szCs w:val="20"/>
                <w:highlight w:val="none"/>
                <w:lang w:val="en-US" w:eastAsia="zh-CN"/>
              </w:rPr>
              <w:t>73.45</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r>
              <w:rPr>
                <w:rFonts w:hint="eastAsia" w:ascii="仿宋" w:hAnsi="仿宋" w:eastAsia="仿宋" w:cs="仿宋"/>
                <w:color w:val="auto"/>
                <w:kern w:val="0"/>
                <w:sz w:val="20"/>
                <w:szCs w:val="20"/>
                <w:highlight w:val="none"/>
                <w:lang w:val="en-US" w:eastAsia="zh-CN"/>
              </w:rPr>
              <w:t>73.45</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20"/>
                <w:szCs w:val="20"/>
                <w:highlight w:val="none"/>
              </w:rPr>
            </w:pP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p>
        </w:tc>
      </w:tr>
      <w:tr>
        <w:tblPrEx>
          <w:tblCellMar>
            <w:top w:w="0" w:type="dxa"/>
            <w:left w:w="108" w:type="dxa"/>
            <w:bottom w:w="0" w:type="dxa"/>
            <w:right w:w="108" w:type="dxa"/>
          </w:tblCellMar>
        </w:tblPrEx>
        <w:trPr>
          <w:trHeight w:val="400"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灾害防治及应急管理支出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20"/>
                <w:szCs w:val="20"/>
                <w:highlight w:val="none"/>
              </w:rPr>
            </w:pP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20"/>
                <w:szCs w:val="20"/>
                <w:highlight w:val="none"/>
              </w:rPr>
            </w:pP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转移性支出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20"/>
                <w:szCs w:val="20"/>
                <w:highlight w:val="none"/>
              </w:rPr>
            </w:pPr>
          </w:p>
        </w:tc>
        <w:tc>
          <w:tcPr>
            <w:tcW w:w="269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xml:space="preserve">                    </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20"/>
                <w:szCs w:val="20"/>
                <w:highlight w:val="none"/>
              </w:rPr>
            </w:pPr>
          </w:p>
        </w:tc>
        <w:tc>
          <w:tcPr>
            <w:tcW w:w="269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textAlignment w:val="center"/>
              <w:rPr>
                <w:rFonts w:hint="eastAsia" w:ascii="仿宋_GB2312" w:hAnsi="宋体" w:eastAsia="仿宋_GB2312" w:cs="宋体"/>
                <w:color w:val="auto"/>
                <w:kern w:val="0"/>
                <w:sz w:val="18"/>
                <w:szCs w:val="18"/>
                <w:highlight w:val="none"/>
                <w:lang w:bidi="ar"/>
              </w:rPr>
            </w:pP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20"/>
                <w:szCs w:val="20"/>
                <w:highlight w:val="none"/>
              </w:rPr>
            </w:pPr>
          </w:p>
        </w:tc>
      </w:tr>
      <w:tr>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20"/>
                <w:szCs w:val="20"/>
                <w:highlight w:val="none"/>
              </w:rPr>
            </w:pPr>
            <w:r>
              <w:rPr>
                <w:rFonts w:hint="eastAsia" w:ascii="仿宋" w:hAnsi="仿宋" w:eastAsia="仿宋" w:cs="仿宋"/>
                <w:b/>
                <w:bCs/>
                <w:i w:val="0"/>
                <w:color w:val="000000"/>
                <w:kern w:val="0"/>
                <w:sz w:val="20"/>
                <w:szCs w:val="20"/>
                <w:highlight w:val="none"/>
                <w:u w:val="none"/>
                <w:lang w:val="en-US" w:eastAsia="zh-CN" w:bidi="ar"/>
              </w:rPr>
              <w:t>299.48</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b/>
                <w:bCs/>
                <w:color w:val="auto"/>
                <w:kern w:val="0"/>
                <w:sz w:val="20"/>
                <w:szCs w:val="20"/>
                <w:highlight w:val="none"/>
              </w:rPr>
            </w:pPr>
            <w:r>
              <w:rPr>
                <w:rFonts w:hint="eastAsia" w:ascii="仿宋" w:hAnsi="仿宋" w:eastAsia="仿宋" w:cs="仿宋"/>
                <w:b/>
                <w:bCs/>
                <w:i w:val="0"/>
                <w:color w:val="000000"/>
                <w:kern w:val="0"/>
                <w:sz w:val="20"/>
                <w:szCs w:val="20"/>
                <w:highlight w:val="none"/>
                <w:u w:val="none"/>
                <w:lang w:val="en-US" w:eastAsia="zh-CN" w:bidi="ar"/>
              </w:rPr>
              <w:t>299.48</w:t>
            </w:r>
            <w:r>
              <w:rPr>
                <w:rFonts w:hint="eastAsia" w:ascii="仿宋" w:hAnsi="仿宋" w:eastAsia="仿宋" w:cs="仿宋"/>
                <w:b/>
                <w:bCs/>
                <w:color w:val="auto"/>
                <w:kern w:val="0"/>
                <w:sz w:val="20"/>
                <w:szCs w:val="20"/>
                <w:highlight w:val="none"/>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footerReference r:id="rId5" w:type="default"/>
          <w:pgSz w:w="11906" w:h="16838"/>
          <w:pgMar w:top="1440" w:right="1800" w:bottom="1440" w:left="1800" w:header="851" w:footer="992" w:gutter="0"/>
          <w:pgBorders>
            <w:top w:val="none" w:sz="0" w:space="0"/>
            <w:left w:val="none" w:sz="0" w:space="0"/>
            <w:bottom w:val="none" w:sz="0" w:space="0"/>
            <w:right w:val="none" w:sz="0" w:space="0"/>
          </w:pgBorders>
          <w:pgNumType w:fmt="numberInDash"/>
          <w:cols w:space="720" w:num="1"/>
          <w:docGrid w:type="lines" w:linePitch="312" w:charSpace="0"/>
        </w:sectPr>
      </w:pPr>
    </w:p>
    <w:p>
      <w:pPr>
        <w:keepNext w:val="0"/>
        <w:keepLines w:val="0"/>
        <w:widowControl/>
        <w:suppressLineNumbers w:val="0"/>
        <w:jc w:val="left"/>
        <w:textAlignment w:val="bottom"/>
        <w:rPr>
          <w:rFonts w:hint="eastAsia" w:ascii="仿宋_GB2312" w:hAnsi="仿宋_GB2312" w:eastAsia="仿宋_GB2312" w:cs="仿宋_GB2312"/>
          <w:b/>
          <w:bCs w:val="0"/>
          <w:color w:val="auto"/>
          <w:kern w:val="0"/>
          <w:sz w:val="32"/>
          <w:szCs w:val="32"/>
          <w:highlight w:val="none"/>
          <w:lang w:eastAsia="zh-CN"/>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仿宋_GB2312" w:eastAsia="仿宋_GB2312" w:cs="仿宋_GB2312"/>
          <w:b/>
          <w:bCs w:val="0"/>
          <w:color w:val="auto"/>
          <w:kern w:val="0"/>
          <w:sz w:val="32"/>
          <w:szCs w:val="32"/>
          <w:highlight w:val="none"/>
        </w:rPr>
      </w:pPr>
      <w:r>
        <w:rPr>
          <w:rFonts w:hint="eastAsia" w:ascii="仿宋_GB2312" w:hAnsi="仿宋_GB2312" w:eastAsia="仿宋_GB2312" w:cs="仿宋_GB2312"/>
          <w:b/>
          <w:bCs w:val="0"/>
          <w:color w:val="auto"/>
          <w:kern w:val="0"/>
          <w:sz w:val="32"/>
          <w:szCs w:val="32"/>
          <w:highlight w:val="none"/>
          <w:lang w:eastAsia="zh-CN"/>
        </w:rPr>
        <w:t>部门</w:t>
      </w:r>
      <w:r>
        <w:rPr>
          <w:rFonts w:hint="eastAsia" w:ascii="仿宋_GB2312" w:hAnsi="仿宋_GB2312" w:eastAsia="仿宋_GB2312" w:cs="仿宋_GB2312"/>
          <w:b/>
          <w:bCs w:val="0"/>
          <w:color w:val="auto"/>
          <w:kern w:val="0"/>
          <w:sz w:val="32"/>
          <w:szCs w:val="32"/>
          <w:highlight w:val="none"/>
        </w:rPr>
        <w:t>收入总体情况表</w:t>
      </w:r>
    </w:p>
    <w:p>
      <w:pPr>
        <w:pStyle w:val="2"/>
        <w:rPr>
          <w:rFonts w:hint="eastAsia"/>
          <w:highlight w:val="none"/>
          <w:lang w:eastAsia="zh-CN"/>
        </w:rPr>
      </w:pPr>
    </w:p>
    <w:p>
      <w:pPr>
        <w:widowControl/>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：昌吉州青少年示范性综合实践基地</w:t>
      </w:r>
      <w:r>
        <w:rPr>
          <w:rFonts w:hint="eastAsia" w:ascii="仿宋_GB2312" w:hAnsi="宋体" w:eastAsia="仿宋_GB2312"/>
          <w:color w:val="auto"/>
          <w:kern w:val="0"/>
          <w:sz w:val="24"/>
          <w:highlight w:val="none"/>
          <w:lang w:val="en-US" w:eastAsia="zh-CN"/>
        </w:rPr>
        <w:t>服务</w:t>
      </w:r>
      <w:r>
        <w:rPr>
          <w:rFonts w:hint="eastAsia" w:ascii="仿宋_GB2312" w:hAnsi="宋体" w:eastAsia="仿宋_GB2312"/>
          <w:color w:val="auto"/>
          <w:kern w:val="0"/>
          <w:sz w:val="24"/>
          <w:highlight w:val="none"/>
        </w:rPr>
        <w:t xml:space="preserve">中心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9"/>
        <w:tblpPr w:leftFromText="180" w:rightFromText="180" w:vertAnchor="text" w:horzAnchor="page" w:tblpX="969" w:tblpY="321"/>
        <w:tblOverlap w:val="never"/>
        <w:tblW w:w="14497" w:type="dxa"/>
        <w:tblInd w:w="0" w:type="dxa"/>
        <w:tblLayout w:type="fixed"/>
        <w:tblCellMar>
          <w:top w:w="0" w:type="dxa"/>
          <w:left w:w="108" w:type="dxa"/>
          <w:bottom w:w="0" w:type="dxa"/>
          <w:right w:w="108" w:type="dxa"/>
        </w:tblCellMar>
      </w:tblPr>
      <w:tblGrid>
        <w:gridCol w:w="704"/>
        <w:gridCol w:w="750"/>
        <w:gridCol w:w="768"/>
        <w:gridCol w:w="1947"/>
        <w:gridCol w:w="1170"/>
        <w:gridCol w:w="1138"/>
        <w:gridCol w:w="1207"/>
        <w:gridCol w:w="786"/>
        <w:gridCol w:w="766"/>
        <w:gridCol w:w="805"/>
        <w:gridCol w:w="938"/>
        <w:gridCol w:w="847"/>
        <w:gridCol w:w="575"/>
        <w:gridCol w:w="1035"/>
        <w:gridCol w:w="463"/>
        <w:gridCol w:w="598"/>
      </w:tblGrid>
      <w:tr>
        <w:tblPrEx>
          <w:tblCellMar>
            <w:top w:w="0" w:type="dxa"/>
            <w:left w:w="108" w:type="dxa"/>
            <w:bottom w:w="0" w:type="dxa"/>
            <w:right w:w="108" w:type="dxa"/>
          </w:tblCellMar>
        </w:tblPrEx>
        <w:trPr>
          <w:trHeight w:val="722" w:hRule="atLeast"/>
        </w:trPr>
        <w:tc>
          <w:tcPr>
            <w:tcW w:w="2222"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1947" w:type="dxa"/>
            <w:vMerge w:val="restart"/>
            <w:tcBorders>
              <w:top w:val="single" w:color="auto" w:sz="4" w:space="0"/>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1170" w:type="dxa"/>
            <w:vMerge w:val="restart"/>
            <w:tcBorders>
              <w:top w:val="single" w:color="auto" w:sz="4" w:space="0"/>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6487" w:type="dxa"/>
            <w:gridSpan w:val="7"/>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575" w:type="dxa"/>
            <w:vMerge w:val="restart"/>
            <w:tcBorders>
              <w:top w:val="single" w:color="auto" w:sz="4" w:space="0"/>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1035" w:type="dxa"/>
            <w:vMerge w:val="restart"/>
            <w:tcBorders>
              <w:top w:val="single" w:color="auto" w:sz="4" w:space="0"/>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463" w:type="dxa"/>
            <w:vMerge w:val="restart"/>
            <w:tcBorders>
              <w:top w:val="single" w:color="auto" w:sz="4" w:space="0"/>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598" w:type="dxa"/>
            <w:vMerge w:val="restart"/>
            <w:tcBorders>
              <w:top w:val="single" w:color="auto" w:sz="4" w:space="0"/>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tblPrEx>
          <w:tblCellMar>
            <w:top w:w="0" w:type="dxa"/>
            <w:left w:w="108" w:type="dxa"/>
            <w:bottom w:w="0" w:type="dxa"/>
            <w:right w:w="108" w:type="dxa"/>
          </w:tblCellMar>
        </w:tblPrEx>
        <w:trPr>
          <w:trHeight w:val="2166" w:hRule="atLeast"/>
        </w:trPr>
        <w:tc>
          <w:tcPr>
            <w:tcW w:w="704" w:type="dxa"/>
            <w:tcBorders>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750" w:type="dxa"/>
            <w:tcBorders>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768" w:type="dxa"/>
            <w:tcBorders>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1947" w:type="dxa"/>
            <w:vMerge w:val="continue"/>
            <w:tcBorders>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rPr>
                <w:rFonts w:hint="default" w:ascii="仿宋_GB2312" w:hAnsi="宋体" w:eastAsia="仿宋_GB2312" w:cs="宋体"/>
                <w:color w:val="auto"/>
                <w:sz w:val="20"/>
                <w:szCs w:val="20"/>
                <w:highlight w:val="none"/>
              </w:rPr>
            </w:pPr>
          </w:p>
        </w:tc>
        <w:tc>
          <w:tcPr>
            <w:tcW w:w="1170" w:type="dxa"/>
            <w:vMerge w:val="continue"/>
            <w:tcBorders>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rPr>
                <w:rFonts w:hint="default" w:ascii="仿宋_GB2312" w:hAnsi="宋体" w:eastAsia="仿宋_GB2312" w:cs="宋体"/>
                <w:color w:val="auto"/>
                <w:sz w:val="20"/>
                <w:szCs w:val="20"/>
                <w:highlight w:val="none"/>
              </w:rPr>
            </w:pPr>
          </w:p>
        </w:tc>
        <w:tc>
          <w:tcPr>
            <w:tcW w:w="1138" w:type="dxa"/>
            <w:tcBorders>
              <w:top w:val="single" w:color="auto" w:sz="4" w:space="0"/>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1207" w:type="dxa"/>
            <w:tcBorders>
              <w:top w:val="single" w:color="auto" w:sz="4" w:space="0"/>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786" w:type="dxa"/>
            <w:tcBorders>
              <w:top w:val="single" w:color="auto" w:sz="4" w:space="0"/>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766" w:type="dxa"/>
            <w:tcBorders>
              <w:top w:val="single" w:color="auto" w:sz="4" w:space="0"/>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805" w:type="dxa"/>
            <w:tcBorders>
              <w:top w:val="single" w:color="auto" w:sz="4" w:space="0"/>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938" w:type="dxa"/>
            <w:tcBorders>
              <w:top w:val="single" w:color="auto" w:sz="4" w:space="0"/>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847" w:type="dxa"/>
            <w:tcBorders>
              <w:top w:val="single" w:color="auto" w:sz="4" w:space="0"/>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575" w:type="dxa"/>
            <w:vMerge w:val="continue"/>
            <w:tcBorders>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rPr>
                <w:rFonts w:hint="default" w:ascii="仿宋_GB2312" w:hAnsi="宋体" w:eastAsia="仿宋_GB2312" w:cs="宋体"/>
                <w:color w:val="auto"/>
                <w:sz w:val="20"/>
                <w:szCs w:val="20"/>
                <w:highlight w:val="none"/>
              </w:rPr>
            </w:pPr>
          </w:p>
        </w:tc>
        <w:tc>
          <w:tcPr>
            <w:tcW w:w="1035" w:type="dxa"/>
            <w:vMerge w:val="continue"/>
            <w:tcBorders>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rPr>
                <w:rFonts w:hint="default" w:ascii="仿宋_GB2312" w:hAnsi="宋体" w:eastAsia="仿宋_GB2312" w:cs="宋体"/>
                <w:color w:val="auto"/>
                <w:sz w:val="20"/>
                <w:szCs w:val="20"/>
                <w:highlight w:val="none"/>
              </w:rPr>
            </w:pPr>
          </w:p>
        </w:tc>
        <w:tc>
          <w:tcPr>
            <w:tcW w:w="463" w:type="dxa"/>
            <w:vMerge w:val="continue"/>
            <w:tcBorders>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rPr>
                <w:rFonts w:hint="default" w:ascii="仿宋_GB2312" w:hAnsi="宋体" w:eastAsia="仿宋_GB2312" w:cs="宋体"/>
                <w:color w:val="auto"/>
                <w:sz w:val="20"/>
                <w:szCs w:val="20"/>
                <w:highlight w:val="none"/>
              </w:rPr>
            </w:pPr>
          </w:p>
        </w:tc>
        <w:tc>
          <w:tcPr>
            <w:tcW w:w="598" w:type="dxa"/>
            <w:vMerge w:val="continue"/>
            <w:tcBorders>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rPr>
                <w:rFonts w:hint="default" w:ascii="仿宋_GB2312" w:hAnsi="宋体" w:eastAsia="仿宋_GB2312" w:cs="宋体"/>
                <w:color w:val="auto"/>
                <w:sz w:val="20"/>
                <w:szCs w:val="20"/>
                <w:highlight w:val="none"/>
              </w:rPr>
            </w:pPr>
          </w:p>
        </w:tc>
      </w:tr>
      <w:tr>
        <w:tblPrEx>
          <w:tblCellMar>
            <w:top w:w="0" w:type="dxa"/>
            <w:left w:w="108" w:type="dxa"/>
            <w:bottom w:w="0" w:type="dxa"/>
            <w:right w:w="108" w:type="dxa"/>
          </w:tblCellMar>
        </w:tblPrEx>
        <w:trPr>
          <w:trHeight w:val="648" w:hRule="atLeast"/>
        </w:trPr>
        <w:tc>
          <w:tcPr>
            <w:tcW w:w="704" w:type="dxa"/>
            <w:tcBorders>
              <w:top w:val="nil"/>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righ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205　</w:t>
            </w:r>
          </w:p>
        </w:tc>
        <w:tc>
          <w:tcPr>
            <w:tcW w:w="750"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righ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　</w:t>
            </w:r>
          </w:p>
        </w:tc>
        <w:tc>
          <w:tcPr>
            <w:tcW w:w="768"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righ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　</w:t>
            </w:r>
          </w:p>
        </w:tc>
        <w:tc>
          <w:tcPr>
            <w:tcW w:w="1947"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教育支出</w:t>
            </w:r>
            <w:r>
              <w:rPr>
                <w:rFonts w:hint="eastAsia" w:ascii="黑体" w:eastAsia="黑体"/>
                <w:bCs/>
                <w:color w:val="auto"/>
                <w:sz w:val="20"/>
                <w:szCs w:val="20"/>
                <w:highlight w:val="none"/>
              </w:rPr>
              <w:t>　</w:t>
            </w:r>
          </w:p>
        </w:tc>
        <w:tc>
          <w:tcPr>
            <w:tcW w:w="1170" w:type="dxa"/>
            <w:tcBorders>
              <w:top w:val="nil"/>
              <w:left w:val="nil"/>
              <w:bottom w:val="single" w:color="auto" w:sz="4" w:space="0"/>
              <w:right w:val="single" w:color="auto" w:sz="4" w:space="0"/>
            </w:tcBorders>
            <w:shd w:val="clear" w:color="000000" w:fill="FFFFFF"/>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299.48</w:t>
            </w:r>
          </w:p>
        </w:tc>
        <w:tc>
          <w:tcPr>
            <w:tcW w:w="1138" w:type="dxa"/>
            <w:tcBorders>
              <w:top w:val="nil"/>
              <w:left w:val="nil"/>
              <w:bottom w:val="single" w:color="auto" w:sz="4" w:space="0"/>
              <w:right w:val="single" w:color="auto" w:sz="4" w:space="0"/>
            </w:tcBorders>
            <w:shd w:val="clear" w:color="000000" w:fill="FFFFFF"/>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226.03</w:t>
            </w:r>
          </w:p>
        </w:tc>
        <w:tc>
          <w:tcPr>
            <w:tcW w:w="1207" w:type="dxa"/>
            <w:tcBorders>
              <w:top w:val="nil"/>
              <w:left w:val="nil"/>
              <w:bottom w:val="single" w:color="auto" w:sz="4" w:space="0"/>
              <w:right w:val="single" w:color="auto" w:sz="4" w:space="0"/>
            </w:tcBorders>
            <w:shd w:val="clear" w:color="000000" w:fill="FFFFFF"/>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226.03</w:t>
            </w:r>
          </w:p>
        </w:tc>
        <w:tc>
          <w:tcPr>
            <w:tcW w:w="786" w:type="dxa"/>
            <w:tcBorders>
              <w:top w:val="nil"/>
              <w:left w:val="nil"/>
              <w:bottom w:val="single" w:color="auto" w:sz="4" w:space="0"/>
              <w:right w:val="single" w:color="auto" w:sz="4" w:space="0"/>
            </w:tcBorders>
            <w:shd w:val="clear" w:color="000000" w:fill="FFFFFF"/>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20"/>
                <w:szCs w:val="20"/>
                <w:highlight w:val="none"/>
              </w:rPr>
            </w:pPr>
          </w:p>
        </w:tc>
        <w:tc>
          <w:tcPr>
            <w:tcW w:w="766" w:type="dxa"/>
            <w:tcBorders>
              <w:top w:val="nil"/>
              <w:left w:val="nil"/>
              <w:bottom w:val="single" w:color="auto" w:sz="4" w:space="0"/>
              <w:right w:val="single" w:color="auto" w:sz="4" w:space="0"/>
            </w:tcBorders>
            <w:shd w:val="clear" w:color="000000" w:fill="FFFFFF"/>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w:t>
            </w:r>
          </w:p>
        </w:tc>
        <w:tc>
          <w:tcPr>
            <w:tcW w:w="805" w:type="dxa"/>
            <w:tcBorders>
              <w:top w:val="nil"/>
              <w:left w:val="nil"/>
              <w:bottom w:val="single" w:color="auto" w:sz="4" w:space="0"/>
              <w:right w:val="single" w:color="auto" w:sz="4" w:space="0"/>
            </w:tcBorders>
            <w:shd w:val="clear" w:color="000000" w:fill="FFFFFF"/>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w:t>
            </w:r>
          </w:p>
        </w:tc>
        <w:tc>
          <w:tcPr>
            <w:tcW w:w="938" w:type="dxa"/>
            <w:tcBorders>
              <w:top w:val="nil"/>
              <w:left w:val="nil"/>
              <w:bottom w:val="single" w:color="auto" w:sz="4" w:space="0"/>
              <w:right w:val="single" w:color="auto" w:sz="4" w:space="0"/>
            </w:tcBorders>
            <w:shd w:val="clear" w:color="000000" w:fill="FFFFFF"/>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w:t>
            </w:r>
          </w:p>
        </w:tc>
        <w:tc>
          <w:tcPr>
            <w:tcW w:w="847" w:type="dxa"/>
            <w:tcBorders>
              <w:top w:val="nil"/>
              <w:left w:val="nil"/>
              <w:bottom w:val="single" w:color="auto" w:sz="4" w:space="0"/>
              <w:right w:val="single" w:color="auto" w:sz="4" w:space="0"/>
            </w:tcBorders>
            <w:shd w:val="clear" w:color="000000" w:fill="FFFFFF"/>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w:t>
            </w:r>
          </w:p>
        </w:tc>
        <w:tc>
          <w:tcPr>
            <w:tcW w:w="575" w:type="dxa"/>
            <w:tcBorders>
              <w:top w:val="nil"/>
              <w:left w:val="single" w:color="auto" w:sz="4" w:space="0"/>
              <w:bottom w:val="single" w:color="auto" w:sz="4" w:space="0"/>
              <w:right w:val="single" w:color="auto" w:sz="4" w:space="0"/>
            </w:tcBorders>
            <w:shd w:val="clear" w:color="000000" w:fill="FFFFFF"/>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20"/>
                <w:szCs w:val="20"/>
                <w:highlight w:val="none"/>
              </w:rPr>
            </w:pPr>
          </w:p>
        </w:tc>
        <w:tc>
          <w:tcPr>
            <w:tcW w:w="1035" w:type="dxa"/>
            <w:tcBorders>
              <w:top w:val="nil"/>
              <w:left w:val="single" w:color="auto" w:sz="4" w:space="0"/>
              <w:bottom w:val="single" w:color="auto" w:sz="4" w:space="0"/>
              <w:right w:val="single" w:color="auto" w:sz="4" w:space="0"/>
            </w:tcBorders>
            <w:shd w:val="clear" w:color="000000" w:fill="FFFFFF"/>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73.45</w:t>
            </w:r>
          </w:p>
        </w:tc>
        <w:tc>
          <w:tcPr>
            <w:tcW w:w="463" w:type="dxa"/>
            <w:tcBorders>
              <w:top w:val="nil"/>
              <w:left w:val="single" w:color="auto" w:sz="4" w:space="0"/>
              <w:bottom w:val="single" w:color="auto" w:sz="4" w:space="0"/>
              <w:right w:val="single" w:color="auto" w:sz="4" w:space="0"/>
            </w:tcBorders>
            <w:shd w:val="clear" w:color="000000" w:fill="FFFFFF"/>
            <w:vAlign w:val="center"/>
          </w:tcPr>
          <w:p>
            <w:pPr>
              <w:keepNext w:val="0"/>
              <w:keepLines w:val="0"/>
              <w:suppressLineNumbers w:val="0"/>
              <w:spacing w:before="0" w:beforeAutospacing="0" w:after="0" w:afterAutospacing="0"/>
              <w:ind w:left="0" w:right="0"/>
              <w:jc w:val="center"/>
              <w:rPr>
                <w:rFonts w:hint="eastAsia" w:ascii="仿宋_GB2312" w:eastAsia="仿宋_GB2312"/>
                <w:color w:val="auto"/>
                <w:sz w:val="20"/>
                <w:szCs w:val="20"/>
                <w:highlight w:val="none"/>
              </w:rPr>
            </w:pPr>
          </w:p>
        </w:tc>
        <w:tc>
          <w:tcPr>
            <w:tcW w:w="598" w:type="dxa"/>
            <w:tcBorders>
              <w:top w:val="nil"/>
              <w:left w:val="single" w:color="auto" w:sz="4" w:space="0"/>
              <w:bottom w:val="single" w:color="auto" w:sz="4" w:space="0"/>
              <w:right w:val="single" w:color="auto" w:sz="4" w:space="0"/>
            </w:tcBorders>
            <w:shd w:val="clear" w:color="000000" w:fill="FFFFFF"/>
            <w:vAlign w:val="center"/>
          </w:tcPr>
          <w:p>
            <w:pPr>
              <w:keepNext w:val="0"/>
              <w:keepLines w:val="0"/>
              <w:suppressLineNumbers w:val="0"/>
              <w:spacing w:before="0" w:beforeAutospacing="0" w:after="0" w:afterAutospacing="0"/>
              <w:ind w:left="0" w:right="0"/>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648" w:hRule="atLeast"/>
        </w:trPr>
        <w:tc>
          <w:tcPr>
            <w:tcW w:w="704"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205　</w:t>
            </w:r>
          </w:p>
        </w:tc>
        <w:tc>
          <w:tcPr>
            <w:tcW w:w="75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02　</w:t>
            </w:r>
          </w:p>
        </w:tc>
        <w:tc>
          <w:tcPr>
            <w:tcW w:w="768"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　</w:t>
            </w:r>
          </w:p>
        </w:tc>
        <w:tc>
          <w:tcPr>
            <w:tcW w:w="1947" w:type="dxa"/>
            <w:tcBorders>
              <w:top w:val="nil"/>
              <w:left w:val="nil"/>
              <w:bottom w:val="single" w:color="auto" w:sz="4" w:space="0"/>
              <w:right w:val="single" w:color="auto" w:sz="4" w:space="0"/>
            </w:tcBorders>
            <w:vAlign w:val="center"/>
          </w:tcPr>
          <w:p>
            <w:pPr>
              <w:keepNext w:val="0"/>
              <w:keepLines w:val="0"/>
              <w:suppressLineNumbers w:val="0"/>
              <w:tabs>
                <w:tab w:val="left" w:pos="354"/>
                <w:tab w:val="center" w:pos="564"/>
              </w:tabs>
              <w:spacing w:before="0" w:beforeAutospacing="0" w:after="0" w:afterAutospacing="0"/>
              <w:ind w:left="0" w:right="0"/>
              <w:jc w:val="center"/>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普通教育</w:t>
            </w:r>
          </w:p>
        </w:tc>
        <w:tc>
          <w:tcPr>
            <w:tcW w:w="117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299.48</w:t>
            </w:r>
          </w:p>
        </w:tc>
        <w:tc>
          <w:tcPr>
            <w:tcW w:w="1138"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226.03</w:t>
            </w:r>
          </w:p>
        </w:tc>
        <w:tc>
          <w:tcPr>
            <w:tcW w:w="120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226.03</w:t>
            </w:r>
          </w:p>
        </w:tc>
        <w:tc>
          <w:tcPr>
            <w:tcW w:w="786"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20"/>
                <w:szCs w:val="20"/>
                <w:highlight w:val="none"/>
              </w:rPr>
            </w:pPr>
          </w:p>
        </w:tc>
        <w:tc>
          <w:tcPr>
            <w:tcW w:w="766"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w:t>
            </w:r>
          </w:p>
        </w:tc>
        <w:tc>
          <w:tcPr>
            <w:tcW w:w="805"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w:t>
            </w:r>
          </w:p>
        </w:tc>
        <w:tc>
          <w:tcPr>
            <w:tcW w:w="938"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w:t>
            </w:r>
          </w:p>
        </w:tc>
        <w:tc>
          <w:tcPr>
            <w:tcW w:w="84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w:t>
            </w:r>
          </w:p>
        </w:tc>
        <w:tc>
          <w:tcPr>
            <w:tcW w:w="575"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20"/>
                <w:szCs w:val="20"/>
                <w:highlight w:val="none"/>
              </w:rPr>
            </w:pPr>
          </w:p>
        </w:tc>
        <w:tc>
          <w:tcPr>
            <w:tcW w:w="1035"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73.45</w:t>
            </w:r>
          </w:p>
        </w:tc>
        <w:tc>
          <w:tcPr>
            <w:tcW w:w="463"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_GB2312" w:eastAsia="仿宋_GB2312"/>
                <w:color w:val="auto"/>
                <w:sz w:val="20"/>
                <w:szCs w:val="20"/>
                <w:highlight w:val="none"/>
              </w:rPr>
            </w:pPr>
          </w:p>
        </w:tc>
        <w:tc>
          <w:tcPr>
            <w:tcW w:w="598"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967" w:hRule="atLeast"/>
        </w:trPr>
        <w:tc>
          <w:tcPr>
            <w:tcW w:w="704"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205　</w:t>
            </w:r>
          </w:p>
        </w:tc>
        <w:tc>
          <w:tcPr>
            <w:tcW w:w="75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02　</w:t>
            </w:r>
          </w:p>
        </w:tc>
        <w:tc>
          <w:tcPr>
            <w:tcW w:w="768"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99　</w:t>
            </w:r>
          </w:p>
        </w:tc>
        <w:tc>
          <w:tcPr>
            <w:tcW w:w="194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其他普通教育支出</w:t>
            </w:r>
          </w:p>
        </w:tc>
        <w:tc>
          <w:tcPr>
            <w:tcW w:w="117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299.48</w:t>
            </w:r>
          </w:p>
        </w:tc>
        <w:tc>
          <w:tcPr>
            <w:tcW w:w="1138"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226.03</w:t>
            </w:r>
          </w:p>
        </w:tc>
        <w:tc>
          <w:tcPr>
            <w:tcW w:w="120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226.03</w:t>
            </w:r>
          </w:p>
        </w:tc>
        <w:tc>
          <w:tcPr>
            <w:tcW w:w="786"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20"/>
                <w:szCs w:val="20"/>
                <w:highlight w:val="none"/>
              </w:rPr>
            </w:pPr>
          </w:p>
        </w:tc>
        <w:tc>
          <w:tcPr>
            <w:tcW w:w="766"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w:t>
            </w:r>
          </w:p>
        </w:tc>
        <w:tc>
          <w:tcPr>
            <w:tcW w:w="805"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w:t>
            </w:r>
          </w:p>
        </w:tc>
        <w:tc>
          <w:tcPr>
            <w:tcW w:w="938"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w:t>
            </w:r>
          </w:p>
        </w:tc>
        <w:tc>
          <w:tcPr>
            <w:tcW w:w="84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w:t>
            </w:r>
          </w:p>
        </w:tc>
        <w:tc>
          <w:tcPr>
            <w:tcW w:w="575"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20"/>
                <w:szCs w:val="20"/>
                <w:highlight w:val="none"/>
              </w:rPr>
            </w:pPr>
          </w:p>
        </w:tc>
        <w:tc>
          <w:tcPr>
            <w:tcW w:w="1035"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73.45</w:t>
            </w:r>
          </w:p>
        </w:tc>
        <w:tc>
          <w:tcPr>
            <w:tcW w:w="463"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_GB2312" w:eastAsia="仿宋_GB2312"/>
                <w:color w:val="auto"/>
                <w:sz w:val="20"/>
                <w:szCs w:val="20"/>
                <w:highlight w:val="none"/>
              </w:rPr>
            </w:pPr>
          </w:p>
        </w:tc>
        <w:tc>
          <w:tcPr>
            <w:tcW w:w="598"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95" w:hRule="atLeast"/>
        </w:trPr>
        <w:tc>
          <w:tcPr>
            <w:tcW w:w="704"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5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68"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194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rPr>
              <w:t>合  计　</w:t>
            </w:r>
          </w:p>
        </w:tc>
        <w:tc>
          <w:tcPr>
            <w:tcW w:w="117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299.48</w:t>
            </w:r>
          </w:p>
        </w:tc>
        <w:tc>
          <w:tcPr>
            <w:tcW w:w="1138"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lang w:val="en-US" w:eastAsia="zh-CN"/>
              </w:rPr>
              <w:t>226.03</w:t>
            </w:r>
          </w:p>
        </w:tc>
        <w:tc>
          <w:tcPr>
            <w:tcW w:w="120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lang w:val="en-US" w:eastAsia="zh-CN"/>
              </w:rPr>
              <w:t>226.03</w:t>
            </w:r>
          </w:p>
        </w:tc>
        <w:tc>
          <w:tcPr>
            <w:tcW w:w="786"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p>
        </w:tc>
        <w:tc>
          <w:tcPr>
            <w:tcW w:w="766"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805"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938"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84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575"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p>
        </w:tc>
        <w:tc>
          <w:tcPr>
            <w:tcW w:w="1035"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lang w:val="en-US" w:eastAsia="zh-CN"/>
              </w:rPr>
              <w:t>73.45</w:t>
            </w:r>
          </w:p>
        </w:tc>
        <w:tc>
          <w:tcPr>
            <w:tcW w:w="463"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_GB2312" w:eastAsia="仿宋_GB2312"/>
                <w:b/>
                <w:bCs/>
                <w:color w:val="auto"/>
                <w:sz w:val="20"/>
                <w:szCs w:val="20"/>
                <w:highlight w:val="none"/>
              </w:rPr>
            </w:pPr>
          </w:p>
        </w:tc>
        <w:tc>
          <w:tcPr>
            <w:tcW w:w="598"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_GB2312" w:eastAsia="仿宋_GB2312"/>
                <w:color w:val="auto"/>
                <w:sz w:val="20"/>
                <w:szCs w:val="20"/>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pgSz w:w="16838" w:h="11906" w:orient="landscape"/>
          <w:pgMar w:top="1800" w:right="1440" w:bottom="1800" w:left="1440" w:header="851" w:footer="992" w:gutter="0"/>
          <w:pgBorders>
            <w:top w:val="none" w:sz="0" w:space="0"/>
            <w:left w:val="none" w:sz="0" w:space="0"/>
            <w:bottom w:val="none" w:sz="0" w:space="0"/>
            <w:right w:val="none" w:sz="0" w:space="0"/>
          </w:pgBorders>
          <w:pgNumType w:fmt="numberInDash"/>
          <w:cols w:space="720" w:num="1"/>
          <w:docGrid w:type="lines" w:linePitch="312" w:charSpace="0"/>
        </w:sect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部门</w:t>
      </w:r>
      <w:r>
        <w:rPr>
          <w:rFonts w:hint="eastAsia" w:ascii="仿宋_GB2312" w:hAnsi="宋体" w:eastAsia="仿宋_GB2312"/>
          <w:b/>
          <w:color w:val="auto"/>
          <w:kern w:val="0"/>
          <w:sz w:val="32"/>
          <w:szCs w:val="32"/>
          <w:highlight w:val="none"/>
        </w:rPr>
        <w:t>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ind w:left="6000" w:hanging="6000" w:hangingChars="2500"/>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：昌吉州青少年示范性综合实践基地</w:t>
      </w:r>
      <w:r>
        <w:rPr>
          <w:rFonts w:hint="eastAsia" w:ascii="仿宋_GB2312" w:hAnsi="宋体" w:eastAsia="仿宋_GB2312"/>
          <w:color w:val="auto"/>
          <w:kern w:val="0"/>
          <w:sz w:val="24"/>
          <w:highlight w:val="none"/>
          <w:lang w:val="en-US" w:eastAsia="zh-CN"/>
        </w:rPr>
        <w:t>服务</w:t>
      </w:r>
      <w:r>
        <w:rPr>
          <w:rFonts w:hint="eastAsia" w:ascii="仿宋_GB2312" w:hAnsi="宋体" w:eastAsia="仿宋_GB2312"/>
          <w:color w:val="auto"/>
          <w:kern w:val="0"/>
          <w:sz w:val="24"/>
          <w:highlight w:val="none"/>
        </w:rPr>
        <w:t>中心           单位：万元</w:t>
      </w:r>
    </w:p>
    <w:tbl>
      <w:tblPr>
        <w:tblStyle w:val="9"/>
        <w:tblW w:w="18835" w:type="dxa"/>
        <w:tblInd w:w="-240" w:type="dxa"/>
        <w:tblLayout w:type="fixed"/>
        <w:tblCellMar>
          <w:top w:w="0" w:type="dxa"/>
          <w:left w:w="108" w:type="dxa"/>
          <w:bottom w:w="0" w:type="dxa"/>
          <w:right w:w="108" w:type="dxa"/>
        </w:tblCellMar>
      </w:tblPr>
      <w:tblGrid>
        <w:gridCol w:w="526"/>
        <w:gridCol w:w="450"/>
        <w:gridCol w:w="425"/>
        <w:gridCol w:w="2437"/>
        <w:gridCol w:w="1844"/>
        <w:gridCol w:w="1845"/>
        <w:gridCol w:w="1386"/>
        <w:gridCol w:w="1852"/>
        <w:gridCol w:w="1345"/>
        <w:gridCol w:w="1345"/>
        <w:gridCol w:w="1345"/>
        <w:gridCol w:w="1345"/>
        <w:gridCol w:w="1345"/>
        <w:gridCol w:w="1345"/>
      </w:tblGrid>
      <w:tr>
        <w:tblPrEx>
          <w:tblCellMar>
            <w:top w:w="0" w:type="dxa"/>
            <w:left w:w="108" w:type="dxa"/>
            <w:bottom w:w="0" w:type="dxa"/>
            <w:right w:w="108" w:type="dxa"/>
          </w:tblCellMar>
        </w:tblPrEx>
        <w:trPr>
          <w:gridAfter w:val="7"/>
          <w:wAfter w:w="9922" w:type="dxa"/>
          <w:trHeight w:val="328" w:hRule="atLeast"/>
        </w:trPr>
        <w:tc>
          <w:tcPr>
            <w:tcW w:w="3838"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075" w:type="dxa"/>
            <w:gridSpan w:val="3"/>
            <w:tcBorders>
              <w:top w:val="single" w:color="auto" w:sz="4" w:space="0"/>
              <w:left w:val="nil"/>
              <w:bottom w:val="single" w:color="auto" w:sz="4" w:space="0"/>
              <w:right w:val="single" w:color="000000"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CellMar>
            <w:top w:w="0" w:type="dxa"/>
            <w:left w:w="108" w:type="dxa"/>
            <w:bottom w:w="0" w:type="dxa"/>
            <w:right w:w="108" w:type="dxa"/>
          </w:tblCellMar>
        </w:tblPrEx>
        <w:trPr>
          <w:gridAfter w:val="7"/>
          <w:wAfter w:w="9922" w:type="dxa"/>
          <w:trHeight w:val="480" w:hRule="atLeast"/>
        </w:trPr>
        <w:tc>
          <w:tcPr>
            <w:tcW w:w="1401"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437" w:type="dxa"/>
            <w:vMerge w:val="restart"/>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844" w:type="dxa"/>
            <w:vMerge w:val="restart"/>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845" w:type="dxa"/>
            <w:vMerge w:val="restart"/>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386" w:type="dxa"/>
            <w:vMerge w:val="restart"/>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CellMar>
            <w:top w:w="0" w:type="dxa"/>
            <w:left w:w="108" w:type="dxa"/>
            <w:bottom w:w="0" w:type="dxa"/>
            <w:right w:w="108" w:type="dxa"/>
          </w:tblCellMar>
        </w:tblPrEx>
        <w:trPr>
          <w:gridAfter w:val="7"/>
          <w:wAfter w:w="9922" w:type="dxa"/>
          <w:trHeight w:val="270" w:hRule="atLeast"/>
        </w:trPr>
        <w:tc>
          <w:tcPr>
            <w:tcW w:w="52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5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2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437" w:type="dxa"/>
            <w:vMerge w:val="continue"/>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仿宋_GB2312" w:eastAsia="仿宋_GB2312" w:cs="仿宋_GB2312"/>
                <w:b/>
                <w:bCs/>
                <w:color w:val="auto"/>
                <w:kern w:val="0"/>
                <w:sz w:val="20"/>
                <w:szCs w:val="20"/>
                <w:highlight w:val="none"/>
              </w:rPr>
            </w:pPr>
          </w:p>
        </w:tc>
        <w:tc>
          <w:tcPr>
            <w:tcW w:w="1844" w:type="dxa"/>
            <w:vMerge w:val="continue"/>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仿宋_GB2312" w:eastAsia="仿宋_GB2312" w:cs="仿宋_GB2312"/>
                <w:b/>
                <w:bCs/>
                <w:color w:val="auto"/>
                <w:kern w:val="0"/>
                <w:sz w:val="20"/>
                <w:szCs w:val="20"/>
                <w:highlight w:val="none"/>
              </w:rPr>
            </w:pPr>
          </w:p>
        </w:tc>
        <w:tc>
          <w:tcPr>
            <w:tcW w:w="1845" w:type="dxa"/>
            <w:vMerge w:val="continue"/>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仿宋_GB2312" w:eastAsia="仿宋_GB2312" w:cs="仿宋_GB2312"/>
                <w:b/>
                <w:bCs/>
                <w:color w:val="auto"/>
                <w:kern w:val="0"/>
                <w:sz w:val="20"/>
                <w:szCs w:val="20"/>
                <w:highlight w:val="none"/>
              </w:rPr>
            </w:pPr>
          </w:p>
        </w:tc>
        <w:tc>
          <w:tcPr>
            <w:tcW w:w="1386" w:type="dxa"/>
            <w:vMerge w:val="continue"/>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26"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color w:val="auto"/>
                <w:kern w:val="0"/>
                <w:sz w:val="20"/>
                <w:szCs w:val="20"/>
                <w:highlight w:val="none"/>
              </w:rPr>
            </w:pPr>
            <w:r>
              <w:rPr>
                <w:rFonts w:hint="eastAsia" w:ascii="仿宋" w:hAnsi="仿宋" w:eastAsia="仿宋" w:cs="仿宋"/>
                <w:color w:val="auto"/>
                <w:sz w:val="20"/>
                <w:szCs w:val="20"/>
                <w:highlight w:val="none"/>
                <w:lang w:val="en-US" w:eastAsia="zh-CN"/>
              </w:rPr>
              <w:t>205　</w:t>
            </w:r>
          </w:p>
        </w:tc>
        <w:tc>
          <w:tcPr>
            <w:tcW w:w="45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color w:val="auto"/>
                <w:kern w:val="0"/>
                <w:sz w:val="20"/>
                <w:szCs w:val="20"/>
                <w:highlight w:val="none"/>
              </w:rPr>
            </w:pPr>
            <w:r>
              <w:rPr>
                <w:rFonts w:hint="eastAsia" w:ascii="仿宋" w:hAnsi="仿宋" w:eastAsia="仿宋" w:cs="仿宋"/>
                <w:color w:val="auto"/>
                <w:sz w:val="20"/>
                <w:szCs w:val="20"/>
                <w:highlight w:val="none"/>
                <w:lang w:val="en-US" w:eastAsia="zh-CN"/>
              </w:rPr>
              <w:t>　</w:t>
            </w:r>
          </w:p>
        </w:tc>
        <w:tc>
          <w:tcPr>
            <w:tcW w:w="425"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color w:val="auto"/>
                <w:kern w:val="0"/>
                <w:sz w:val="20"/>
                <w:szCs w:val="20"/>
                <w:highlight w:val="none"/>
              </w:rPr>
            </w:pPr>
            <w:r>
              <w:rPr>
                <w:rFonts w:hint="eastAsia" w:ascii="仿宋" w:hAnsi="仿宋" w:eastAsia="仿宋" w:cs="仿宋"/>
                <w:color w:val="auto"/>
                <w:sz w:val="20"/>
                <w:szCs w:val="20"/>
                <w:highlight w:val="none"/>
                <w:lang w:val="en-US" w:eastAsia="zh-CN"/>
              </w:rPr>
              <w:t>　</w:t>
            </w:r>
          </w:p>
        </w:tc>
        <w:tc>
          <w:tcPr>
            <w:tcW w:w="243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宋体" w:hAnsi="宋体" w:cs="宋体"/>
                <w:b/>
                <w:bCs/>
                <w:color w:val="auto"/>
                <w:kern w:val="0"/>
                <w:sz w:val="22"/>
                <w:szCs w:val="22"/>
                <w:highlight w:val="none"/>
              </w:rPr>
            </w:pPr>
            <w:r>
              <w:rPr>
                <w:rFonts w:hint="eastAsia" w:ascii="仿宋_GB2312" w:eastAsia="仿宋_GB2312"/>
                <w:color w:val="auto"/>
                <w:sz w:val="20"/>
                <w:szCs w:val="20"/>
                <w:highlight w:val="none"/>
              </w:rPr>
              <w:t>教育支出</w:t>
            </w:r>
          </w:p>
        </w:tc>
        <w:tc>
          <w:tcPr>
            <w:tcW w:w="184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kern w:val="0"/>
                <w:sz w:val="20"/>
                <w:szCs w:val="20"/>
                <w:highlight w:val="none"/>
              </w:rPr>
            </w:pPr>
            <w:r>
              <w:rPr>
                <w:rFonts w:hint="eastAsia" w:ascii="仿宋" w:hAnsi="仿宋" w:eastAsia="仿宋" w:cs="仿宋"/>
                <w:color w:val="auto"/>
                <w:sz w:val="20"/>
                <w:szCs w:val="20"/>
                <w:highlight w:val="none"/>
              </w:rPr>
              <w:t>299.48</w:t>
            </w:r>
          </w:p>
        </w:tc>
        <w:tc>
          <w:tcPr>
            <w:tcW w:w="1845"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kern w:val="0"/>
                <w:sz w:val="20"/>
                <w:szCs w:val="20"/>
                <w:highlight w:val="none"/>
              </w:rPr>
            </w:pPr>
            <w:r>
              <w:rPr>
                <w:rFonts w:hint="eastAsia" w:ascii="仿宋" w:hAnsi="仿宋" w:eastAsia="仿宋" w:cs="仿宋"/>
                <w:color w:val="auto"/>
                <w:sz w:val="20"/>
                <w:szCs w:val="20"/>
                <w:highlight w:val="none"/>
                <w:lang w:val="en-US" w:eastAsia="zh-CN"/>
              </w:rPr>
              <w:t>299.48</w:t>
            </w:r>
          </w:p>
        </w:tc>
        <w:tc>
          <w:tcPr>
            <w:tcW w:w="1386"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宋体" w:hAnsi="宋体" w:cs="宋体"/>
                <w:b/>
                <w:bCs/>
                <w:color w:val="auto"/>
                <w:kern w:val="0"/>
                <w:sz w:val="22"/>
                <w:szCs w:val="22"/>
                <w:highlight w:val="none"/>
              </w:rPr>
            </w:pPr>
          </w:p>
        </w:tc>
        <w:tc>
          <w:tcPr>
            <w:tcW w:w="1852" w:type="dxa"/>
            <w:vAlign w:val="center"/>
          </w:tcPr>
          <w:p>
            <w:pPr>
              <w:keepNext w:val="0"/>
              <w:keepLines w:val="0"/>
              <w:suppressLineNumbers w:val="0"/>
              <w:spacing w:before="0" w:beforeAutospacing="0" w:after="0" w:afterAutospacing="0"/>
              <w:ind w:left="0" w:right="0"/>
              <w:jc w:val="center"/>
              <w:rPr>
                <w:rFonts w:hint="default"/>
                <w:highlight w:val="none"/>
              </w:rPr>
            </w:pPr>
          </w:p>
        </w:tc>
        <w:tc>
          <w:tcPr>
            <w:tcW w:w="1345" w:type="dxa"/>
            <w:vAlign w:val="center"/>
          </w:tcPr>
          <w:p>
            <w:pPr>
              <w:keepNext w:val="0"/>
              <w:keepLines w:val="0"/>
              <w:suppressLineNumbers w:val="0"/>
              <w:spacing w:before="0" w:beforeAutospacing="0" w:after="0" w:afterAutospacing="0"/>
              <w:ind w:left="0" w:right="0"/>
              <w:jc w:val="center"/>
              <w:rPr>
                <w:rFonts w:hint="default"/>
                <w:highlight w:val="none"/>
              </w:rPr>
            </w:pPr>
            <w:r>
              <w:rPr>
                <w:rFonts w:hint="eastAsia" w:ascii="仿宋_GB2312" w:eastAsia="仿宋_GB2312"/>
                <w:color w:val="auto"/>
                <w:sz w:val="20"/>
                <w:szCs w:val="20"/>
                <w:highlight w:val="none"/>
              </w:rPr>
              <w:t>　</w:t>
            </w:r>
          </w:p>
        </w:tc>
        <w:tc>
          <w:tcPr>
            <w:tcW w:w="1345" w:type="dxa"/>
            <w:vAlign w:val="center"/>
          </w:tcPr>
          <w:p>
            <w:pPr>
              <w:keepNext w:val="0"/>
              <w:keepLines w:val="0"/>
              <w:suppressLineNumbers w:val="0"/>
              <w:spacing w:before="0" w:beforeAutospacing="0" w:after="0" w:afterAutospacing="0"/>
              <w:ind w:left="0" w:right="0"/>
              <w:jc w:val="center"/>
              <w:rPr>
                <w:rFonts w:hint="default"/>
                <w:highlight w:val="none"/>
              </w:rPr>
            </w:pPr>
            <w:r>
              <w:rPr>
                <w:rFonts w:hint="eastAsia" w:ascii="仿宋_GB2312" w:eastAsia="仿宋_GB2312"/>
                <w:color w:val="auto"/>
                <w:sz w:val="20"/>
                <w:szCs w:val="20"/>
                <w:highlight w:val="none"/>
              </w:rPr>
              <w:t>　</w:t>
            </w:r>
          </w:p>
        </w:tc>
        <w:tc>
          <w:tcPr>
            <w:tcW w:w="1345" w:type="dxa"/>
            <w:vAlign w:val="center"/>
          </w:tcPr>
          <w:p>
            <w:pPr>
              <w:keepNext w:val="0"/>
              <w:keepLines w:val="0"/>
              <w:suppressLineNumbers w:val="0"/>
              <w:spacing w:before="0" w:beforeAutospacing="0" w:after="0" w:afterAutospacing="0"/>
              <w:ind w:left="0" w:right="0"/>
              <w:jc w:val="center"/>
              <w:rPr>
                <w:rFonts w:hint="default"/>
                <w:highlight w:val="none"/>
              </w:rPr>
            </w:pPr>
            <w:r>
              <w:rPr>
                <w:rFonts w:hint="eastAsia" w:ascii="仿宋_GB2312" w:eastAsia="仿宋_GB2312"/>
                <w:color w:val="auto"/>
                <w:sz w:val="20"/>
                <w:szCs w:val="20"/>
                <w:highlight w:val="none"/>
              </w:rPr>
              <w:t>　</w:t>
            </w:r>
          </w:p>
        </w:tc>
        <w:tc>
          <w:tcPr>
            <w:tcW w:w="1345" w:type="dxa"/>
            <w:vAlign w:val="center"/>
          </w:tcPr>
          <w:p>
            <w:pPr>
              <w:keepNext w:val="0"/>
              <w:keepLines w:val="0"/>
              <w:suppressLineNumbers w:val="0"/>
              <w:spacing w:before="0" w:beforeAutospacing="0" w:after="0" w:afterAutospacing="0"/>
              <w:ind w:left="0" w:right="0"/>
              <w:jc w:val="center"/>
              <w:rPr>
                <w:rFonts w:hint="default"/>
                <w:highlight w:val="none"/>
              </w:rPr>
            </w:pPr>
            <w:r>
              <w:rPr>
                <w:rFonts w:hint="eastAsia" w:ascii="仿宋_GB2312" w:eastAsia="仿宋_GB2312"/>
                <w:color w:val="auto"/>
                <w:sz w:val="20"/>
                <w:szCs w:val="20"/>
                <w:highlight w:val="none"/>
              </w:rPr>
              <w:t>　</w:t>
            </w:r>
          </w:p>
        </w:tc>
        <w:tc>
          <w:tcPr>
            <w:tcW w:w="1345" w:type="dxa"/>
            <w:vAlign w:val="center"/>
          </w:tcPr>
          <w:p>
            <w:pPr>
              <w:keepNext w:val="0"/>
              <w:keepLines w:val="0"/>
              <w:suppressLineNumbers w:val="0"/>
              <w:spacing w:before="0" w:beforeAutospacing="0" w:after="0" w:afterAutospacing="0"/>
              <w:ind w:left="0" w:right="0"/>
              <w:jc w:val="center"/>
              <w:rPr>
                <w:rFonts w:hint="default"/>
                <w:highlight w:val="none"/>
              </w:rPr>
            </w:pPr>
          </w:p>
        </w:tc>
        <w:tc>
          <w:tcPr>
            <w:tcW w:w="1345" w:type="dxa"/>
            <w:vAlign w:val="center"/>
          </w:tcPr>
          <w:p>
            <w:pPr>
              <w:keepNext w:val="0"/>
              <w:keepLines w:val="0"/>
              <w:suppressLineNumbers w:val="0"/>
              <w:spacing w:before="0" w:beforeAutospacing="0" w:after="0" w:afterAutospacing="0"/>
              <w:ind w:left="0" w:right="0"/>
              <w:jc w:val="center"/>
              <w:rPr>
                <w:rFonts w:hint="default"/>
                <w:highlight w:val="none"/>
              </w:rPr>
            </w:pPr>
            <w:r>
              <w:rPr>
                <w:rFonts w:hint="eastAsia" w:ascii="仿宋_GB2312" w:eastAsia="仿宋_GB2312"/>
                <w:color w:val="auto"/>
                <w:sz w:val="18"/>
                <w:szCs w:val="18"/>
                <w:highlight w:val="none"/>
                <w:lang w:val="en-US" w:eastAsia="zh-CN"/>
              </w:rPr>
              <w:t>73.45</w:t>
            </w:r>
          </w:p>
        </w:tc>
      </w:tr>
      <w:tr>
        <w:tblPrEx>
          <w:tblCellMar>
            <w:top w:w="0" w:type="dxa"/>
            <w:left w:w="108" w:type="dxa"/>
            <w:bottom w:w="0" w:type="dxa"/>
            <w:right w:w="108" w:type="dxa"/>
          </w:tblCellMar>
        </w:tblPrEx>
        <w:trPr>
          <w:trHeight w:val="405" w:hRule="atLeast"/>
        </w:trPr>
        <w:tc>
          <w:tcPr>
            <w:tcW w:w="526"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color w:val="auto"/>
                <w:kern w:val="0"/>
                <w:sz w:val="20"/>
                <w:szCs w:val="20"/>
                <w:highlight w:val="none"/>
              </w:rPr>
            </w:pPr>
            <w:r>
              <w:rPr>
                <w:rFonts w:hint="eastAsia" w:ascii="仿宋" w:hAnsi="仿宋" w:eastAsia="仿宋" w:cs="仿宋"/>
                <w:color w:val="auto"/>
                <w:sz w:val="20"/>
                <w:szCs w:val="20"/>
                <w:highlight w:val="none"/>
                <w:lang w:val="en-US" w:eastAsia="zh-CN"/>
              </w:rPr>
              <w:t>205　</w:t>
            </w:r>
          </w:p>
        </w:tc>
        <w:tc>
          <w:tcPr>
            <w:tcW w:w="45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color w:val="auto"/>
                <w:kern w:val="0"/>
                <w:sz w:val="20"/>
                <w:szCs w:val="20"/>
                <w:highlight w:val="none"/>
              </w:rPr>
            </w:pPr>
            <w:r>
              <w:rPr>
                <w:rFonts w:hint="eastAsia" w:ascii="仿宋" w:hAnsi="仿宋" w:eastAsia="仿宋" w:cs="仿宋"/>
                <w:color w:val="auto"/>
                <w:sz w:val="20"/>
                <w:szCs w:val="20"/>
                <w:highlight w:val="none"/>
                <w:lang w:val="en-US" w:eastAsia="zh-CN"/>
              </w:rPr>
              <w:t>02　</w:t>
            </w:r>
          </w:p>
        </w:tc>
        <w:tc>
          <w:tcPr>
            <w:tcW w:w="425"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color w:val="auto"/>
                <w:kern w:val="0"/>
                <w:sz w:val="20"/>
                <w:szCs w:val="20"/>
                <w:highlight w:val="none"/>
              </w:rPr>
            </w:pPr>
            <w:r>
              <w:rPr>
                <w:rFonts w:hint="eastAsia" w:ascii="仿宋" w:hAnsi="仿宋" w:eastAsia="仿宋" w:cs="仿宋"/>
                <w:color w:val="auto"/>
                <w:sz w:val="20"/>
                <w:szCs w:val="20"/>
                <w:highlight w:val="none"/>
                <w:lang w:val="en-US" w:eastAsia="zh-CN"/>
              </w:rPr>
              <w:t>　</w:t>
            </w:r>
          </w:p>
        </w:tc>
        <w:tc>
          <w:tcPr>
            <w:tcW w:w="2437" w:type="dxa"/>
            <w:tcBorders>
              <w:top w:val="nil"/>
              <w:left w:val="nil"/>
              <w:bottom w:val="single" w:color="auto" w:sz="4" w:space="0"/>
              <w:right w:val="single" w:color="auto" w:sz="4" w:space="0"/>
            </w:tcBorders>
            <w:vAlign w:val="center"/>
          </w:tcPr>
          <w:p>
            <w:pPr>
              <w:keepNext w:val="0"/>
              <w:keepLines w:val="0"/>
              <w:suppressLineNumbers w:val="0"/>
              <w:tabs>
                <w:tab w:val="left" w:pos="354"/>
                <w:tab w:val="center" w:pos="564"/>
              </w:tabs>
              <w:spacing w:before="0" w:beforeAutospacing="0" w:after="0" w:afterAutospacing="0"/>
              <w:ind w:left="0" w:right="0"/>
              <w:jc w:val="center"/>
              <w:rPr>
                <w:rFonts w:hint="default" w:ascii="宋体" w:hAnsi="宋体" w:cs="宋体"/>
                <w:b/>
                <w:bCs/>
                <w:color w:val="auto"/>
                <w:kern w:val="0"/>
                <w:sz w:val="22"/>
                <w:szCs w:val="22"/>
                <w:highlight w:val="none"/>
              </w:rPr>
            </w:pPr>
            <w:r>
              <w:rPr>
                <w:rFonts w:hint="eastAsia" w:ascii="仿宋_GB2312" w:eastAsia="仿宋_GB2312"/>
                <w:color w:val="auto"/>
                <w:sz w:val="20"/>
                <w:szCs w:val="20"/>
                <w:highlight w:val="none"/>
              </w:rPr>
              <w:t>普通教育</w:t>
            </w:r>
          </w:p>
        </w:tc>
        <w:tc>
          <w:tcPr>
            <w:tcW w:w="184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kern w:val="0"/>
                <w:sz w:val="20"/>
                <w:szCs w:val="20"/>
                <w:highlight w:val="none"/>
              </w:rPr>
            </w:pPr>
            <w:r>
              <w:rPr>
                <w:rFonts w:hint="eastAsia" w:ascii="仿宋" w:hAnsi="仿宋" w:eastAsia="仿宋" w:cs="仿宋"/>
                <w:color w:val="auto"/>
                <w:sz w:val="20"/>
                <w:szCs w:val="20"/>
                <w:highlight w:val="none"/>
              </w:rPr>
              <w:t>299.48</w:t>
            </w:r>
          </w:p>
        </w:tc>
        <w:tc>
          <w:tcPr>
            <w:tcW w:w="1845"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kern w:val="0"/>
                <w:sz w:val="20"/>
                <w:szCs w:val="20"/>
                <w:highlight w:val="none"/>
              </w:rPr>
            </w:pPr>
            <w:r>
              <w:rPr>
                <w:rFonts w:hint="eastAsia" w:ascii="仿宋" w:hAnsi="仿宋" w:eastAsia="仿宋" w:cs="仿宋"/>
                <w:color w:val="auto"/>
                <w:sz w:val="20"/>
                <w:szCs w:val="20"/>
                <w:highlight w:val="none"/>
                <w:lang w:val="en-US" w:eastAsia="zh-CN"/>
              </w:rPr>
              <w:t>299.48</w:t>
            </w:r>
          </w:p>
        </w:tc>
        <w:tc>
          <w:tcPr>
            <w:tcW w:w="1386"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宋体" w:hAnsi="宋体" w:cs="宋体"/>
                <w:b/>
                <w:bCs/>
                <w:color w:val="auto"/>
                <w:kern w:val="0"/>
                <w:sz w:val="22"/>
                <w:szCs w:val="22"/>
                <w:highlight w:val="none"/>
              </w:rPr>
            </w:pPr>
          </w:p>
        </w:tc>
        <w:tc>
          <w:tcPr>
            <w:tcW w:w="1852" w:type="dxa"/>
            <w:vAlign w:val="center"/>
          </w:tcPr>
          <w:p>
            <w:pPr>
              <w:keepNext w:val="0"/>
              <w:keepLines w:val="0"/>
              <w:suppressLineNumbers w:val="0"/>
              <w:spacing w:before="0" w:beforeAutospacing="0" w:after="0" w:afterAutospacing="0"/>
              <w:ind w:left="0" w:right="0"/>
              <w:jc w:val="center"/>
              <w:rPr>
                <w:rFonts w:hint="default"/>
                <w:highlight w:val="none"/>
              </w:rPr>
            </w:pPr>
          </w:p>
        </w:tc>
        <w:tc>
          <w:tcPr>
            <w:tcW w:w="1345" w:type="dxa"/>
            <w:vAlign w:val="center"/>
          </w:tcPr>
          <w:p>
            <w:pPr>
              <w:keepNext w:val="0"/>
              <w:keepLines w:val="0"/>
              <w:suppressLineNumbers w:val="0"/>
              <w:spacing w:before="0" w:beforeAutospacing="0" w:after="0" w:afterAutospacing="0"/>
              <w:ind w:left="0" w:right="0"/>
              <w:jc w:val="center"/>
              <w:rPr>
                <w:rFonts w:hint="default"/>
                <w:highlight w:val="none"/>
              </w:rPr>
            </w:pPr>
            <w:r>
              <w:rPr>
                <w:rFonts w:hint="eastAsia" w:ascii="仿宋_GB2312" w:eastAsia="仿宋_GB2312"/>
                <w:color w:val="auto"/>
                <w:sz w:val="20"/>
                <w:szCs w:val="20"/>
                <w:highlight w:val="none"/>
              </w:rPr>
              <w:t>　</w:t>
            </w:r>
          </w:p>
        </w:tc>
        <w:tc>
          <w:tcPr>
            <w:tcW w:w="1345" w:type="dxa"/>
            <w:vAlign w:val="center"/>
          </w:tcPr>
          <w:p>
            <w:pPr>
              <w:keepNext w:val="0"/>
              <w:keepLines w:val="0"/>
              <w:suppressLineNumbers w:val="0"/>
              <w:spacing w:before="0" w:beforeAutospacing="0" w:after="0" w:afterAutospacing="0"/>
              <w:ind w:left="0" w:right="0"/>
              <w:jc w:val="center"/>
              <w:rPr>
                <w:rFonts w:hint="default"/>
                <w:highlight w:val="none"/>
              </w:rPr>
            </w:pPr>
            <w:r>
              <w:rPr>
                <w:rFonts w:hint="eastAsia" w:ascii="仿宋_GB2312" w:eastAsia="仿宋_GB2312"/>
                <w:color w:val="auto"/>
                <w:sz w:val="20"/>
                <w:szCs w:val="20"/>
                <w:highlight w:val="none"/>
              </w:rPr>
              <w:t>　</w:t>
            </w:r>
          </w:p>
        </w:tc>
        <w:tc>
          <w:tcPr>
            <w:tcW w:w="1345" w:type="dxa"/>
            <w:vAlign w:val="center"/>
          </w:tcPr>
          <w:p>
            <w:pPr>
              <w:keepNext w:val="0"/>
              <w:keepLines w:val="0"/>
              <w:suppressLineNumbers w:val="0"/>
              <w:spacing w:before="0" w:beforeAutospacing="0" w:after="0" w:afterAutospacing="0"/>
              <w:ind w:left="0" w:right="0"/>
              <w:jc w:val="center"/>
              <w:rPr>
                <w:rFonts w:hint="default"/>
                <w:highlight w:val="none"/>
              </w:rPr>
            </w:pPr>
            <w:r>
              <w:rPr>
                <w:rFonts w:hint="eastAsia" w:ascii="仿宋_GB2312" w:eastAsia="仿宋_GB2312"/>
                <w:color w:val="auto"/>
                <w:sz w:val="20"/>
                <w:szCs w:val="20"/>
                <w:highlight w:val="none"/>
              </w:rPr>
              <w:t>　</w:t>
            </w:r>
          </w:p>
        </w:tc>
        <w:tc>
          <w:tcPr>
            <w:tcW w:w="1345" w:type="dxa"/>
            <w:vAlign w:val="center"/>
          </w:tcPr>
          <w:p>
            <w:pPr>
              <w:keepNext w:val="0"/>
              <w:keepLines w:val="0"/>
              <w:suppressLineNumbers w:val="0"/>
              <w:spacing w:before="0" w:beforeAutospacing="0" w:after="0" w:afterAutospacing="0"/>
              <w:ind w:left="0" w:right="0"/>
              <w:jc w:val="center"/>
              <w:rPr>
                <w:rFonts w:hint="default"/>
                <w:highlight w:val="none"/>
              </w:rPr>
            </w:pPr>
            <w:r>
              <w:rPr>
                <w:rFonts w:hint="eastAsia" w:ascii="仿宋_GB2312" w:eastAsia="仿宋_GB2312"/>
                <w:color w:val="auto"/>
                <w:sz w:val="20"/>
                <w:szCs w:val="20"/>
                <w:highlight w:val="none"/>
              </w:rPr>
              <w:t>　</w:t>
            </w:r>
          </w:p>
        </w:tc>
        <w:tc>
          <w:tcPr>
            <w:tcW w:w="1345" w:type="dxa"/>
            <w:vAlign w:val="center"/>
          </w:tcPr>
          <w:p>
            <w:pPr>
              <w:keepNext w:val="0"/>
              <w:keepLines w:val="0"/>
              <w:suppressLineNumbers w:val="0"/>
              <w:spacing w:before="0" w:beforeAutospacing="0" w:after="0" w:afterAutospacing="0"/>
              <w:ind w:left="0" w:right="0"/>
              <w:jc w:val="center"/>
              <w:rPr>
                <w:rFonts w:hint="default"/>
                <w:highlight w:val="none"/>
              </w:rPr>
            </w:pPr>
          </w:p>
        </w:tc>
        <w:tc>
          <w:tcPr>
            <w:tcW w:w="1345" w:type="dxa"/>
            <w:vAlign w:val="center"/>
          </w:tcPr>
          <w:p>
            <w:pPr>
              <w:keepNext w:val="0"/>
              <w:keepLines w:val="0"/>
              <w:suppressLineNumbers w:val="0"/>
              <w:spacing w:before="0" w:beforeAutospacing="0" w:after="0" w:afterAutospacing="0"/>
              <w:ind w:left="0" w:right="0"/>
              <w:jc w:val="center"/>
              <w:rPr>
                <w:rFonts w:hint="default"/>
                <w:highlight w:val="none"/>
              </w:rPr>
            </w:pPr>
            <w:r>
              <w:rPr>
                <w:rFonts w:hint="eastAsia" w:ascii="仿宋_GB2312" w:eastAsia="仿宋_GB2312"/>
                <w:color w:val="auto"/>
                <w:sz w:val="18"/>
                <w:szCs w:val="18"/>
                <w:highlight w:val="none"/>
                <w:lang w:val="en-US" w:eastAsia="zh-CN"/>
              </w:rPr>
              <w:t>73.45</w:t>
            </w:r>
          </w:p>
        </w:tc>
      </w:tr>
      <w:tr>
        <w:tblPrEx>
          <w:tblCellMar>
            <w:top w:w="0" w:type="dxa"/>
            <w:left w:w="108" w:type="dxa"/>
            <w:bottom w:w="0" w:type="dxa"/>
            <w:right w:w="108" w:type="dxa"/>
          </w:tblCellMar>
        </w:tblPrEx>
        <w:trPr>
          <w:trHeight w:val="405" w:hRule="atLeast"/>
        </w:trPr>
        <w:tc>
          <w:tcPr>
            <w:tcW w:w="526"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color w:val="auto"/>
                <w:kern w:val="0"/>
                <w:sz w:val="20"/>
                <w:szCs w:val="20"/>
                <w:highlight w:val="none"/>
              </w:rPr>
            </w:pPr>
            <w:r>
              <w:rPr>
                <w:rFonts w:hint="eastAsia" w:ascii="仿宋" w:hAnsi="仿宋" w:eastAsia="仿宋" w:cs="仿宋"/>
                <w:color w:val="auto"/>
                <w:sz w:val="20"/>
                <w:szCs w:val="20"/>
                <w:highlight w:val="none"/>
                <w:lang w:val="en-US" w:eastAsia="zh-CN"/>
              </w:rPr>
              <w:t>205　</w:t>
            </w:r>
          </w:p>
        </w:tc>
        <w:tc>
          <w:tcPr>
            <w:tcW w:w="45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color w:val="auto"/>
                <w:kern w:val="0"/>
                <w:sz w:val="20"/>
                <w:szCs w:val="20"/>
                <w:highlight w:val="none"/>
              </w:rPr>
            </w:pPr>
            <w:r>
              <w:rPr>
                <w:rFonts w:hint="eastAsia" w:ascii="仿宋" w:hAnsi="仿宋" w:eastAsia="仿宋" w:cs="仿宋"/>
                <w:color w:val="auto"/>
                <w:sz w:val="20"/>
                <w:szCs w:val="20"/>
                <w:highlight w:val="none"/>
                <w:lang w:val="en-US" w:eastAsia="zh-CN"/>
              </w:rPr>
              <w:t>02　</w:t>
            </w:r>
          </w:p>
        </w:tc>
        <w:tc>
          <w:tcPr>
            <w:tcW w:w="425"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color w:val="auto"/>
                <w:kern w:val="0"/>
                <w:sz w:val="20"/>
                <w:szCs w:val="20"/>
                <w:highlight w:val="none"/>
              </w:rPr>
            </w:pPr>
            <w:r>
              <w:rPr>
                <w:rFonts w:hint="eastAsia" w:ascii="仿宋" w:hAnsi="仿宋" w:eastAsia="仿宋" w:cs="仿宋"/>
                <w:color w:val="auto"/>
                <w:sz w:val="20"/>
                <w:szCs w:val="20"/>
                <w:highlight w:val="none"/>
                <w:lang w:val="en-US" w:eastAsia="zh-CN"/>
              </w:rPr>
              <w:t>99　</w:t>
            </w:r>
          </w:p>
        </w:tc>
        <w:tc>
          <w:tcPr>
            <w:tcW w:w="243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宋体" w:hAnsi="宋体" w:cs="宋体"/>
                <w:b/>
                <w:bCs/>
                <w:color w:val="auto"/>
                <w:kern w:val="0"/>
                <w:sz w:val="22"/>
                <w:szCs w:val="22"/>
                <w:highlight w:val="none"/>
              </w:rPr>
            </w:pPr>
            <w:r>
              <w:rPr>
                <w:rFonts w:hint="eastAsia" w:ascii="仿宋_GB2312" w:eastAsia="仿宋_GB2312"/>
                <w:color w:val="auto"/>
                <w:sz w:val="20"/>
                <w:szCs w:val="20"/>
                <w:highlight w:val="none"/>
              </w:rPr>
              <w:t>其他普通教育支出</w:t>
            </w:r>
          </w:p>
        </w:tc>
        <w:tc>
          <w:tcPr>
            <w:tcW w:w="184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kern w:val="0"/>
                <w:sz w:val="20"/>
                <w:szCs w:val="20"/>
                <w:highlight w:val="none"/>
              </w:rPr>
            </w:pPr>
            <w:r>
              <w:rPr>
                <w:rFonts w:hint="eastAsia" w:ascii="仿宋" w:hAnsi="仿宋" w:eastAsia="仿宋" w:cs="仿宋"/>
                <w:color w:val="auto"/>
                <w:sz w:val="20"/>
                <w:szCs w:val="20"/>
                <w:highlight w:val="none"/>
              </w:rPr>
              <w:t>299.48</w:t>
            </w:r>
          </w:p>
        </w:tc>
        <w:tc>
          <w:tcPr>
            <w:tcW w:w="1845"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kern w:val="0"/>
                <w:sz w:val="20"/>
                <w:szCs w:val="20"/>
                <w:highlight w:val="none"/>
              </w:rPr>
            </w:pPr>
            <w:r>
              <w:rPr>
                <w:rFonts w:hint="eastAsia" w:ascii="仿宋" w:hAnsi="仿宋" w:eastAsia="仿宋" w:cs="仿宋"/>
                <w:color w:val="auto"/>
                <w:sz w:val="20"/>
                <w:szCs w:val="20"/>
                <w:highlight w:val="none"/>
                <w:lang w:val="en-US" w:eastAsia="zh-CN"/>
              </w:rPr>
              <w:t>299.48</w:t>
            </w:r>
          </w:p>
        </w:tc>
        <w:tc>
          <w:tcPr>
            <w:tcW w:w="1386"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宋体" w:hAnsi="宋体" w:cs="宋体"/>
                <w:b/>
                <w:bCs/>
                <w:color w:val="auto"/>
                <w:kern w:val="0"/>
                <w:sz w:val="22"/>
                <w:szCs w:val="22"/>
                <w:highlight w:val="none"/>
              </w:rPr>
            </w:pPr>
          </w:p>
        </w:tc>
        <w:tc>
          <w:tcPr>
            <w:tcW w:w="1852" w:type="dxa"/>
            <w:vAlign w:val="center"/>
          </w:tcPr>
          <w:p>
            <w:pPr>
              <w:keepNext w:val="0"/>
              <w:keepLines w:val="0"/>
              <w:suppressLineNumbers w:val="0"/>
              <w:spacing w:before="0" w:beforeAutospacing="0" w:after="0" w:afterAutospacing="0"/>
              <w:ind w:left="0" w:right="0"/>
              <w:jc w:val="center"/>
              <w:rPr>
                <w:rFonts w:hint="default"/>
                <w:highlight w:val="none"/>
              </w:rPr>
            </w:pPr>
          </w:p>
        </w:tc>
        <w:tc>
          <w:tcPr>
            <w:tcW w:w="1345" w:type="dxa"/>
            <w:vAlign w:val="center"/>
          </w:tcPr>
          <w:p>
            <w:pPr>
              <w:keepNext w:val="0"/>
              <w:keepLines w:val="0"/>
              <w:suppressLineNumbers w:val="0"/>
              <w:spacing w:before="0" w:beforeAutospacing="0" w:after="0" w:afterAutospacing="0"/>
              <w:ind w:left="0" w:right="0"/>
              <w:jc w:val="center"/>
              <w:rPr>
                <w:rFonts w:hint="default"/>
                <w:highlight w:val="none"/>
              </w:rPr>
            </w:pPr>
            <w:r>
              <w:rPr>
                <w:rFonts w:hint="eastAsia" w:ascii="仿宋_GB2312" w:eastAsia="仿宋_GB2312"/>
                <w:color w:val="auto"/>
                <w:sz w:val="20"/>
                <w:szCs w:val="20"/>
                <w:highlight w:val="none"/>
              </w:rPr>
              <w:t>　</w:t>
            </w:r>
          </w:p>
        </w:tc>
        <w:tc>
          <w:tcPr>
            <w:tcW w:w="1345" w:type="dxa"/>
            <w:vAlign w:val="center"/>
          </w:tcPr>
          <w:p>
            <w:pPr>
              <w:keepNext w:val="0"/>
              <w:keepLines w:val="0"/>
              <w:suppressLineNumbers w:val="0"/>
              <w:spacing w:before="0" w:beforeAutospacing="0" w:after="0" w:afterAutospacing="0"/>
              <w:ind w:left="0" w:right="0"/>
              <w:jc w:val="center"/>
              <w:rPr>
                <w:rFonts w:hint="default"/>
                <w:highlight w:val="none"/>
              </w:rPr>
            </w:pPr>
            <w:r>
              <w:rPr>
                <w:rFonts w:hint="eastAsia" w:ascii="仿宋_GB2312" w:eastAsia="仿宋_GB2312"/>
                <w:color w:val="auto"/>
                <w:sz w:val="20"/>
                <w:szCs w:val="20"/>
                <w:highlight w:val="none"/>
              </w:rPr>
              <w:t>　</w:t>
            </w:r>
          </w:p>
        </w:tc>
        <w:tc>
          <w:tcPr>
            <w:tcW w:w="1345" w:type="dxa"/>
            <w:vAlign w:val="center"/>
          </w:tcPr>
          <w:p>
            <w:pPr>
              <w:keepNext w:val="0"/>
              <w:keepLines w:val="0"/>
              <w:suppressLineNumbers w:val="0"/>
              <w:spacing w:before="0" w:beforeAutospacing="0" w:after="0" w:afterAutospacing="0"/>
              <w:ind w:left="0" w:right="0"/>
              <w:jc w:val="center"/>
              <w:rPr>
                <w:rFonts w:hint="default"/>
                <w:highlight w:val="none"/>
              </w:rPr>
            </w:pPr>
            <w:r>
              <w:rPr>
                <w:rFonts w:hint="eastAsia" w:ascii="仿宋_GB2312" w:eastAsia="仿宋_GB2312"/>
                <w:color w:val="auto"/>
                <w:sz w:val="20"/>
                <w:szCs w:val="20"/>
                <w:highlight w:val="none"/>
              </w:rPr>
              <w:t>　</w:t>
            </w:r>
          </w:p>
        </w:tc>
        <w:tc>
          <w:tcPr>
            <w:tcW w:w="1345" w:type="dxa"/>
            <w:vAlign w:val="center"/>
          </w:tcPr>
          <w:p>
            <w:pPr>
              <w:keepNext w:val="0"/>
              <w:keepLines w:val="0"/>
              <w:suppressLineNumbers w:val="0"/>
              <w:spacing w:before="0" w:beforeAutospacing="0" w:after="0" w:afterAutospacing="0"/>
              <w:ind w:left="0" w:right="0"/>
              <w:jc w:val="center"/>
              <w:rPr>
                <w:rFonts w:hint="default"/>
                <w:highlight w:val="none"/>
              </w:rPr>
            </w:pPr>
            <w:r>
              <w:rPr>
                <w:rFonts w:hint="eastAsia" w:ascii="仿宋_GB2312" w:eastAsia="仿宋_GB2312"/>
                <w:color w:val="auto"/>
                <w:sz w:val="20"/>
                <w:szCs w:val="20"/>
                <w:highlight w:val="none"/>
              </w:rPr>
              <w:t>　</w:t>
            </w:r>
          </w:p>
        </w:tc>
        <w:tc>
          <w:tcPr>
            <w:tcW w:w="1345" w:type="dxa"/>
            <w:vAlign w:val="center"/>
          </w:tcPr>
          <w:p>
            <w:pPr>
              <w:keepNext w:val="0"/>
              <w:keepLines w:val="0"/>
              <w:suppressLineNumbers w:val="0"/>
              <w:spacing w:before="0" w:beforeAutospacing="0" w:after="0" w:afterAutospacing="0"/>
              <w:ind w:left="0" w:right="0"/>
              <w:jc w:val="center"/>
              <w:rPr>
                <w:rFonts w:hint="default"/>
                <w:highlight w:val="none"/>
              </w:rPr>
            </w:pPr>
          </w:p>
        </w:tc>
        <w:tc>
          <w:tcPr>
            <w:tcW w:w="1345" w:type="dxa"/>
            <w:vAlign w:val="center"/>
          </w:tcPr>
          <w:p>
            <w:pPr>
              <w:keepNext w:val="0"/>
              <w:keepLines w:val="0"/>
              <w:suppressLineNumbers w:val="0"/>
              <w:spacing w:before="0" w:beforeAutospacing="0" w:after="0" w:afterAutospacing="0"/>
              <w:ind w:left="0" w:right="0"/>
              <w:jc w:val="center"/>
              <w:rPr>
                <w:rFonts w:hint="default"/>
                <w:highlight w:val="none"/>
              </w:rPr>
            </w:pPr>
            <w:r>
              <w:rPr>
                <w:rFonts w:hint="eastAsia" w:ascii="仿宋_GB2312" w:eastAsia="仿宋_GB2312"/>
                <w:color w:val="auto"/>
                <w:sz w:val="18"/>
                <w:szCs w:val="18"/>
                <w:highlight w:val="none"/>
                <w:lang w:val="en-US" w:eastAsia="zh-CN"/>
              </w:rPr>
              <w:t>73.45</w:t>
            </w:r>
          </w:p>
        </w:tc>
      </w:tr>
      <w:tr>
        <w:tblPrEx>
          <w:tblCellMar>
            <w:top w:w="0" w:type="dxa"/>
            <w:left w:w="108" w:type="dxa"/>
            <w:bottom w:w="0" w:type="dxa"/>
            <w:right w:w="108" w:type="dxa"/>
          </w:tblCellMar>
        </w:tblPrEx>
        <w:trPr>
          <w:gridAfter w:val="7"/>
          <w:wAfter w:w="9922" w:type="dxa"/>
          <w:trHeight w:val="405" w:hRule="atLeast"/>
        </w:trPr>
        <w:tc>
          <w:tcPr>
            <w:tcW w:w="52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5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2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43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3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gridAfter w:val="7"/>
          <w:wAfter w:w="9922" w:type="dxa"/>
          <w:trHeight w:val="405" w:hRule="atLeast"/>
        </w:trPr>
        <w:tc>
          <w:tcPr>
            <w:tcW w:w="52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5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2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43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3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gridAfter w:val="7"/>
          <w:wAfter w:w="9922" w:type="dxa"/>
          <w:trHeight w:val="405" w:hRule="atLeast"/>
        </w:trPr>
        <w:tc>
          <w:tcPr>
            <w:tcW w:w="52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5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2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43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3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gridAfter w:val="7"/>
          <w:wAfter w:w="9922" w:type="dxa"/>
          <w:trHeight w:val="405" w:hRule="atLeast"/>
        </w:trPr>
        <w:tc>
          <w:tcPr>
            <w:tcW w:w="52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5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2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43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3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gridAfter w:val="7"/>
          <w:wAfter w:w="9922" w:type="dxa"/>
          <w:trHeight w:val="405" w:hRule="atLeast"/>
        </w:trPr>
        <w:tc>
          <w:tcPr>
            <w:tcW w:w="52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5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2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43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3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gridAfter w:val="7"/>
          <w:wAfter w:w="9922" w:type="dxa"/>
          <w:trHeight w:val="405" w:hRule="atLeast"/>
        </w:trPr>
        <w:tc>
          <w:tcPr>
            <w:tcW w:w="52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5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2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43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3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gridAfter w:val="7"/>
          <w:wAfter w:w="9922" w:type="dxa"/>
          <w:trHeight w:val="405" w:hRule="atLeast"/>
        </w:trPr>
        <w:tc>
          <w:tcPr>
            <w:tcW w:w="52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5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2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43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3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gridAfter w:val="7"/>
          <w:wAfter w:w="9922" w:type="dxa"/>
          <w:trHeight w:val="405" w:hRule="atLeast"/>
        </w:trPr>
        <w:tc>
          <w:tcPr>
            <w:tcW w:w="52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5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2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243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3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r>
      <w:tr>
        <w:tblPrEx>
          <w:tblCellMar>
            <w:top w:w="0" w:type="dxa"/>
            <w:left w:w="108" w:type="dxa"/>
            <w:bottom w:w="0" w:type="dxa"/>
            <w:right w:w="108" w:type="dxa"/>
          </w:tblCellMar>
        </w:tblPrEx>
        <w:trPr>
          <w:gridAfter w:val="7"/>
          <w:wAfter w:w="9922" w:type="dxa"/>
          <w:trHeight w:val="405" w:hRule="atLeast"/>
        </w:trPr>
        <w:tc>
          <w:tcPr>
            <w:tcW w:w="52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5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2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243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3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r>
      <w:tr>
        <w:tblPrEx>
          <w:tblCellMar>
            <w:top w:w="0" w:type="dxa"/>
            <w:left w:w="108" w:type="dxa"/>
            <w:bottom w:w="0" w:type="dxa"/>
            <w:right w:w="108" w:type="dxa"/>
          </w:tblCellMar>
        </w:tblPrEx>
        <w:trPr>
          <w:gridAfter w:val="7"/>
          <w:wAfter w:w="9922" w:type="dxa"/>
          <w:trHeight w:val="405" w:hRule="atLeast"/>
        </w:trPr>
        <w:tc>
          <w:tcPr>
            <w:tcW w:w="52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5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2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243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3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r>
      <w:tr>
        <w:tblPrEx>
          <w:tblCellMar>
            <w:top w:w="0" w:type="dxa"/>
            <w:left w:w="108" w:type="dxa"/>
            <w:bottom w:w="0" w:type="dxa"/>
            <w:right w:w="108" w:type="dxa"/>
          </w:tblCellMar>
        </w:tblPrEx>
        <w:trPr>
          <w:gridAfter w:val="7"/>
          <w:wAfter w:w="9922" w:type="dxa"/>
          <w:trHeight w:val="405" w:hRule="atLeast"/>
        </w:trPr>
        <w:tc>
          <w:tcPr>
            <w:tcW w:w="52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5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2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243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3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r>
      <w:tr>
        <w:tblPrEx>
          <w:tblCellMar>
            <w:top w:w="0" w:type="dxa"/>
            <w:left w:w="108" w:type="dxa"/>
            <w:bottom w:w="0" w:type="dxa"/>
            <w:right w:w="108" w:type="dxa"/>
          </w:tblCellMar>
        </w:tblPrEx>
        <w:trPr>
          <w:gridAfter w:val="7"/>
          <w:wAfter w:w="9922" w:type="dxa"/>
          <w:trHeight w:val="405" w:hRule="atLeast"/>
        </w:trPr>
        <w:tc>
          <w:tcPr>
            <w:tcW w:w="52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5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2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243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3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r>
      <w:tr>
        <w:tblPrEx>
          <w:tblCellMar>
            <w:top w:w="0" w:type="dxa"/>
            <w:left w:w="108" w:type="dxa"/>
            <w:bottom w:w="0" w:type="dxa"/>
            <w:right w:w="108" w:type="dxa"/>
          </w:tblCellMar>
        </w:tblPrEx>
        <w:trPr>
          <w:gridAfter w:val="7"/>
          <w:wAfter w:w="9922" w:type="dxa"/>
          <w:trHeight w:val="405" w:hRule="atLeast"/>
        </w:trPr>
        <w:tc>
          <w:tcPr>
            <w:tcW w:w="52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5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2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43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3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gridAfter w:val="7"/>
          <w:wAfter w:w="9922" w:type="dxa"/>
          <w:trHeight w:val="405" w:hRule="atLeast"/>
        </w:trPr>
        <w:tc>
          <w:tcPr>
            <w:tcW w:w="52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5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2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43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3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gridAfter w:val="7"/>
          <w:wAfter w:w="9922" w:type="dxa"/>
          <w:trHeight w:val="405" w:hRule="atLeast"/>
        </w:trPr>
        <w:tc>
          <w:tcPr>
            <w:tcW w:w="526"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color w:val="auto"/>
                <w:highlight w:val="none"/>
              </w:rPr>
            </w:pPr>
          </w:p>
        </w:tc>
        <w:tc>
          <w:tcPr>
            <w:tcW w:w="45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color w:val="auto"/>
                <w:highlight w:val="none"/>
              </w:rPr>
            </w:pPr>
          </w:p>
        </w:tc>
        <w:tc>
          <w:tcPr>
            <w:tcW w:w="425"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color w:val="auto"/>
                <w:highlight w:val="none"/>
              </w:rPr>
            </w:pPr>
          </w:p>
        </w:tc>
        <w:tc>
          <w:tcPr>
            <w:tcW w:w="243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color w:val="auto"/>
                <w:highlight w:val="none"/>
              </w:rPr>
            </w:pPr>
          </w:p>
        </w:tc>
        <w:tc>
          <w:tcPr>
            <w:tcW w:w="184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color w:val="auto"/>
                <w:highlight w:val="none"/>
              </w:rPr>
            </w:pPr>
          </w:p>
        </w:tc>
        <w:tc>
          <w:tcPr>
            <w:tcW w:w="1845"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color w:val="auto"/>
                <w:highlight w:val="none"/>
              </w:rPr>
            </w:pPr>
          </w:p>
        </w:tc>
        <w:tc>
          <w:tcPr>
            <w:tcW w:w="1386"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color w:val="auto"/>
                <w:highlight w:val="none"/>
              </w:rPr>
            </w:pPr>
          </w:p>
        </w:tc>
      </w:tr>
      <w:tr>
        <w:tblPrEx>
          <w:tblCellMar>
            <w:top w:w="0" w:type="dxa"/>
            <w:left w:w="108" w:type="dxa"/>
            <w:bottom w:w="0" w:type="dxa"/>
            <w:right w:w="108" w:type="dxa"/>
          </w:tblCellMar>
        </w:tblPrEx>
        <w:trPr>
          <w:gridAfter w:val="7"/>
          <w:wAfter w:w="9922" w:type="dxa"/>
          <w:trHeight w:val="405" w:hRule="atLeast"/>
        </w:trPr>
        <w:tc>
          <w:tcPr>
            <w:tcW w:w="52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5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2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243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仿宋_GB2312" w:hAnsi="仿宋_GB2312" w:eastAsia="仿宋_GB2312" w:cs="仿宋_GB2312"/>
                <w:b/>
                <w:bCs/>
                <w:color w:val="auto"/>
                <w:kern w:val="0"/>
                <w:sz w:val="20"/>
                <w:szCs w:val="20"/>
                <w:highlight w:val="none"/>
              </w:rPr>
              <w:t>合  计</w:t>
            </w:r>
          </w:p>
        </w:tc>
        <w:tc>
          <w:tcPr>
            <w:tcW w:w="184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sz w:val="20"/>
                <w:szCs w:val="20"/>
                <w:highlight w:val="none"/>
              </w:rPr>
              <w:t>299.48</w:t>
            </w:r>
          </w:p>
        </w:tc>
        <w:tc>
          <w:tcPr>
            <w:tcW w:w="1845"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sz w:val="20"/>
                <w:szCs w:val="20"/>
                <w:highlight w:val="none"/>
                <w:lang w:val="en-US" w:eastAsia="zh-CN"/>
              </w:rPr>
              <w:t>299.48</w:t>
            </w:r>
          </w:p>
        </w:tc>
        <w:tc>
          <w:tcPr>
            <w:tcW w:w="1386"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宋体" w:hAnsi="宋体" w:cs="宋体"/>
                <w:b/>
                <w:bCs/>
                <w:color w:val="auto"/>
                <w:kern w:val="0"/>
                <w:sz w:val="24"/>
                <w:highlight w:val="none"/>
              </w:rPr>
            </w:pPr>
          </w:p>
        </w:tc>
      </w:tr>
    </w:tbl>
    <w:p>
      <w:pPr>
        <w:widowControl/>
        <w:outlineLvl w:val="1"/>
        <w:rPr>
          <w:rFonts w:hint="eastAsia" w:ascii="仿宋_GB2312" w:hAnsi="宋体" w:eastAsia="仿宋_GB2312"/>
          <w:b/>
          <w:color w:val="FF0000"/>
          <w:kern w:val="0"/>
          <w:sz w:val="28"/>
          <w:szCs w:val="32"/>
          <w:highlight w:val="none"/>
        </w:rPr>
      </w:pPr>
    </w:p>
    <w:p>
      <w:pPr>
        <w:widowControl/>
        <w:outlineLvl w:val="1"/>
        <w:rPr>
          <w:rFonts w:hint="eastAsia" w:ascii="仿宋_GB2312" w:hAnsi="宋体" w:eastAsia="仿宋_GB2312"/>
          <w:b/>
          <w:color w:val="FF0000"/>
          <w:kern w:val="0"/>
          <w:sz w:val="28"/>
          <w:szCs w:val="32"/>
          <w:highlight w:val="none"/>
        </w:rPr>
      </w:pPr>
    </w:p>
    <w:p>
      <w:pPr>
        <w:widowControl/>
        <w:outlineLvl w:val="1"/>
        <w:rPr>
          <w:rFonts w:hint="eastAsia" w:ascii="仿宋_GB2312" w:hAnsi="宋体" w:eastAsia="仿宋_GB2312"/>
          <w:b/>
          <w:color w:val="FF0000"/>
          <w:kern w:val="0"/>
          <w:sz w:val="28"/>
          <w:szCs w:val="32"/>
          <w:highlight w:val="none"/>
        </w:rPr>
      </w:pPr>
    </w:p>
    <w:p>
      <w:pPr>
        <w:widowControl/>
        <w:outlineLvl w:val="1"/>
        <w:rPr>
          <w:rFonts w:hint="eastAsia" w:ascii="仿宋_GB2312" w:hAnsi="宋体" w:eastAsia="仿宋_GB2312"/>
          <w:b/>
          <w:color w:val="FF0000"/>
          <w:kern w:val="0"/>
          <w:sz w:val="28"/>
          <w:szCs w:val="32"/>
          <w:highlight w:val="none"/>
        </w:rPr>
      </w:pPr>
    </w:p>
    <w:p>
      <w:pPr>
        <w:widowControl/>
        <w:outlineLvl w:val="1"/>
        <w:rPr>
          <w:rFonts w:hint="eastAsia" w:ascii="仿宋_GB2312" w:hAnsi="宋体" w:eastAsia="仿宋_GB2312"/>
          <w:b/>
          <w:color w:val="FF0000"/>
          <w:kern w:val="0"/>
          <w:sz w:val="28"/>
          <w:szCs w:val="32"/>
          <w:highlight w:val="none"/>
        </w:rPr>
      </w:pPr>
    </w:p>
    <w:p>
      <w:pPr>
        <w:widowControl/>
        <w:outlineLvl w:val="1"/>
        <w:rPr>
          <w:rFonts w:hint="eastAsia" w:ascii="宋体" w:hAnsi="宋体" w:eastAsia="宋体" w:cs="宋体"/>
          <w:i w:val="0"/>
          <w:color w:val="auto"/>
          <w:kern w:val="0"/>
          <w:sz w:val="20"/>
          <w:szCs w:val="20"/>
          <w:highlight w:val="none"/>
          <w:u w:val="none"/>
          <w:lang w:val="en-US" w:eastAsia="zh-CN" w:bidi="ar"/>
        </w:rPr>
      </w:pPr>
    </w:p>
    <w:p>
      <w:pPr>
        <w:widowControl/>
        <w:outlineLvl w:val="1"/>
        <w:rPr>
          <w:rFonts w:hint="eastAsia" w:ascii="仿宋_GB2312" w:hAnsi="宋体" w:eastAsia="仿宋_GB2312"/>
          <w:b/>
          <w:color w:val="auto"/>
          <w:kern w:val="0"/>
          <w:sz w:val="32"/>
          <w:szCs w:val="32"/>
          <w:highlight w:val="none"/>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keepNext w:val="0"/>
        <w:keepLines w:val="0"/>
        <w:pageBreakBefore w:val="0"/>
        <w:widowControl/>
        <w:kinsoku/>
        <w:wordWrap/>
        <w:overflowPunct/>
        <w:topLinePunct w:val="0"/>
        <w:autoSpaceDE/>
        <w:autoSpaceDN/>
        <w:bidi w:val="0"/>
        <w:adjustRightInd/>
        <w:snapToGrid/>
        <w:spacing w:before="120" w:beforeLines="50" w:line="240" w:lineRule="atLeast"/>
        <w:jc w:val="center"/>
        <w:textAlignment w:val="auto"/>
        <w:outlineLvl w:val="1"/>
        <w:rPr>
          <w:rFonts w:hint="eastAsia" w:ascii="仿宋_GB2312" w:hAnsi="宋体" w:eastAsia="仿宋_GB2312" w:cs="宋体"/>
          <w:color w:val="auto"/>
          <w:kern w:val="0"/>
          <w:sz w:val="24"/>
          <w:highlight w:val="none"/>
        </w:rPr>
      </w:pPr>
      <w:r>
        <w:rPr>
          <w:rFonts w:hint="eastAsia" w:ascii="仿宋_GB2312" w:hAnsi="宋体" w:eastAsia="仿宋_GB2312"/>
          <w:color w:val="auto"/>
          <w:kern w:val="0"/>
          <w:sz w:val="24"/>
          <w:highlight w:val="none"/>
          <w:lang w:eastAsia="zh-CN"/>
        </w:rPr>
        <w:t>编制</w:t>
      </w:r>
      <w:r>
        <w:rPr>
          <w:rFonts w:hint="eastAsia" w:ascii="仿宋_GB2312" w:hAnsi="宋体" w:eastAsia="仿宋_GB2312"/>
          <w:color w:val="auto"/>
          <w:kern w:val="0"/>
          <w:sz w:val="24"/>
          <w:highlight w:val="none"/>
          <w:lang w:val="en-US" w:eastAsia="zh-CN"/>
        </w:rPr>
        <w:t>部门</w:t>
      </w:r>
      <w:r>
        <w:rPr>
          <w:rFonts w:hint="eastAsia" w:ascii="仿宋_GB2312" w:hAnsi="宋体" w:eastAsia="仿宋_GB2312"/>
          <w:color w:val="auto"/>
          <w:kern w:val="0"/>
          <w:sz w:val="24"/>
          <w:highlight w:val="none"/>
          <w:lang w:eastAsia="zh-CN"/>
        </w:rPr>
        <w:t>：</w:t>
      </w:r>
      <w:r>
        <w:rPr>
          <w:rFonts w:hint="eastAsia" w:ascii="仿宋_GB2312" w:hAnsi="宋体" w:eastAsia="仿宋_GB2312" w:cs="宋体"/>
          <w:color w:val="auto"/>
          <w:kern w:val="0"/>
          <w:sz w:val="24"/>
          <w:highlight w:val="none"/>
        </w:rPr>
        <w:t>昌吉州青少年示范性综合实践基地</w:t>
      </w:r>
      <w:r>
        <w:rPr>
          <w:rFonts w:hint="eastAsia" w:ascii="仿宋_GB2312" w:hAnsi="宋体" w:eastAsia="仿宋_GB2312" w:cs="宋体"/>
          <w:color w:val="auto"/>
          <w:kern w:val="0"/>
          <w:sz w:val="24"/>
          <w:highlight w:val="none"/>
          <w:lang w:val="en-US" w:eastAsia="zh-CN"/>
        </w:rPr>
        <w:t>服务</w:t>
      </w:r>
      <w:r>
        <w:rPr>
          <w:rFonts w:hint="eastAsia" w:ascii="仿宋_GB2312" w:hAnsi="宋体" w:eastAsia="仿宋_GB2312" w:cs="宋体"/>
          <w:color w:val="auto"/>
          <w:kern w:val="0"/>
          <w:sz w:val="24"/>
          <w:highlight w:val="none"/>
        </w:rPr>
        <w:t>中心</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s="宋体"/>
          <w:color w:val="auto"/>
          <w:kern w:val="0"/>
          <w:sz w:val="24"/>
          <w:highlight w:val="none"/>
        </w:rPr>
        <w:t>单位：万元</w:t>
      </w:r>
    </w:p>
    <w:tbl>
      <w:tblPr>
        <w:tblStyle w:val="9"/>
        <w:tblpPr w:leftFromText="180" w:rightFromText="180" w:vertAnchor="text" w:horzAnchor="page" w:tblpX="864" w:tblpY="291"/>
        <w:tblOverlap w:val="never"/>
        <w:tblW w:w="9449" w:type="dxa"/>
        <w:tblInd w:w="0" w:type="dxa"/>
        <w:tblLayout w:type="fixed"/>
        <w:tblCellMar>
          <w:top w:w="0" w:type="dxa"/>
          <w:left w:w="108" w:type="dxa"/>
          <w:bottom w:w="0" w:type="dxa"/>
          <w:right w:w="108" w:type="dxa"/>
        </w:tblCellMar>
      </w:tblPr>
      <w:tblGrid>
        <w:gridCol w:w="1936"/>
        <w:gridCol w:w="914"/>
        <w:gridCol w:w="2580"/>
        <w:gridCol w:w="900"/>
        <w:gridCol w:w="851"/>
        <w:gridCol w:w="1134"/>
        <w:gridCol w:w="1134"/>
      </w:tblGrid>
      <w:tr>
        <w:tblPrEx>
          <w:tblCellMar>
            <w:top w:w="0" w:type="dxa"/>
            <w:left w:w="108" w:type="dxa"/>
            <w:bottom w:w="0" w:type="dxa"/>
            <w:right w:w="108" w:type="dxa"/>
          </w:tblCellMar>
        </w:tblPrEx>
        <w:trPr>
          <w:trHeight w:val="285" w:hRule="atLeast"/>
        </w:trPr>
        <w:tc>
          <w:tcPr>
            <w:tcW w:w="2850" w:type="dxa"/>
            <w:gridSpan w:val="2"/>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599" w:type="dxa"/>
            <w:gridSpan w:val="5"/>
            <w:tcBorders>
              <w:top w:val="single" w:color="auto" w:sz="4" w:space="0"/>
              <w:left w:val="nil"/>
              <w:bottom w:val="single" w:color="auto" w:sz="4" w:space="0"/>
              <w:right w:val="single" w:color="000000"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CellMar>
            <w:top w:w="0" w:type="dxa"/>
            <w:left w:w="108" w:type="dxa"/>
            <w:bottom w:w="0" w:type="dxa"/>
            <w:right w:w="108" w:type="dxa"/>
          </w:tblCellMar>
        </w:tblPrEx>
        <w:trPr>
          <w:trHeight w:val="500" w:hRule="atLeast"/>
        </w:trPr>
        <w:tc>
          <w:tcPr>
            <w:tcW w:w="1936" w:type="dxa"/>
            <w:tcBorders>
              <w:top w:val="nil"/>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00" w:lineRule="exact"/>
              <w:ind w:left="0" w:right="0"/>
              <w:jc w:val="center"/>
              <w:textAlignment w:val="auto"/>
              <w:rPr>
                <w:rFonts w:hint="default"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14"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00" w:lineRule="exact"/>
              <w:ind w:left="0" w:right="0"/>
              <w:jc w:val="center"/>
              <w:textAlignment w:val="auto"/>
              <w:rPr>
                <w:rFonts w:hint="default"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80"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00" w:lineRule="exact"/>
              <w:ind w:left="0" w:right="0"/>
              <w:jc w:val="center"/>
              <w:textAlignment w:val="auto"/>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00"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00" w:lineRule="exact"/>
              <w:ind w:left="0" w:right="0"/>
              <w:jc w:val="center"/>
              <w:textAlignment w:val="auto"/>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851"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00" w:lineRule="exact"/>
              <w:ind w:left="0" w:right="0"/>
              <w:jc w:val="center"/>
              <w:textAlignment w:val="auto"/>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34"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00" w:lineRule="exact"/>
              <w:ind w:left="0" w:right="0"/>
              <w:jc w:val="center"/>
              <w:textAlignment w:val="auto"/>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34" w:type="dxa"/>
            <w:tcBorders>
              <w:top w:val="nil"/>
              <w:left w:val="nil"/>
              <w:bottom w:val="single" w:color="auto" w:sz="4" w:space="0"/>
              <w:right w:val="single" w:color="auto" w:sz="4" w:space="0"/>
            </w:tcBorders>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00" w:lineRule="exact"/>
              <w:ind w:left="0" w:right="0"/>
              <w:textAlignment w:val="auto"/>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91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eastAsia="仿宋_GB2312"/>
                <w:color w:val="auto"/>
                <w:sz w:val="18"/>
                <w:szCs w:val="18"/>
                <w:highlight w:val="none"/>
                <w:lang w:val="en-US" w:eastAsia="zh-CN"/>
              </w:rPr>
              <w:t>226.03</w:t>
            </w: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firstLine="180" w:firstLineChars="10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91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eastAsia="仿宋_GB2312"/>
                <w:color w:val="auto"/>
                <w:sz w:val="18"/>
                <w:szCs w:val="18"/>
                <w:highlight w:val="none"/>
                <w:lang w:val="en-US" w:eastAsia="zh-CN"/>
              </w:rPr>
              <w:t>226.03</w:t>
            </w: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91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仿宋_GB2312" w:eastAsia="仿宋_GB2312"/>
                <w:color w:val="auto"/>
                <w:sz w:val="18"/>
                <w:szCs w:val="18"/>
                <w:highlight w:val="none"/>
                <w:lang w:val="en-US" w:eastAsia="zh-CN"/>
              </w:rPr>
              <w:t>226.03</w:t>
            </w: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仿宋_GB2312" w:eastAsia="仿宋_GB2312"/>
                <w:color w:val="auto"/>
                <w:sz w:val="18"/>
                <w:szCs w:val="18"/>
                <w:highlight w:val="none"/>
                <w:lang w:val="en-US" w:eastAsia="zh-CN"/>
              </w:rPr>
              <w:t>226.03</w:t>
            </w: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卫生健康支出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灾害防治及应急管理支出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转移性支出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lang w:val="en-US"/>
              </w:rPr>
            </w:pPr>
            <w:r>
              <w:rPr>
                <w:rFonts w:hint="eastAsia" w:ascii="仿宋_GB2312" w:hAnsi="宋体" w:eastAsia="仿宋_GB2312" w:cs="宋体"/>
                <w:color w:val="auto"/>
                <w:kern w:val="0"/>
                <w:sz w:val="18"/>
                <w:szCs w:val="18"/>
                <w:highlight w:val="none"/>
                <w:lang w:val="en-US" w:eastAsia="zh-CN"/>
              </w:rPr>
              <w:t xml:space="preserve">                    </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rPr>
            </w:pP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91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b/>
                <w:bCs/>
                <w:color w:val="auto"/>
                <w:kern w:val="0"/>
                <w:sz w:val="20"/>
                <w:szCs w:val="20"/>
                <w:highlight w:val="none"/>
              </w:rPr>
            </w:pPr>
            <w:r>
              <w:rPr>
                <w:rFonts w:hint="eastAsia" w:ascii="仿宋_GB2312" w:eastAsia="仿宋_GB2312"/>
                <w:b/>
                <w:bCs/>
                <w:color w:val="auto"/>
                <w:sz w:val="18"/>
                <w:szCs w:val="18"/>
                <w:highlight w:val="none"/>
                <w:lang w:val="en-US" w:eastAsia="zh-CN"/>
              </w:rPr>
              <w:t>226.03</w:t>
            </w:r>
            <w:r>
              <w:rPr>
                <w:rFonts w:hint="eastAsia" w:ascii="仿宋_GB2312" w:hAnsi="宋体" w:eastAsia="仿宋_GB2312" w:cs="宋体"/>
                <w:b/>
                <w:bCs/>
                <w:color w:val="auto"/>
                <w:kern w:val="0"/>
                <w:sz w:val="20"/>
                <w:szCs w:val="20"/>
                <w:highlight w:val="none"/>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b/>
                <w:bCs/>
                <w:color w:val="auto"/>
                <w:kern w:val="0"/>
                <w:sz w:val="18"/>
                <w:szCs w:val="18"/>
                <w:highlight w:val="none"/>
              </w:rPr>
            </w:pPr>
            <w:r>
              <w:rPr>
                <w:rFonts w:hint="eastAsia" w:ascii="仿宋_GB2312" w:eastAsia="仿宋_GB2312"/>
                <w:b/>
                <w:bCs/>
                <w:color w:val="auto"/>
                <w:sz w:val="18"/>
                <w:szCs w:val="18"/>
                <w:highlight w:val="none"/>
                <w:lang w:val="en-US" w:eastAsia="zh-CN"/>
              </w:rPr>
              <w:t>226.03</w:t>
            </w:r>
            <w:r>
              <w:rPr>
                <w:rFonts w:hint="eastAsia" w:ascii="宋体" w:hAnsi="宋体" w:cs="宋体"/>
                <w:b/>
                <w:bCs/>
                <w:color w:val="auto"/>
                <w:kern w:val="0"/>
                <w:sz w:val="22"/>
                <w:szCs w:val="22"/>
                <w:highlight w:val="none"/>
              </w:rPr>
              <w:t>　</w:t>
            </w: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b/>
                <w:bCs/>
                <w:color w:val="auto"/>
                <w:kern w:val="0"/>
                <w:sz w:val="18"/>
                <w:szCs w:val="18"/>
                <w:highlight w:val="none"/>
              </w:rPr>
            </w:pPr>
            <w:r>
              <w:rPr>
                <w:rFonts w:hint="eastAsia" w:ascii="仿宋_GB2312" w:eastAsia="仿宋_GB2312"/>
                <w:b/>
                <w:bCs/>
                <w:color w:val="auto"/>
                <w:sz w:val="18"/>
                <w:szCs w:val="18"/>
                <w:highlight w:val="none"/>
                <w:lang w:val="en-US" w:eastAsia="zh-CN"/>
              </w:rPr>
              <w:t>226.03</w:t>
            </w:r>
            <w:r>
              <w:rPr>
                <w:rFonts w:hint="eastAsia" w:ascii="宋体" w:hAnsi="宋体" w:cs="宋体"/>
                <w:b/>
                <w:bCs/>
                <w:color w:val="auto"/>
                <w:kern w:val="0"/>
                <w:sz w:val="22"/>
                <w:szCs w:val="22"/>
                <w:highlight w:val="none"/>
              </w:rPr>
              <w:t>　</w:t>
            </w:r>
          </w:p>
        </w:tc>
        <w:tc>
          <w:tcPr>
            <w:tcW w:w="2268"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r>
    </w:tbl>
    <w:p>
      <w:pPr>
        <w:keepNext w:val="0"/>
        <w:keepLines w:val="0"/>
        <w:widowControl/>
        <w:suppressLineNumbers w:val="0"/>
        <w:jc w:val="left"/>
        <w:textAlignment w:val="bottom"/>
        <w:rPr>
          <w:rFonts w:hint="default"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tbl>
      <w:tblPr>
        <w:tblStyle w:val="9"/>
        <w:tblpPr w:leftFromText="180" w:rightFromText="180" w:vertAnchor="text" w:horzAnchor="page" w:tblpX="979" w:tblpY="303"/>
        <w:tblOverlap w:val="never"/>
        <w:tblW w:w="9214" w:type="dxa"/>
        <w:tblInd w:w="0" w:type="dxa"/>
        <w:tblLayout w:type="fixed"/>
        <w:tblCellMar>
          <w:top w:w="0" w:type="dxa"/>
          <w:left w:w="108" w:type="dxa"/>
          <w:bottom w:w="0" w:type="dxa"/>
          <w:right w:w="108" w:type="dxa"/>
        </w:tblCellMar>
      </w:tblPr>
      <w:tblGrid>
        <w:gridCol w:w="620"/>
        <w:gridCol w:w="538"/>
        <w:gridCol w:w="475"/>
        <w:gridCol w:w="2354"/>
        <w:gridCol w:w="1684"/>
        <w:gridCol w:w="674"/>
        <w:gridCol w:w="1168"/>
        <w:gridCol w:w="1701"/>
      </w:tblGrid>
      <w:tr>
        <w:tblPrEx>
          <w:tblCellMar>
            <w:top w:w="0" w:type="dxa"/>
            <w:left w:w="108" w:type="dxa"/>
            <w:bottom w:w="0" w:type="dxa"/>
            <w:right w:w="108" w:type="dxa"/>
          </w:tblCellMar>
        </w:tblPrEx>
        <w:trPr>
          <w:trHeight w:val="450" w:hRule="atLeast"/>
        </w:trPr>
        <w:tc>
          <w:tcPr>
            <w:tcW w:w="9214" w:type="dxa"/>
            <w:gridSpan w:val="8"/>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CellMar>
            <w:top w:w="0" w:type="dxa"/>
            <w:left w:w="108" w:type="dxa"/>
            <w:bottom w:w="0" w:type="dxa"/>
            <w:right w:w="108" w:type="dxa"/>
          </w:tblCellMar>
        </w:tblPrEx>
        <w:trPr>
          <w:trHeight w:val="447" w:hRule="atLeast"/>
        </w:trPr>
        <w:tc>
          <w:tcPr>
            <w:tcW w:w="6345" w:type="dxa"/>
            <w:gridSpan w:val="6"/>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olor w:val="auto"/>
                <w:kern w:val="0"/>
                <w:sz w:val="24"/>
                <w:highlight w:val="none"/>
                <w:lang w:eastAsia="zh-CN"/>
              </w:rPr>
              <w:t>编制</w:t>
            </w:r>
            <w:r>
              <w:rPr>
                <w:rFonts w:hint="eastAsia" w:ascii="仿宋_GB2312" w:hAnsi="宋体" w:eastAsia="仿宋_GB2312"/>
                <w:color w:val="auto"/>
                <w:kern w:val="0"/>
                <w:sz w:val="24"/>
                <w:highlight w:val="none"/>
                <w:lang w:val="en-US" w:eastAsia="zh-CN"/>
              </w:rPr>
              <w:t>部门</w:t>
            </w:r>
            <w:r>
              <w:rPr>
                <w:rFonts w:hint="eastAsia" w:ascii="仿宋_GB2312" w:hAnsi="宋体" w:eastAsia="仿宋_GB2312"/>
                <w:color w:val="auto"/>
                <w:kern w:val="0"/>
                <w:sz w:val="24"/>
                <w:highlight w:val="none"/>
                <w:lang w:eastAsia="zh-CN"/>
              </w:rPr>
              <w:t>：</w:t>
            </w:r>
            <w:r>
              <w:rPr>
                <w:rFonts w:hint="eastAsia" w:ascii="仿宋_GB2312" w:hAnsi="宋体" w:eastAsia="仿宋_GB2312" w:cs="宋体"/>
                <w:color w:val="auto"/>
                <w:kern w:val="0"/>
                <w:sz w:val="24"/>
                <w:highlight w:val="none"/>
              </w:rPr>
              <w:t>昌吉州青少年示范性综合实践基地</w:t>
            </w:r>
            <w:r>
              <w:rPr>
                <w:rFonts w:hint="eastAsia" w:ascii="仿宋_GB2312" w:hAnsi="宋体" w:eastAsia="仿宋_GB2312" w:cs="宋体"/>
                <w:color w:val="auto"/>
                <w:kern w:val="0"/>
                <w:sz w:val="24"/>
                <w:highlight w:val="none"/>
                <w:lang w:val="en-US" w:eastAsia="zh-CN"/>
              </w:rPr>
              <w:t>服务</w:t>
            </w:r>
            <w:r>
              <w:rPr>
                <w:rFonts w:hint="eastAsia" w:ascii="仿宋_GB2312" w:hAnsi="宋体" w:eastAsia="仿宋_GB2312" w:cs="宋体"/>
                <w:color w:val="auto"/>
                <w:kern w:val="0"/>
                <w:sz w:val="24"/>
                <w:highlight w:val="none"/>
              </w:rPr>
              <w:t>中心</w:t>
            </w:r>
            <w:r>
              <w:rPr>
                <w:rFonts w:hint="eastAsia" w:ascii="仿宋_GB2312" w:hAnsi="宋体" w:eastAsia="仿宋_GB2312"/>
                <w:color w:val="auto"/>
                <w:kern w:val="0"/>
                <w:sz w:val="24"/>
                <w:highlight w:val="none"/>
              </w:rPr>
              <w:t xml:space="preserve">      </w:t>
            </w:r>
            <w:r>
              <w:rPr>
                <w:rFonts w:hint="eastAsia" w:ascii="仿宋_GB2312" w:hAnsi="宋体" w:eastAsia="仿宋_GB2312" w:cs="宋体"/>
                <w:color w:val="auto"/>
                <w:kern w:val="0"/>
                <w:sz w:val="24"/>
                <w:highlight w:val="none"/>
              </w:rPr>
              <w:t xml:space="preserve">  </w:t>
            </w:r>
          </w:p>
        </w:tc>
        <w:tc>
          <w:tcPr>
            <w:tcW w:w="2869" w:type="dxa"/>
            <w:gridSpan w:val="2"/>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CellMar>
            <w:top w:w="0" w:type="dxa"/>
            <w:left w:w="108" w:type="dxa"/>
            <w:bottom w:w="0" w:type="dxa"/>
            <w:right w:w="108" w:type="dxa"/>
          </w:tblCellMar>
        </w:tblPrEx>
        <w:trPr>
          <w:trHeight w:val="405" w:hRule="atLeast"/>
        </w:trPr>
        <w:tc>
          <w:tcPr>
            <w:tcW w:w="3987" w:type="dxa"/>
            <w:gridSpan w:val="4"/>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5227" w:type="dxa"/>
            <w:gridSpan w:val="4"/>
            <w:tcBorders>
              <w:top w:val="single" w:color="auto" w:sz="4" w:space="0"/>
              <w:left w:val="nil"/>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CellMar>
            <w:top w:w="0" w:type="dxa"/>
            <w:left w:w="108" w:type="dxa"/>
            <w:bottom w:w="0" w:type="dxa"/>
            <w:right w:w="108" w:type="dxa"/>
          </w:tblCellMar>
        </w:tblPrEx>
        <w:trPr>
          <w:trHeight w:val="465" w:hRule="atLeast"/>
        </w:trPr>
        <w:tc>
          <w:tcPr>
            <w:tcW w:w="1633" w:type="dxa"/>
            <w:gridSpan w:val="3"/>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4" w:type="dxa"/>
            <w:vMerge w:val="restart"/>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684" w:type="dxa"/>
            <w:vMerge w:val="restart"/>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842" w:type="dxa"/>
            <w:gridSpan w:val="2"/>
            <w:vMerge w:val="restart"/>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701" w:type="dxa"/>
            <w:vMerge w:val="restart"/>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CellMar>
            <w:top w:w="0" w:type="dxa"/>
            <w:left w:w="108" w:type="dxa"/>
            <w:bottom w:w="0" w:type="dxa"/>
            <w:right w:w="108" w:type="dxa"/>
          </w:tblCellMar>
        </w:tblPrEx>
        <w:trPr>
          <w:trHeight w:val="300" w:hRule="atLeast"/>
        </w:trPr>
        <w:tc>
          <w:tcPr>
            <w:tcW w:w="620"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3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47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354" w:type="dxa"/>
            <w:vMerge w:val="continue"/>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bCs/>
                <w:color w:val="auto"/>
                <w:kern w:val="0"/>
                <w:sz w:val="20"/>
                <w:szCs w:val="20"/>
                <w:highlight w:val="none"/>
              </w:rPr>
            </w:pPr>
          </w:p>
        </w:tc>
        <w:tc>
          <w:tcPr>
            <w:tcW w:w="1684" w:type="dxa"/>
            <w:vMerge w:val="continue"/>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bCs/>
                <w:color w:val="auto"/>
                <w:kern w:val="0"/>
                <w:sz w:val="20"/>
                <w:szCs w:val="20"/>
                <w:highlight w:val="none"/>
              </w:rPr>
            </w:pPr>
          </w:p>
        </w:tc>
        <w:tc>
          <w:tcPr>
            <w:tcW w:w="1842" w:type="dxa"/>
            <w:gridSpan w:val="2"/>
            <w:vMerge w:val="continue"/>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620"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_GB2312" w:hAnsi="宋体" w:eastAsia="仿宋_GB2312" w:cs="宋体"/>
                <w:b/>
                <w:color w:val="auto"/>
                <w:kern w:val="0"/>
                <w:sz w:val="20"/>
                <w:szCs w:val="20"/>
                <w:highlight w:val="none"/>
                <w:lang w:eastAsia="zh-CN"/>
              </w:rPr>
            </w:pPr>
            <w:r>
              <w:rPr>
                <w:rFonts w:hint="eastAsia" w:ascii="仿宋_GB2312" w:eastAsia="仿宋_GB2312" w:cs="Times New Roman"/>
                <w:color w:val="auto"/>
                <w:sz w:val="20"/>
                <w:szCs w:val="20"/>
                <w:highlight w:val="none"/>
                <w:lang w:val="en-US" w:eastAsia="zh-CN"/>
              </w:rPr>
              <w:t>205　</w:t>
            </w:r>
          </w:p>
        </w:tc>
        <w:tc>
          <w:tcPr>
            <w:tcW w:w="538"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b/>
                <w:color w:val="auto"/>
                <w:kern w:val="0"/>
                <w:sz w:val="20"/>
                <w:szCs w:val="20"/>
                <w:highlight w:val="none"/>
              </w:rPr>
            </w:pPr>
            <w:r>
              <w:rPr>
                <w:rFonts w:hint="eastAsia" w:ascii="仿宋_GB2312" w:eastAsia="仿宋_GB2312" w:cs="Times New Roman"/>
                <w:color w:val="auto"/>
                <w:sz w:val="20"/>
                <w:szCs w:val="20"/>
                <w:highlight w:val="none"/>
                <w:lang w:val="en-US" w:eastAsia="zh-CN"/>
              </w:rPr>
              <w:t>　</w:t>
            </w:r>
          </w:p>
        </w:tc>
        <w:tc>
          <w:tcPr>
            <w:tcW w:w="475"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b/>
                <w:color w:val="auto"/>
                <w:kern w:val="0"/>
                <w:sz w:val="20"/>
                <w:szCs w:val="20"/>
                <w:highlight w:val="none"/>
              </w:rPr>
            </w:pPr>
            <w:r>
              <w:rPr>
                <w:rFonts w:hint="eastAsia" w:ascii="仿宋_GB2312" w:eastAsia="仿宋_GB2312" w:cs="Times New Roman"/>
                <w:color w:val="auto"/>
                <w:sz w:val="20"/>
                <w:szCs w:val="20"/>
                <w:highlight w:val="none"/>
                <w:lang w:val="en-US" w:eastAsia="zh-CN"/>
              </w:rPr>
              <w:t>　</w:t>
            </w:r>
          </w:p>
        </w:tc>
        <w:tc>
          <w:tcPr>
            <w:tcW w:w="235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color w:val="auto"/>
                <w:kern w:val="0"/>
                <w:sz w:val="20"/>
                <w:szCs w:val="20"/>
                <w:highlight w:val="none"/>
              </w:rPr>
            </w:pPr>
            <w:r>
              <w:rPr>
                <w:rFonts w:hint="eastAsia" w:ascii="仿宋_GB2312" w:eastAsia="仿宋_GB2312"/>
                <w:color w:val="auto"/>
                <w:sz w:val="20"/>
                <w:szCs w:val="20"/>
                <w:highlight w:val="none"/>
              </w:rPr>
              <w:t>教育支出</w:t>
            </w:r>
            <w:r>
              <w:rPr>
                <w:rFonts w:hint="eastAsia" w:ascii="黑体" w:eastAsia="黑体"/>
                <w:bCs/>
                <w:color w:val="auto"/>
                <w:sz w:val="20"/>
                <w:szCs w:val="20"/>
                <w:highlight w:val="none"/>
              </w:rPr>
              <w:t>　</w:t>
            </w:r>
          </w:p>
        </w:tc>
        <w:tc>
          <w:tcPr>
            <w:tcW w:w="168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color w:val="auto"/>
                <w:kern w:val="0"/>
                <w:sz w:val="20"/>
                <w:szCs w:val="20"/>
                <w:highlight w:val="none"/>
              </w:rPr>
            </w:pPr>
            <w:r>
              <w:rPr>
                <w:rFonts w:hint="eastAsia" w:ascii="仿宋_GB2312" w:eastAsia="仿宋_GB2312"/>
                <w:color w:val="auto"/>
                <w:sz w:val="18"/>
                <w:szCs w:val="18"/>
                <w:highlight w:val="none"/>
                <w:lang w:val="en-US" w:eastAsia="zh-CN"/>
              </w:rPr>
              <w:t>226.03</w:t>
            </w:r>
          </w:p>
        </w:tc>
        <w:tc>
          <w:tcPr>
            <w:tcW w:w="1842" w:type="dxa"/>
            <w:gridSpan w:val="2"/>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color w:val="auto"/>
                <w:kern w:val="0"/>
                <w:sz w:val="20"/>
                <w:szCs w:val="20"/>
                <w:highlight w:val="none"/>
              </w:rPr>
            </w:pPr>
            <w:r>
              <w:rPr>
                <w:rFonts w:hint="eastAsia" w:ascii="仿宋_GB2312" w:eastAsia="仿宋_GB2312"/>
                <w:color w:val="auto"/>
                <w:sz w:val="18"/>
                <w:szCs w:val="18"/>
                <w:highlight w:val="none"/>
                <w:lang w:val="en-US" w:eastAsia="zh-CN"/>
              </w:rPr>
              <w:t>226.03</w:t>
            </w:r>
          </w:p>
        </w:tc>
        <w:tc>
          <w:tcPr>
            <w:tcW w:w="1701"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620"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cs="宋体"/>
                <w:color w:val="auto"/>
                <w:kern w:val="0"/>
                <w:sz w:val="20"/>
                <w:szCs w:val="20"/>
                <w:highlight w:val="none"/>
              </w:rPr>
            </w:pPr>
            <w:r>
              <w:rPr>
                <w:rFonts w:hint="eastAsia" w:ascii="仿宋_GB2312" w:eastAsia="仿宋_GB2312" w:cs="Times New Roman"/>
                <w:color w:val="auto"/>
                <w:sz w:val="20"/>
                <w:szCs w:val="20"/>
                <w:highlight w:val="none"/>
                <w:lang w:val="en-US" w:eastAsia="zh-CN"/>
              </w:rPr>
              <w:t>205　</w:t>
            </w:r>
          </w:p>
        </w:tc>
        <w:tc>
          <w:tcPr>
            <w:tcW w:w="538"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cs="宋体"/>
                <w:color w:val="auto"/>
                <w:kern w:val="0"/>
                <w:sz w:val="20"/>
                <w:szCs w:val="20"/>
                <w:highlight w:val="none"/>
              </w:rPr>
            </w:pPr>
            <w:r>
              <w:rPr>
                <w:rFonts w:hint="eastAsia" w:ascii="仿宋_GB2312" w:eastAsia="仿宋_GB2312" w:cs="Times New Roman"/>
                <w:color w:val="auto"/>
                <w:sz w:val="20"/>
                <w:szCs w:val="20"/>
                <w:highlight w:val="none"/>
                <w:lang w:val="en-US" w:eastAsia="zh-CN"/>
              </w:rPr>
              <w:t>02　</w:t>
            </w:r>
          </w:p>
        </w:tc>
        <w:tc>
          <w:tcPr>
            <w:tcW w:w="475"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cs="宋体"/>
                <w:color w:val="auto"/>
                <w:kern w:val="0"/>
                <w:sz w:val="20"/>
                <w:szCs w:val="20"/>
                <w:highlight w:val="none"/>
              </w:rPr>
            </w:pPr>
            <w:r>
              <w:rPr>
                <w:rFonts w:hint="eastAsia" w:ascii="仿宋_GB2312" w:eastAsia="仿宋_GB2312" w:cs="Times New Roman"/>
                <w:color w:val="auto"/>
                <w:sz w:val="20"/>
                <w:szCs w:val="20"/>
                <w:highlight w:val="none"/>
                <w:lang w:val="en-US" w:eastAsia="zh-CN"/>
              </w:rPr>
              <w:t>　</w:t>
            </w:r>
          </w:p>
        </w:tc>
        <w:tc>
          <w:tcPr>
            <w:tcW w:w="2354" w:type="dxa"/>
            <w:tcBorders>
              <w:top w:val="nil"/>
              <w:left w:val="nil"/>
              <w:bottom w:val="single" w:color="auto" w:sz="4" w:space="0"/>
              <w:right w:val="single" w:color="auto" w:sz="4" w:space="0"/>
            </w:tcBorders>
            <w:vAlign w:val="center"/>
          </w:tcPr>
          <w:p>
            <w:pPr>
              <w:keepNext w:val="0"/>
              <w:keepLines w:val="0"/>
              <w:suppressLineNumbers w:val="0"/>
              <w:tabs>
                <w:tab w:val="left" w:pos="354"/>
                <w:tab w:val="center" w:pos="564"/>
              </w:tabs>
              <w:spacing w:before="0" w:beforeAutospacing="0" w:after="0" w:afterAutospacing="0"/>
              <w:ind w:left="0" w:right="0"/>
              <w:jc w:val="center"/>
              <w:rPr>
                <w:rFonts w:hint="default" w:ascii="宋体" w:hAnsi="宋体" w:cs="宋体"/>
                <w:color w:val="auto"/>
                <w:kern w:val="0"/>
                <w:sz w:val="20"/>
                <w:szCs w:val="20"/>
                <w:highlight w:val="none"/>
              </w:rPr>
            </w:pPr>
            <w:r>
              <w:rPr>
                <w:rFonts w:hint="eastAsia" w:ascii="仿宋_GB2312" w:eastAsia="仿宋_GB2312"/>
                <w:color w:val="auto"/>
                <w:sz w:val="20"/>
                <w:szCs w:val="20"/>
                <w:highlight w:val="none"/>
              </w:rPr>
              <w:t>普通教育</w:t>
            </w:r>
          </w:p>
        </w:tc>
        <w:tc>
          <w:tcPr>
            <w:tcW w:w="168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宋体" w:hAnsi="宋体" w:cs="宋体"/>
                <w:color w:val="auto"/>
                <w:kern w:val="0"/>
                <w:sz w:val="20"/>
                <w:szCs w:val="20"/>
                <w:highlight w:val="none"/>
              </w:rPr>
            </w:pPr>
            <w:r>
              <w:rPr>
                <w:rFonts w:hint="eastAsia" w:ascii="仿宋_GB2312" w:eastAsia="仿宋_GB2312"/>
                <w:color w:val="auto"/>
                <w:sz w:val="18"/>
                <w:szCs w:val="18"/>
                <w:highlight w:val="none"/>
                <w:lang w:val="en-US" w:eastAsia="zh-CN"/>
              </w:rPr>
              <w:t>226.03</w:t>
            </w:r>
          </w:p>
        </w:tc>
        <w:tc>
          <w:tcPr>
            <w:tcW w:w="1842" w:type="dxa"/>
            <w:gridSpan w:val="2"/>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宋体" w:hAnsi="宋体" w:cs="宋体"/>
                <w:color w:val="auto"/>
                <w:kern w:val="0"/>
                <w:sz w:val="20"/>
                <w:szCs w:val="20"/>
                <w:highlight w:val="none"/>
              </w:rPr>
            </w:pPr>
            <w:r>
              <w:rPr>
                <w:rFonts w:hint="eastAsia" w:ascii="仿宋_GB2312" w:eastAsia="仿宋_GB2312"/>
                <w:color w:val="auto"/>
                <w:sz w:val="18"/>
                <w:szCs w:val="18"/>
                <w:highlight w:val="none"/>
                <w:lang w:val="en-US" w:eastAsia="zh-CN"/>
              </w:rPr>
              <w:t>226.03</w:t>
            </w:r>
          </w:p>
        </w:tc>
        <w:tc>
          <w:tcPr>
            <w:tcW w:w="1701"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620"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cs="宋体"/>
                <w:color w:val="auto"/>
                <w:kern w:val="0"/>
                <w:sz w:val="20"/>
                <w:szCs w:val="20"/>
                <w:highlight w:val="none"/>
              </w:rPr>
            </w:pPr>
            <w:r>
              <w:rPr>
                <w:rFonts w:hint="eastAsia" w:ascii="仿宋_GB2312" w:eastAsia="仿宋_GB2312" w:cs="Times New Roman"/>
                <w:color w:val="auto"/>
                <w:sz w:val="20"/>
                <w:szCs w:val="20"/>
                <w:highlight w:val="none"/>
                <w:lang w:val="en-US" w:eastAsia="zh-CN"/>
              </w:rPr>
              <w:t>205　</w:t>
            </w:r>
          </w:p>
        </w:tc>
        <w:tc>
          <w:tcPr>
            <w:tcW w:w="538"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cs="宋体"/>
                <w:color w:val="auto"/>
                <w:kern w:val="0"/>
                <w:sz w:val="20"/>
                <w:szCs w:val="20"/>
                <w:highlight w:val="none"/>
              </w:rPr>
            </w:pPr>
            <w:r>
              <w:rPr>
                <w:rFonts w:hint="eastAsia" w:ascii="仿宋_GB2312" w:eastAsia="仿宋_GB2312" w:cs="Times New Roman"/>
                <w:color w:val="auto"/>
                <w:sz w:val="20"/>
                <w:szCs w:val="20"/>
                <w:highlight w:val="none"/>
                <w:lang w:val="en-US" w:eastAsia="zh-CN"/>
              </w:rPr>
              <w:t>02　</w:t>
            </w:r>
          </w:p>
        </w:tc>
        <w:tc>
          <w:tcPr>
            <w:tcW w:w="475"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cs="宋体"/>
                <w:color w:val="auto"/>
                <w:kern w:val="0"/>
                <w:sz w:val="20"/>
                <w:szCs w:val="20"/>
                <w:highlight w:val="none"/>
              </w:rPr>
            </w:pPr>
            <w:r>
              <w:rPr>
                <w:rFonts w:hint="eastAsia" w:ascii="仿宋_GB2312" w:eastAsia="仿宋_GB2312" w:cs="Times New Roman"/>
                <w:color w:val="auto"/>
                <w:sz w:val="20"/>
                <w:szCs w:val="20"/>
                <w:highlight w:val="none"/>
                <w:lang w:val="en-US" w:eastAsia="zh-CN"/>
              </w:rPr>
              <w:t>99　</w:t>
            </w:r>
          </w:p>
        </w:tc>
        <w:tc>
          <w:tcPr>
            <w:tcW w:w="235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宋体" w:hAnsi="宋体" w:cs="宋体"/>
                <w:color w:val="auto"/>
                <w:kern w:val="0"/>
                <w:sz w:val="20"/>
                <w:szCs w:val="20"/>
                <w:highlight w:val="none"/>
              </w:rPr>
            </w:pPr>
            <w:r>
              <w:rPr>
                <w:rFonts w:hint="eastAsia" w:ascii="仿宋_GB2312" w:eastAsia="仿宋_GB2312"/>
                <w:color w:val="auto"/>
                <w:sz w:val="20"/>
                <w:szCs w:val="20"/>
                <w:highlight w:val="none"/>
              </w:rPr>
              <w:t>其他普通教育支出</w:t>
            </w:r>
          </w:p>
        </w:tc>
        <w:tc>
          <w:tcPr>
            <w:tcW w:w="168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宋体" w:hAnsi="宋体" w:cs="宋体"/>
                <w:color w:val="auto"/>
                <w:kern w:val="0"/>
                <w:sz w:val="20"/>
                <w:szCs w:val="20"/>
                <w:highlight w:val="none"/>
              </w:rPr>
            </w:pPr>
            <w:r>
              <w:rPr>
                <w:rFonts w:hint="eastAsia" w:ascii="仿宋_GB2312" w:eastAsia="仿宋_GB2312"/>
                <w:color w:val="auto"/>
                <w:sz w:val="18"/>
                <w:szCs w:val="18"/>
                <w:highlight w:val="none"/>
                <w:lang w:val="en-US" w:eastAsia="zh-CN"/>
              </w:rPr>
              <w:t>226.03</w:t>
            </w:r>
          </w:p>
        </w:tc>
        <w:tc>
          <w:tcPr>
            <w:tcW w:w="1842" w:type="dxa"/>
            <w:gridSpan w:val="2"/>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宋体" w:hAnsi="宋体" w:cs="宋体"/>
                <w:color w:val="auto"/>
                <w:kern w:val="0"/>
                <w:sz w:val="20"/>
                <w:szCs w:val="20"/>
                <w:highlight w:val="none"/>
              </w:rPr>
            </w:pPr>
            <w:r>
              <w:rPr>
                <w:rFonts w:hint="eastAsia" w:ascii="仿宋_GB2312" w:eastAsia="仿宋_GB2312"/>
                <w:color w:val="auto"/>
                <w:sz w:val="18"/>
                <w:szCs w:val="18"/>
                <w:highlight w:val="none"/>
                <w:lang w:val="en-US" w:eastAsia="zh-CN"/>
              </w:rPr>
              <w:t>226.03</w:t>
            </w:r>
          </w:p>
        </w:tc>
        <w:tc>
          <w:tcPr>
            <w:tcW w:w="1701"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宋体" w:hAnsi="宋体" w:cs="宋体"/>
                <w:color w:val="auto"/>
                <w:kern w:val="0"/>
                <w:sz w:val="20"/>
                <w:szCs w:val="20"/>
                <w:highlight w:val="none"/>
              </w:rPr>
            </w:pPr>
          </w:p>
        </w:tc>
      </w:tr>
      <w:tr>
        <w:tblPrEx>
          <w:tblCellMar>
            <w:top w:w="0" w:type="dxa"/>
            <w:left w:w="108" w:type="dxa"/>
            <w:bottom w:w="0" w:type="dxa"/>
            <w:right w:w="108" w:type="dxa"/>
          </w:tblCellMar>
        </w:tblPrEx>
        <w:trPr>
          <w:trHeight w:val="425" w:hRule="atLeast"/>
        </w:trPr>
        <w:tc>
          <w:tcPr>
            <w:tcW w:w="620"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53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47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235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68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620"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53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47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235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68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620"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53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47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235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68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620"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53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47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235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68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620"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3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7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35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620"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3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7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35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620"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3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7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35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620"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3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7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35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620"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3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7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35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620"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3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7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35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620"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3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7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35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620"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3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7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35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620"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3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7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35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620"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53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47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235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68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620"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53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47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235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宋体"/>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68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b/>
                <w:bCs/>
                <w:color w:val="auto"/>
                <w:kern w:val="0"/>
                <w:sz w:val="20"/>
                <w:szCs w:val="20"/>
                <w:highlight w:val="none"/>
              </w:rPr>
            </w:pPr>
            <w:r>
              <w:rPr>
                <w:rFonts w:hint="eastAsia" w:ascii="仿宋_GB2312" w:eastAsia="仿宋_GB2312"/>
                <w:b/>
                <w:bCs/>
                <w:color w:val="auto"/>
                <w:sz w:val="18"/>
                <w:szCs w:val="18"/>
                <w:highlight w:val="none"/>
                <w:lang w:val="en-US" w:eastAsia="zh-CN"/>
              </w:rPr>
              <w:t>226.03</w:t>
            </w:r>
          </w:p>
        </w:tc>
        <w:tc>
          <w:tcPr>
            <w:tcW w:w="1842"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b/>
                <w:bCs/>
                <w:color w:val="auto"/>
                <w:kern w:val="0"/>
                <w:sz w:val="20"/>
                <w:szCs w:val="20"/>
                <w:highlight w:val="none"/>
              </w:rPr>
            </w:pPr>
            <w:r>
              <w:rPr>
                <w:rFonts w:hint="eastAsia" w:ascii="仿宋_GB2312" w:eastAsia="仿宋_GB2312"/>
                <w:b/>
                <w:bCs/>
                <w:color w:val="auto"/>
                <w:sz w:val="18"/>
                <w:szCs w:val="18"/>
                <w:highlight w:val="none"/>
                <w:lang w:val="en-US" w:eastAsia="zh-CN"/>
              </w:rPr>
              <w:t>226.03</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r>
    </w:tbl>
    <w:p>
      <w:pPr>
        <w:pStyle w:val="2"/>
        <w:rPr>
          <w:rFonts w:hint="eastAsia" w:ascii="宋体" w:hAnsi="宋体" w:eastAsia="宋体" w:cs="宋体"/>
          <w:i w:val="0"/>
          <w:color w:val="FF0000"/>
          <w:kern w:val="0"/>
          <w:sz w:val="20"/>
          <w:szCs w:val="20"/>
          <w:highlight w:val="none"/>
          <w:u w:val="none"/>
          <w:lang w:val="en-US" w:eastAsia="zh-CN" w:bidi="ar"/>
        </w:rPr>
      </w:pPr>
    </w:p>
    <w:p>
      <w:pPr>
        <w:pStyle w:val="2"/>
        <w:rPr>
          <w:rFonts w:hint="eastAsia" w:ascii="宋体" w:hAnsi="宋体" w:eastAsia="宋体" w:cs="宋体"/>
          <w:i w:val="0"/>
          <w:color w:val="FF0000"/>
          <w:kern w:val="0"/>
          <w:sz w:val="20"/>
          <w:szCs w:val="20"/>
          <w:highlight w:val="none"/>
          <w:u w:val="none"/>
          <w:lang w:val="en-US" w:eastAsia="zh-CN" w:bidi="ar"/>
        </w:rPr>
      </w:pPr>
    </w:p>
    <w:p>
      <w:pPr>
        <w:pStyle w:val="2"/>
        <w:rPr>
          <w:rFonts w:hint="eastAsia" w:ascii="宋体" w:hAnsi="宋体" w:eastAsia="宋体" w:cs="宋体"/>
          <w:i w:val="0"/>
          <w:color w:val="FF0000"/>
          <w:kern w:val="0"/>
          <w:sz w:val="20"/>
          <w:szCs w:val="20"/>
          <w:highlight w:val="none"/>
          <w:u w:val="none"/>
          <w:lang w:val="en-US" w:eastAsia="zh-CN" w:bidi="ar"/>
        </w:rPr>
      </w:pPr>
    </w:p>
    <w:p>
      <w:pPr>
        <w:pStyle w:val="2"/>
        <w:rPr>
          <w:rFonts w:hint="eastAsia" w:ascii="宋体" w:hAnsi="宋体" w:eastAsia="宋体" w:cs="宋体"/>
          <w:i w:val="0"/>
          <w:color w:val="FF0000"/>
          <w:kern w:val="0"/>
          <w:sz w:val="20"/>
          <w:szCs w:val="20"/>
          <w:highlight w:val="none"/>
          <w:u w:val="none"/>
          <w:lang w:val="en-US" w:eastAsia="zh-CN" w:bidi="ar"/>
        </w:rPr>
      </w:pPr>
    </w:p>
    <w:p>
      <w:pPr>
        <w:pStyle w:val="2"/>
        <w:rPr>
          <w:rFonts w:hint="eastAsia" w:ascii="宋体" w:hAnsi="宋体" w:eastAsia="宋体" w:cs="宋体"/>
          <w:i w:val="0"/>
          <w:color w:val="FF0000"/>
          <w:kern w:val="0"/>
          <w:sz w:val="20"/>
          <w:szCs w:val="20"/>
          <w:highlight w:val="none"/>
          <w:u w:val="none"/>
          <w:lang w:val="en-US" w:eastAsia="zh-CN" w:bidi="ar"/>
        </w:rPr>
      </w:pPr>
    </w:p>
    <w:p>
      <w:pPr>
        <w:pStyle w:val="2"/>
        <w:rPr>
          <w:rFonts w:hint="eastAsia" w:ascii="宋体" w:hAnsi="宋体" w:eastAsia="宋体" w:cs="宋体"/>
          <w:i w:val="0"/>
          <w:color w:val="FF0000"/>
          <w:kern w:val="0"/>
          <w:sz w:val="20"/>
          <w:szCs w:val="20"/>
          <w:highlight w:val="none"/>
          <w:u w:val="none"/>
          <w:lang w:val="en-US" w:eastAsia="zh-CN" w:bidi="ar"/>
        </w:rPr>
      </w:pPr>
    </w:p>
    <w:p>
      <w:pPr>
        <w:pStyle w:val="2"/>
        <w:rPr>
          <w:rFonts w:hint="eastAsia" w:ascii="宋体" w:hAnsi="宋体" w:eastAsia="宋体" w:cs="宋体"/>
          <w:i w:val="0"/>
          <w:color w:val="FF0000"/>
          <w:kern w:val="0"/>
          <w:sz w:val="20"/>
          <w:szCs w:val="20"/>
          <w:highlight w:val="none"/>
          <w:u w:val="none"/>
          <w:lang w:val="en-US" w:eastAsia="zh-CN" w:bidi="ar"/>
        </w:rPr>
      </w:pPr>
    </w:p>
    <w:p>
      <w:pPr>
        <w:pStyle w:val="2"/>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highlight w:val="none"/>
          <w:lang w:val="en-US" w:eastAsia="zh-CN"/>
        </w:rPr>
      </w:pPr>
      <w:r>
        <w:rPr>
          <w:rFonts w:hint="eastAsia" w:ascii="宋体" w:hAnsi="宋体" w:eastAsia="宋体" w:cs="宋体"/>
          <w:i w:val="0"/>
          <w:color w:val="auto"/>
          <w:kern w:val="0"/>
          <w:sz w:val="20"/>
          <w:szCs w:val="20"/>
          <w:highlight w:val="none"/>
          <w:u w:val="none"/>
          <w:lang w:val="en-US" w:eastAsia="zh-CN" w:bidi="ar"/>
        </w:rPr>
        <w:t>表6</w:t>
      </w:r>
    </w:p>
    <w:tbl>
      <w:tblPr>
        <w:tblStyle w:val="9"/>
        <w:tblpPr w:leftFromText="180" w:rightFromText="180" w:vertAnchor="text" w:horzAnchor="page" w:tblpX="1204" w:tblpY="333"/>
        <w:tblOverlap w:val="never"/>
        <w:tblW w:w="9328" w:type="dxa"/>
        <w:tblInd w:w="0" w:type="dxa"/>
        <w:tblLayout w:type="fixed"/>
        <w:tblCellMar>
          <w:top w:w="0" w:type="dxa"/>
          <w:left w:w="108" w:type="dxa"/>
          <w:bottom w:w="0" w:type="dxa"/>
          <w:right w:w="108" w:type="dxa"/>
        </w:tblCellMar>
      </w:tblPr>
      <w:tblGrid>
        <w:gridCol w:w="757"/>
        <w:gridCol w:w="577"/>
        <w:gridCol w:w="2891"/>
        <w:gridCol w:w="1701"/>
        <w:gridCol w:w="976"/>
        <w:gridCol w:w="725"/>
        <w:gridCol w:w="1701"/>
      </w:tblGrid>
      <w:tr>
        <w:tblPrEx>
          <w:tblCellMar>
            <w:top w:w="0" w:type="dxa"/>
            <w:left w:w="108" w:type="dxa"/>
            <w:bottom w:w="0" w:type="dxa"/>
            <w:right w:w="108" w:type="dxa"/>
          </w:tblCellMar>
        </w:tblPrEx>
        <w:trPr>
          <w:trHeight w:val="375" w:hRule="atLeast"/>
        </w:trPr>
        <w:tc>
          <w:tcPr>
            <w:tcW w:w="9328" w:type="dxa"/>
            <w:gridSpan w:val="7"/>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CellMar>
            <w:top w:w="0" w:type="dxa"/>
            <w:left w:w="108" w:type="dxa"/>
            <w:bottom w:w="0" w:type="dxa"/>
            <w:right w:w="108" w:type="dxa"/>
          </w:tblCellMar>
        </w:tblPrEx>
        <w:trPr>
          <w:trHeight w:val="405" w:hRule="atLeast"/>
        </w:trPr>
        <w:tc>
          <w:tcPr>
            <w:tcW w:w="6902" w:type="dxa"/>
            <w:gridSpan w:val="5"/>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olor w:val="auto"/>
                <w:kern w:val="0"/>
                <w:sz w:val="24"/>
                <w:highlight w:val="none"/>
                <w:lang w:eastAsia="zh-CN"/>
              </w:rPr>
              <w:t>编制</w:t>
            </w:r>
            <w:r>
              <w:rPr>
                <w:rFonts w:hint="eastAsia" w:ascii="仿宋_GB2312" w:hAnsi="宋体" w:eastAsia="仿宋_GB2312"/>
                <w:color w:val="auto"/>
                <w:kern w:val="0"/>
                <w:sz w:val="24"/>
                <w:highlight w:val="none"/>
                <w:lang w:val="en-US" w:eastAsia="zh-CN"/>
              </w:rPr>
              <w:t>部门</w:t>
            </w:r>
            <w:r>
              <w:rPr>
                <w:rFonts w:hint="eastAsia" w:ascii="仿宋_GB2312" w:hAnsi="宋体" w:eastAsia="仿宋_GB2312"/>
                <w:color w:val="auto"/>
                <w:kern w:val="0"/>
                <w:sz w:val="24"/>
                <w:highlight w:val="none"/>
                <w:lang w:eastAsia="zh-CN"/>
              </w:rPr>
              <w:t>：</w:t>
            </w:r>
            <w:r>
              <w:rPr>
                <w:rFonts w:hint="eastAsia" w:ascii="仿宋_GB2312" w:hAnsi="宋体" w:eastAsia="仿宋_GB2312" w:cs="宋体"/>
                <w:color w:val="auto"/>
                <w:kern w:val="0"/>
                <w:sz w:val="24"/>
                <w:highlight w:val="none"/>
              </w:rPr>
              <w:t>昌吉州青少年示范性综合实践基地</w:t>
            </w:r>
            <w:r>
              <w:rPr>
                <w:rFonts w:hint="eastAsia" w:ascii="仿宋_GB2312" w:hAnsi="宋体" w:eastAsia="仿宋_GB2312" w:cs="宋体"/>
                <w:color w:val="auto"/>
                <w:kern w:val="0"/>
                <w:sz w:val="24"/>
                <w:highlight w:val="none"/>
                <w:lang w:val="en-US" w:eastAsia="zh-CN"/>
              </w:rPr>
              <w:t>服务</w:t>
            </w:r>
            <w:r>
              <w:rPr>
                <w:rFonts w:hint="eastAsia" w:ascii="仿宋_GB2312" w:hAnsi="宋体" w:eastAsia="仿宋_GB2312" w:cs="宋体"/>
                <w:color w:val="auto"/>
                <w:kern w:val="0"/>
                <w:sz w:val="24"/>
                <w:highlight w:val="none"/>
              </w:rPr>
              <w:t>中心</w:t>
            </w:r>
            <w:r>
              <w:rPr>
                <w:rFonts w:hint="eastAsia" w:ascii="仿宋_GB2312" w:hAnsi="宋体" w:eastAsia="仿宋_GB2312"/>
                <w:color w:val="auto"/>
                <w:kern w:val="0"/>
                <w:sz w:val="24"/>
                <w:highlight w:val="none"/>
              </w:rPr>
              <w:t xml:space="preserve">      </w:t>
            </w:r>
            <w:r>
              <w:rPr>
                <w:rFonts w:hint="eastAsia" w:ascii="仿宋_GB2312" w:hAnsi="宋体" w:eastAsia="仿宋_GB2312" w:cs="宋体"/>
                <w:color w:val="auto"/>
                <w:kern w:val="0"/>
                <w:sz w:val="24"/>
                <w:highlight w:val="none"/>
              </w:rPr>
              <w:t xml:space="preserve">  </w:t>
            </w:r>
          </w:p>
        </w:tc>
        <w:tc>
          <w:tcPr>
            <w:tcW w:w="2426" w:type="dxa"/>
            <w:gridSpan w:val="2"/>
            <w:tcBorders>
              <w:top w:val="nil"/>
              <w:left w:val="nil"/>
              <w:bottom w:val="nil"/>
              <w:right w:val="nil"/>
            </w:tcBorders>
            <w:vAlign w:val="center"/>
          </w:tcPr>
          <w:p>
            <w:pPr>
              <w:keepNext w:val="0"/>
              <w:keepLines w:val="0"/>
              <w:widowControl/>
              <w:suppressLineNumbers w:val="0"/>
              <w:spacing w:before="0" w:beforeAutospacing="0" w:after="0" w:afterAutospacing="0"/>
              <w:ind w:left="0" w:right="0" w:firstLine="720" w:firstLineChars="300"/>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tblPrEx>
          <w:tblCellMar>
            <w:top w:w="0" w:type="dxa"/>
            <w:left w:w="108" w:type="dxa"/>
            <w:bottom w:w="0" w:type="dxa"/>
            <w:right w:w="108" w:type="dxa"/>
          </w:tblCellMar>
        </w:tblPrEx>
        <w:trPr>
          <w:trHeight w:val="374" w:hRule="atLeast"/>
        </w:trPr>
        <w:tc>
          <w:tcPr>
            <w:tcW w:w="4225" w:type="dxa"/>
            <w:gridSpan w:val="3"/>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5103" w:type="dxa"/>
            <w:gridSpan w:val="4"/>
            <w:tcBorders>
              <w:top w:val="single" w:color="auto" w:sz="4" w:space="0"/>
              <w:left w:val="nil"/>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2891" w:type="dxa"/>
            <w:vMerge w:val="restart"/>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701" w:type="dxa"/>
            <w:vMerge w:val="restart"/>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891" w:type="dxa"/>
            <w:vMerge w:val="continue"/>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rPr>
              <w:t>301</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rPr>
                <w:rFonts w:hint="default" w:ascii="仿宋_GB2312" w:hAnsi="宋体" w:eastAsia="仿宋_GB2312" w:cs="宋体"/>
                <w:color w:val="auto"/>
                <w:kern w:val="0"/>
                <w:sz w:val="20"/>
                <w:szCs w:val="20"/>
                <w:highlight w:val="none"/>
                <w:lang w:val="en-US" w:eastAsia="zh-CN"/>
              </w:rPr>
            </w:pP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0"/>
                <w:szCs w:val="20"/>
                <w:highlight w:val="none"/>
              </w:rPr>
            </w:pPr>
            <w:r>
              <w:rPr>
                <w:rFonts w:hint="default" w:ascii="仿宋_GB2312" w:hAnsi="宋体" w:eastAsia="仿宋_GB2312" w:cs="宋体"/>
                <w:color w:val="auto"/>
                <w:kern w:val="0"/>
                <w:sz w:val="20"/>
                <w:szCs w:val="20"/>
                <w:highlight w:val="none"/>
              </w:rPr>
              <w:t>工资福利支出</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color w:val="auto"/>
                <w:kern w:val="0"/>
                <w:sz w:val="20"/>
                <w:szCs w:val="20"/>
                <w:highlight w:val="none"/>
              </w:rPr>
            </w:pPr>
            <w:r>
              <w:rPr>
                <w:rFonts w:hint="eastAsia" w:ascii="仿宋" w:hAnsi="仿宋" w:eastAsia="仿宋" w:cs="仿宋"/>
                <w:i w:val="0"/>
                <w:color w:val="000000"/>
                <w:kern w:val="0"/>
                <w:sz w:val="20"/>
                <w:szCs w:val="20"/>
                <w:highlight w:val="none"/>
                <w:u w:val="none"/>
                <w:lang w:val="en-US" w:eastAsia="zh-CN" w:bidi="ar"/>
              </w:rPr>
              <w:t>147.05</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color w:val="auto"/>
                <w:kern w:val="0"/>
                <w:sz w:val="20"/>
                <w:szCs w:val="20"/>
                <w:highlight w:val="none"/>
              </w:rPr>
            </w:pPr>
            <w:r>
              <w:rPr>
                <w:rFonts w:hint="eastAsia" w:ascii="仿宋" w:hAnsi="仿宋" w:eastAsia="仿宋" w:cs="仿宋"/>
                <w:i w:val="0"/>
                <w:color w:val="000000"/>
                <w:kern w:val="0"/>
                <w:sz w:val="20"/>
                <w:szCs w:val="20"/>
                <w:highlight w:val="none"/>
                <w:u w:val="none"/>
                <w:lang w:val="en-US" w:eastAsia="zh-CN" w:bidi="ar"/>
              </w:rPr>
              <w:t>147.05</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r>
              <w:rPr>
                <w:rFonts w:hint="eastAsia" w:ascii="仿宋" w:hAnsi="仿宋" w:eastAsia="仿宋" w:cs="仿宋"/>
                <w:color w:val="auto"/>
                <w:kern w:val="0"/>
                <w:sz w:val="20"/>
                <w:szCs w:val="20"/>
                <w:highlight w:val="none"/>
                <w:lang w:val="en-US" w:eastAsia="zh-CN"/>
              </w:rPr>
              <w:t xml:space="preserve">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rPr>
              <w:t>01</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基本工资</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color w:val="auto"/>
                <w:kern w:val="0"/>
                <w:sz w:val="20"/>
                <w:szCs w:val="20"/>
                <w:highlight w:val="none"/>
              </w:rPr>
            </w:pPr>
            <w:r>
              <w:rPr>
                <w:rFonts w:hint="eastAsia" w:ascii="仿宋" w:hAnsi="仿宋" w:eastAsia="仿宋" w:cs="仿宋"/>
                <w:i w:val="0"/>
                <w:color w:val="000000"/>
                <w:kern w:val="0"/>
                <w:sz w:val="20"/>
                <w:szCs w:val="20"/>
                <w:highlight w:val="none"/>
                <w:u w:val="none"/>
                <w:lang w:val="en-US" w:eastAsia="zh-CN" w:bidi="ar"/>
              </w:rPr>
              <w:t>43.90</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color w:val="auto"/>
                <w:kern w:val="0"/>
                <w:sz w:val="20"/>
                <w:szCs w:val="20"/>
                <w:highlight w:val="none"/>
              </w:rPr>
            </w:pPr>
            <w:r>
              <w:rPr>
                <w:rFonts w:hint="eastAsia" w:ascii="仿宋" w:hAnsi="仿宋" w:eastAsia="仿宋" w:cs="仿宋"/>
                <w:i w:val="0"/>
                <w:color w:val="000000"/>
                <w:kern w:val="0"/>
                <w:sz w:val="20"/>
                <w:szCs w:val="20"/>
                <w:highlight w:val="none"/>
                <w:u w:val="none"/>
                <w:lang w:val="en-US" w:eastAsia="zh-CN" w:bidi="ar"/>
              </w:rPr>
              <w:t>43.90</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301</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02</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津贴补贴</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color w:val="auto"/>
                <w:kern w:val="0"/>
                <w:sz w:val="20"/>
                <w:szCs w:val="20"/>
                <w:highlight w:val="none"/>
              </w:rPr>
            </w:pPr>
            <w:r>
              <w:rPr>
                <w:rFonts w:hint="eastAsia" w:ascii="仿宋" w:hAnsi="仿宋" w:eastAsia="仿宋" w:cs="仿宋"/>
                <w:i w:val="0"/>
                <w:color w:val="000000"/>
                <w:kern w:val="0"/>
                <w:sz w:val="20"/>
                <w:szCs w:val="20"/>
                <w:highlight w:val="none"/>
                <w:u w:val="none"/>
                <w:lang w:val="en-US" w:eastAsia="zh-CN" w:bidi="ar"/>
              </w:rPr>
              <w:t>11.14</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color w:val="auto"/>
                <w:kern w:val="0"/>
                <w:sz w:val="20"/>
                <w:szCs w:val="20"/>
                <w:highlight w:val="none"/>
              </w:rPr>
            </w:pPr>
            <w:r>
              <w:rPr>
                <w:rFonts w:hint="eastAsia" w:ascii="仿宋" w:hAnsi="仿宋" w:eastAsia="仿宋" w:cs="仿宋"/>
                <w:i w:val="0"/>
                <w:color w:val="000000"/>
                <w:kern w:val="0"/>
                <w:sz w:val="20"/>
                <w:szCs w:val="20"/>
                <w:highlight w:val="none"/>
                <w:u w:val="none"/>
                <w:lang w:val="en-US" w:eastAsia="zh-CN" w:bidi="ar"/>
              </w:rPr>
              <w:t>11.14</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03</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奖金</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color w:val="auto"/>
                <w:kern w:val="0"/>
                <w:sz w:val="20"/>
                <w:szCs w:val="20"/>
                <w:highlight w:val="none"/>
              </w:rPr>
            </w:pPr>
            <w:r>
              <w:rPr>
                <w:rFonts w:hint="eastAsia" w:ascii="仿宋" w:hAnsi="仿宋" w:eastAsia="仿宋" w:cs="仿宋"/>
                <w:i w:val="0"/>
                <w:color w:val="000000"/>
                <w:kern w:val="0"/>
                <w:sz w:val="20"/>
                <w:szCs w:val="20"/>
                <w:highlight w:val="none"/>
                <w:u w:val="none"/>
                <w:lang w:val="en-US" w:eastAsia="zh-CN" w:bidi="ar"/>
              </w:rPr>
              <w:t>28.10</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color w:val="auto"/>
                <w:kern w:val="0"/>
                <w:sz w:val="20"/>
                <w:szCs w:val="20"/>
                <w:highlight w:val="none"/>
              </w:rPr>
            </w:pPr>
            <w:r>
              <w:rPr>
                <w:rFonts w:hint="eastAsia" w:ascii="仿宋" w:hAnsi="仿宋" w:eastAsia="仿宋" w:cs="仿宋"/>
                <w:i w:val="0"/>
                <w:color w:val="000000"/>
                <w:kern w:val="0"/>
                <w:sz w:val="20"/>
                <w:szCs w:val="20"/>
                <w:highlight w:val="none"/>
                <w:u w:val="none"/>
                <w:lang w:val="en-US" w:eastAsia="zh-CN" w:bidi="ar"/>
              </w:rPr>
              <w:t>28.10</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301</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 xml:space="preserve"> </w:t>
            </w:r>
            <w:r>
              <w:rPr>
                <w:rFonts w:hint="eastAsia" w:ascii="仿宋_GB2312" w:hAnsi="宋体" w:eastAsia="仿宋_GB2312" w:cs="宋体"/>
                <w:color w:val="auto"/>
                <w:kern w:val="0"/>
                <w:sz w:val="20"/>
                <w:szCs w:val="20"/>
                <w:highlight w:val="none"/>
              </w:rPr>
              <w:t>07</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绩效工资</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color w:val="auto"/>
                <w:kern w:val="0"/>
                <w:sz w:val="20"/>
                <w:szCs w:val="20"/>
                <w:highlight w:val="none"/>
              </w:rPr>
            </w:pPr>
            <w:r>
              <w:rPr>
                <w:rFonts w:hint="eastAsia" w:ascii="仿宋" w:hAnsi="仿宋" w:eastAsia="仿宋" w:cs="仿宋"/>
                <w:i w:val="0"/>
                <w:color w:val="000000"/>
                <w:kern w:val="0"/>
                <w:sz w:val="20"/>
                <w:szCs w:val="20"/>
                <w:highlight w:val="none"/>
                <w:u w:val="none"/>
                <w:lang w:val="en-US" w:eastAsia="zh-CN" w:bidi="ar"/>
              </w:rPr>
              <w:t>22.94</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color w:val="auto"/>
                <w:kern w:val="0"/>
                <w:sz w:val="20"/>
                <w:szCs w:val="20"/>
                <w:highlight w:val="none"/>
              </w:rPr>
            </w:pPr>
            <w:r>
              <w:rPr>
                <w:rFonts w:hint="eastAsia" w:ascii="仿宋" w:hAnsi="仿宋" w:eastAsia="仿宋" w:cs="仿宋"/>
                <w:i w:val="0"/>
                <w:color w:val="000000"/>
                <w:kern w:val="0"/>
                <w:sz w:val="20"/>
                <w:szCs w:val="20"/>
                <w:highlight w:val="none"/>
                <w:u w:val="none"/>
                <w:lang w:val="en-US" w:eastAsia="zh-CN" w:bidi="ar"/>
              </w:rPr>
              <w:t>22.94</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08</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机关事业单位基本养老保险</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color w:val="auto"/>
                <w:kern w:val="0"/>
                <w:sz w:val="20"/>
                <w:szCs w:val="20"/>
                <w:highlight w:val="none"/>
              </w:rPr>
            </w:pPr>
            <w:r>
              <w:rPr>
                <w:rFonts w:hint="eastAsia" w:ascii="仿宋" w:hAnsi="仿宋" w:eastAsia="仿宋" w:cs="仿宋"/>
                <w:i w:val="0"/>
                <w:color w:val="000000"/>
                <w:kern w:val="0"/>
                <w:sz w:val="20"/>
                <w:szCs w:val="20"/>
                <w:highlight w:val="none"/>
                <w:u w:val="none"/>
                <w:lang w:val="en-US" w:eastAsia="zh-CN" w:bidi="ar"/>
              </w:rPr>
              <w:t>15.58</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color w:val="auto"/>
                <w:kern w:val="0"/>
                <w:sz w:val="20"/>
                <w:szCs w:val="20"/>
                <w:highlight w:val="none"/>
              </w:rPr>
            </w:pPr>
            <w:r>
              <w:rPr>
                <w:rFonts w:hint="eastAsia" w:ascii="仿宋" w:hAnsi="仿宋" w:eastAsia="仿宋" w:cs="仿宋"/>
                <w:i w:val="0"/>
                <w:color w:val="000000"/>
                <w:kern w:val="0"/>
                <w:sz w:val="20"/>
                <w:szCs w:val="20"/>
                <w:highlight w:val="none"/>
                <w:u w:val="none"/>
                <w:lang w:val="en-US" w:eastAsia="zh-CN" w:bidi="ar"/>
              </w:rPr>
              <w:t>15.58</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301</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10</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城镇</w:t>
            </w:r>
            <w:r>
              <w:rPr>
                <w:rFonts w:hint="eastAsia" w:ascii="仿宋_GB2312" w:hAnsi="宋体" w:eastAsia="仿宋_GB2312" w:cs="宋体"/>
                <w:color w:val="auto"/>
                <w:kern w:val="0"/>
                <w:sz w:val="20"/>
                <w:szCs w:val="20"/>
                <w:highlight w:val="none"/>
              </w:rPr>
              <w:t>职工基本医疗保险缴费</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color w:val="auto"/>
                <w:kern w:val="0"/>
                <w:sz w:val="20"/>
                <w:szCs w:val="20"/>
                <w:highlight w:val="none"/>
              </w:rPr>
            </w:pPr>
            <w:r>
              <w:rPr>
                <w:rFonts w:hint="eastAsia" w:ascii="仿宋" w:hAnsi="仿宋" w:eastAsia="仿宋" w:cs="仿宋"/>
                <w:i w:val="0"/>
                <w:color w:val="000000"/>
                <w:kern w:val="0"/>
                <w:sz w:val="20"/>
                <w:szCs w:val="20"/>
                <w:highlight w:val="none"/>
                <w:u w:val="none"/>
                <w:lang w:val="en-US" w:eastAsia="zh-CN" w:bidi="ar"/>
              </w:rPr>
              <w:t>7.79</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color w:val="auto"/>
                <w:kern w:val="0"/>
                <w:sz w:val="20"/>
                <w:szCs w:val="20"/>
                <w:highlight w:val="none"/>
              </w:rPr>
            </w:pPr>
            <w:r>
              <w:rPr>
                <w:rFonts w:hint="eastAsia" w:ascii="仿宋" w:hAnsi="仿宋" w:eastAsia="仿宋" w:cs="仿宋"/>
                <w:i w:val="0"/>
                <w:color w:val="000000"/>
                <w:kern w:val="0"/>
                <w:sz w:val="20"/>
                <w:szCs w:val="20"/>
                <w:highlight w:val="none"/>
                <w:u w:val="none"/>
                <w:lang w:val="en-US" w:eastAsia="zh-CN" w:bidi="ar"/>
              </w:rPr>
              <w:t>7.79</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11</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公务员医疗补助缴费</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color w:val="auto"/>
                <w:kern w:val="0"/>
                <w:sz w:val="20"/>
                <w:szCs w:val="20"/>
                <w:highlight w:val="none"/>
              </w:rPr>
            </w:pPr>
            <w:r>
              <w:rPr>
                <w:rFonts w:hint="eastAsia" w:ascii="仿宋" w:hAnsi="仿宋" w:eastAsia="仿宋" w:cs="仿宋"/>
                <w:i w:val="0"/>
                <w:color w:val="000000"/>
                <w:kern w:val="0"/>
                <w:sz w:val="20"/>
                <w:szCs w:val="20"/>
                <w:highlight w:val="none"/>
                <w:u w:val="none"/>
                <w:lang w:val="en-US" w:eastAsia="zh-CN" w:bidi="ar"/>
              </w:rPr>
              <w:t>3.89</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color w:val="auto"/>
                <w:kern w:val="0"/>
                <w:sz w:val="20"/>
                <w:szCs w:val="20"/>
                <w:highlight w:val="none"/>
              </w:rPr>
            </w:pPr>
            <w:r>
              <w:rPr>
                <w:rFonts w:hint="eastAsia" w:ascii="仿宋" w:hAnsi="仿宋" w:eastAsia="仿宋" w:cs="仿宋"/>
                <w:i w:val="0"/>
                <w:color w:val="000000"/>
                <w:kern w:val="0"/>
                <w:sz w:val="20"/>
                <w:szCs w:val="20"/>
                <w:highlight w:val="none"/>
                <w:u w:val="none"/>
                <w:lang w:val="en-US" w:eastAsia="zh-CN" w:bidi="ar"/>
              </w:rPr>
              <w:t>3.89</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12</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其他社会保障缴费</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color w:val="auto"/>
                <w:kern w:val="0"/>
                <w:sz w:val="20"/>
                <w:szCs w:val="20"/>
                <w:highlight w:val="none"/>
              </w:rPr>
            </w:pPr>
            <w:r>
              <w:rPr>
                <w:rFonts w:hint="eastAsia" w:ascii="仿宋" w:hAnsi="仿宋" w:eastAsia="仿宋" w:cs="仿宋"/>
                <w:i w:val="0"/>
                <w:color w:val="000000"/>
                <w:kern w:val="0"/>
                <w:sz w:val="20"/>
                <w:szCs w:val="20"/>
                <w:highlight w:val="none"/>
                <w:u w:val="none"/>
                <w:lang w:val="en-US" w:eastAsia="zh-CN" w:bidi="ar"/>
              </w:rPr>
              <w:t>0.97</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color w:val="auto"/>
                <w:kern w:val="0"/>
                <w:sz w:val="20"/>
                <w:szCs w:val="20"/>
                <w:highlight w:val="none"/>
              </w:rPr>
            </w:pPr>
            <w:r>
              <w:rPr>
                <w:rFonts w:hint="eastAsia" w:ascii="仿宋" w:hAnsi="仿宋" w:eastAsia="仿宋" w:cs="仿宋"/>
                <w:i w:val="0"/>
                <w:color w:val="000000"/>
                <w:kern w:val="0"/>
                <w:sz w:val="20"/>
                <w:szCs w:val="20"/>
                <w:highlight w:val="none"/>
                <w:u w:val="none"/>
                <w:lang w:val="en-US" w:eastAsia="zh-CN" w:bidi="ar"/>
              </w:rPr>
              <w:t>0.97</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13</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住房公积金</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color w:val="auto"/>
                <w:kern w:val="0"/>
                <w:sz w:val="20"/>
                <w:szCs w:val="20"/>
                <w:highlight w:val="none"/>
              </w:rPr>
            </w:pPr>
            <w:r>
              <w:rPr>
                <w:rFonts w:hint="eastAsia" w:ascii="仿宋" w:hAnsi="仿宋" w:eastAsia="仿宋" w:cs="仿宋"/>
                <w:i w:val="0"/>
                <w:color w:val="000000"/>
                <w:kern w:val="0"/>
                <w:sz w:val="20"/>
                <w:szCs w:val="20"/>
                <w:highlight w:val="none"/>
                <w:u w:val="none"/>
                <w:lang w:val="en-US" w:eastAsia="zh-CN" w:bidi="ar"/>
              </w:rPr>
              <w:t>12.73</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color w:val="auto"/>
                <w:kern w:val="0"/>
                <w:sz w:val="20"/>
                <w:szCs w:val="20"/>
                <w:highlight w:val="none"/>
              </w:rPr>
            </w:pPr>
            <w:r>
              <w:rPr>
                <w:rFonts w:hint="eastAsia" w:ascii="仿宋" w:hAnsi="仿宋" w:eastAsia="仿宋" w:cs="仿宋"/>
                <w:i w:val="0"/>
                <w:color w:val="000000"/>
                <w:kern w:val="0"/>
                <w:sz w:val="20"/>
                <w:szCs w:val="20"/>
                <w:highlight w:val="none"/>
                <w:u w:val="none"/>
                <w:lang w:val="en-US" w:eastAsia="zh-CN" w:bidi="ar"/>
              </w:rPr>
              <w:t>12.73</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302</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rPr>
                <w:rFonts w:hint="eastAsia" w:ascii="仿宋_GB2312" w:hAnsi="宋体" w:eastAsia="仿宋_GB2312" w:cs="宋体"/>
                <w:color w:val="auto"/>
                <w:kern w:val="0"/>
                <w:sz w:val="20"/>
                <w:szCs w:val="20"/>
                <w:highlight w:val="none"/>
              </w:rPr>
            </w:pP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0"/>
                <w:szCs w:val="20"/>
                <w:highlight w:val="none"/>
              </w:rPr>
            </w:pPr>
            <w:r>
              <w:rPr>
                <w:rFonts w:hint="default" w:ascii="仿宋_GB2312" w:hAnsi="宋体" w:eastAsia="仿宋_GB2312" w:cs="宋体"/>
                <w:color w:val="auto"/>
                <w:kern w:val="0"/>
                <w:sz w:val="20"/>
                <w:szCs w:val="20"/>
                <w:highlight w:val="none"/>
              </w:rPr>
              <w:t>商品和服务支出</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i w:val="0"/>
                <w:color w:val="000000"/>
                <w:kern w:val="0"/>
                <w:sz w:val="20"/>
                <w:szCs w:val="20"/>
                <w:highlight w:val="none"/>
                <w:u w:val="none"/>
                <w:lang w:val="en-US" w:eastAsia="zh-CN" w:bidi="ar"/>
              </w:rPr>
            </w:pPr>
            <w:r>
              <w:rPr>
                <w:rFonts w:hint="eastAsia" w:ascii="仿宋" w:hAnsi="仿宋" w:eastAsia="仿宋" w:cs="仿宋"/>
                <w:color w:val="auto"/>
                <w:kern w:val="0"/>
                <w:sz w:val="20"/>
                <w:szCs w:val="20"/>
                <w:highlight w:val="none"/>
                <w:lang w:val="en-US" w:eastAsia="zh-CN"/>
              </w:rPr>
              <w:t>77.9</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i w:val="0"/>
                <w:color w:val="000000"/>
                <w:kern w:val="0"/>
                <w:sz w:val="20"/>
                <w:szCs w:val="20"/>
                <w:highlight w:val="none"/>
                <w:u w:val="none"/>
                <w:lang w:val="en-US" w:eastAsia="zh-CN" w:bidi="ar"/>
              </w:rPr>
            </w:pPr>
            <w:r>
              <w:rPr>
                <w:rFonts w:hint="eastAsia" w:ascii="仿宋" w:hAnsi="仿宋" w:eastAsia="仿宋" w:cs="仿宋"/>
                <w:color w:val="auto"/>
                <w:kern w:val="0"/>
                <w:sz w:val="20"/>
                <w:szCs w:val="20"/>
                <w:highlight w:val="none"/>
                <w:lang w:val="en-US" w:eastAsia="zh-CN"/>
              </w:rPr>
              <w:t>77.9</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01</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办公费</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i w:val="0"/>
                <w:color w:val="000000"/>
                <w:kern w:val="0"/>
                <w:sz w:val="20"/>
                <w:szCs w:val="20"/>
                <w:highlight w:val="none"/>
                <w:u w:val="none"/>
                <w:lang w:val="en-US" w:eastAsia="zh-CN" w:bidi="ar"/>
              </w:rPr>
            </w:pPr>
            <w:r>
              <w:rPr>
                <w:rFonts w:hint="eastAsia" w:ascii="仿宋" w:hAnsi="仿宋" w:eastAsia="仿宋" w:cs="仿宋"/>
                <w:i w:val="0"/>
                <w:color w:val="000000"/>
                <w:kern w:val="0"/>
                <w:sz w:val="20"/>
                <w:szCs w:val="20"/>
                <w:highlight w:val="none"/>
                <w:u w:val="none"/>
                <w:lang w:val="en-US" w:eastAsia="zh-CN" w:bidi="ar"/>
              </w:rPr>
              <w:t>0.74</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i w:val="0"/>
                <w:color w:val="000000"/>
                <w:kern w:val="0"/>
                <w:sz w:val="20"/>
                <w:szCs w:val="20"/>
                <w:highlight w:val="none"/>
                <w:u w:val="none"/>
                <w:lang w:val="en-US" w:eastAsia="zh-CN" w:bidi="ar"/>
              </w:rPr>
            </w:pPr>
            <w:r>
              <w:rPr>
                <w:rFonts w:hint="eastAsia" w:ascii="仿宋" w:hAnsi="仿宋" w:eastAsia="仿宋" w:cs="仿宋"/>
                <w:i w:val="0"/>
                <w:color w:val="000000"/>
                <w:kern w:val="0"/>
                <w:sz w:val="20"/>
                <w:szCs w:val="20"/>
                <w:highlight w:val="none"/>
                <w:u w:val="none"/>
                <w:lang w:val="en-US" w:eastAsia="zh-CN" w:bidi="ar"/>
              </w:rPr>
              <w:t>0.74</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0</w:t>
            </w:r>
            <w:r>
              <w:rPr>
                <w:rFonts w:hint="eastAsia" w:ascii="仿宋_GB2312" w:hAnsi="宋体" w:eastAsia="仿宋_GB2312" w:cs="宋体"/>
                <w:color w:val="auto"/>
                <w:kern w:val="0"/>
                <w:sz w:val="20"/>
                <w:szCs w:val="20"/>
                <w:highlight w:val="none"/>
                <w:lang w:val="en-US" w:eastAsia="zh-CN"/>
              </w:rPr>
              <w:t>6</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电费</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i w:val="0"/>
                <w:color w:val="000000"/>
                <w:kern w:val="0"/>
                <w:sz w:val="20"/>
                <w:szCs w:val="20"/>
                <w:highlight w:val="none"/>
                <w:u w:val="none"/>
                <w:lang w:val="en-US" w:eastAsia="zh-CN" w:bidi="ar"/>
              </w:rPr>
            </w:pPr>
            <w:r>
              <w:rPr>
                <w:rFonts w:hint="eastAsia" w:ascii="仿宋" w:hAnsi="仿宋" w:eastAsia="仿宋" w:cs="仿宋"/>
                <w:i w:val="0"/>
                <w:color w:val="000000"/>
                <w:kern w:val="0"/>
                <w:sz w:val="20"/>
                <w:szCs w:val="20"/>
                <w:highlight w:val="none"/>
                <w:u w:val="none"/>
                <w:lang w:val="en-US" w:eastAsia="zh-CN" w:bidi="ar"/>
              </w:rPr>
              <w:t>0.05</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i w:val="0"/>
                <w:color w:val="000000"/>
                <w:kern w:val="0"/>
                <w:sz w:val="20"/>
                <w:szCs w:val="20"/>
                <w:highlight w:val="none"/>
                <w:u w:val="none"/>
                <w:lang w:val="en-US" w:eastAsia="zh-CN" w:bidi="ar"/>
              </w:rPr>
            </w:pPr>
            <w:r>
              <w:rPr>
                <w:rFonts w:hint="eastAsia" w:ascii="仿宋" w:hAnsi="仿宋" w:eastAsia="仿宋" w:cs="仿宋"/>
                <w:i w:val="0"/>
                <w:color w:val="000000"/>
                <w:kern w:val="0"/>
                <w:sz w:val="20"/>
                <w:szCs w:val="20"/>
                <w:highlight w:val="none"/>
                <w:u w:val="none"/>
                <w:lang w:val="en-US" w:eastAsia="zh-CN" w:bidi="ar"/>
              </w:rPr>
              <w:t>0.05</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07</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lang w:eastAsia="zh-CN"/>
              </w:rPr>
              <w:t>邮电费</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i w:val="0"/>
                <w:color w:val="000000"/>
                <w:kern w:val="0"/>
                <w:sz w:val="20"/>
                <w:szCs w:val="20"/>
                <w:highlight w:val="none"/>
                <w:u w:val="none"/>
                <w:lang w:val="en-US" w:eastAsia="zh-CN" w:bidi="ar"/>
              </w:rPr>
            </w:pPr>
            <w:r>
              <w:rPr>
                <w:rFonts w:hint="eastAsia" w:ascii="仿宋" w:hAnsi="仿宋" w:eastAsia="仿宋" w:cs="仿宋"/>
                <w:i w:val="0"/>
                <w:color w:val="000000"/>
                <w:kern w:val="0"/>
                <w:sz w:val="20"/>
                <w:szCs w:val="20"/>
                <w:highlight w:val="none"/>
                <w:u w:val="none"/>
                <w:lang w:val="en-US" w:eastAsia="zh-CN" w:bidi="ar"/>
              </w:rPr>
              <w:t>0.27</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i w:val="0"/>
                <w:color w:val="000000"/>
                <w:kern w:val="0"/>
                <w:sz w:val="20"/>
                <w:szCs w:val="20"/>
                <w:highlight w:val="none"/>
                <w:u w:val="none"/>
                <w:lang w:val="en-US" w:eastAsia="zh-CN" w:bidi="ar"/>
              </w:rPr>
            </w:pPr>
            <w:r>
              <w:rPr>
                <w:rFonts w:hint="eastAsia" w:ascii="仿宋" w:hAnsi="仿宋" w:eastAsia="仿宋" w:cs="仿宋"/>
                <w:i w:val="0"/>
                <w:color w:val="000000"/>
                <w:kern w:val="0"/>
                <w:sz w:val="20"/>
                <w:szCs w:val="20"/>
                <w:highlight w:val="none"/>
                <w:u w:val="none"/>
                <w:lang w:val="en-US" w:eastAsia="zh-CN" w:bidi="ar"/>
              </w:rPr>
              <w:t>0.27</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08</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取暖费</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i w:val="0"/>
                <w:color w:val="000000"/>
                <w:kern w:val="0"/>
                <w:sz w:val="20"/>
                <w:szCs w:val="20"/>
                <w:highlight w:val="none"/>
                <w:u w:val="none"/>
                <w:lang w:val="en-US" w:eastAsia="zh-CN" w:bidi="ar"/>
              </w:rPr>
            </w:pPr>
            <w:r>
              <w:rPr>
                <w:rFonts w:hint="eastAsia" w:ascii="仿宋" w:hAnsi="仿宋" w:eastAsia="仿宋" w:cs="仿宋"/>
                <w:i w:val="0"/>
                <w:color w:val="000000"/>
                <w:kern w:val="0"/>
                <w:sz w:val="20"/>
                <w:szCs w:val="20"/>
                <w:highlight w:val="none"/>
                <w:u w:val="none"/>
                <w:lang w:val="en-US" w:eastAsia="zh-CN" w:bidi="ar"/>
              </w:rPr>
              <w:t>68.97</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i w:val="0"/>
                <w:color w:val="000000"/>
                <w:kern w:val="0"/>
                <w:sz w:val="20"/>
                <w:szCs w:val="20"/>
                <w:highlight w:val="none"/>
                <w:u w:val="none"/>
                <w:lang w:val="en-US" w:eastAsia="zh-CN" w:bidi="ar"/>
              </w:rPr>
            </w:pPr>
            <w:r>
              <w:rPr>
                <w:rFonts w:hint="eastAsia" w:ascii="仿宋" w:hAnsi="仿宋" w:eastAsia="仿宋" w:cs="仿宋"/>
                <w:i w:val="0"/>
                <w:color w:val="000000"/>
                <w:kern w:val="0"/>
                <w:sz w:val="20"/>
                <w:szCs w:val="20"/>
                <w:highlight w:val="none"/>
                <w:u w:val="none"/>
                <w:lang w:val="en-US" w:eastAsia="zh-CN" w:bidi="ar"/>
              </w:rPr>
              <w:t>68.97</w:t>
            </w:r>
          </w:p>
        </w:tc>
      </w:tr>
      <w:tr>
        <w:tblPrEx>
          <w:tblCellMar>
            <w:top w:w="0" w:type="dxa"/>
            <w:left w:w="108" w:type="dxa"/>
            <w:bottom w:w="0" w:type="dxa"/>
            <w:right w:w="108" w:type="dxa"/>
          </w:tblCellMar>
        </w:tblPrEx>
        <w:trPr>
          <w:trHeight w:val="35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11</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差旅费</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i w:val="0"/>
                <w:color w:val="000000"/>
                <w:kern w:val="0"/>
                <w:sz w:val="20"/>
                <w:szCs w:val="20"/>
                <w:highlight w:val="none"/>
                <w:u w:val="none"/>
                <w:lang w:val="en-US" w:eastAsia="zh-CN" w:bidi="ar"/>
              </w:rPr>
            </w:pPr>
            <w:r>
              <w:rPr>
                <w:rFonts w:hint="eastAsia" w:ascii="仿宋" w:hAnsi="仿宋" w:eastAsia="仿宋" w:cs="仿宋"/>
                <w:i w:val="0"/>
                <w:color w:val="000000"/>
                <w:kern w:val="0"/>
                <w:sz w:val="20"/>
                <w:szCs w:val="20"/>
                <w:highlight w:val="none"/>
                <w:u w:val="none"/>
                <w:lang w:val="en-US" w:eastAsia="zh-CN" w:bidi="ar"/>
              </w:rPr>
              <w:t>0.22</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i w:val="0"/>
                <w:color w:val="000000"/>
                <w:kern w:val="0"/>
                <w:sz w:val="20"/>
                <w:szCs w:val="20"/>
                <w:highlight w:val="none"/>
                <w:u w:val="none"/>
                <w:lang w:val="en-US" w:eastAsia="zh-CN" w:bidi="ar"/>
              </w:rPr>
            </w:pPr>
            <w:r>
              <w:rPr>
                <w:rFonts w:hint="eastAsia" w:ascii="仿宋" w:hAnsi="仿宋" w:eastAsia="仿宋" w:cs="仿宋"/>
                <w:i w:val="0"/>
                <w:color w:val="000000"/>
                <w:kern w:val="0"/>
                <w:sz w:val="20"/>
                <w:szCs w:val="20"/>
                <w:highlight w:val="none"/>
                <w:u w:val="none"/>
                <w:lang w:val="en-US" w:eastAsia="zh-CN" w:bidi="ar"/>
              </w:rPr>
              <w:t>0.22</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17</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公务接待费</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i w:val="0"/>
                <w:color w:val="000000"/>
                <w:kern w:val="0"/>
                <w:sz w:val="20"/>
                <w:szCs w:val="20"/>
                <w:highlight w:val="none"/>
                <w:u w:val="none"/>
                <w:lang w:val="en-US" w:eastAsia="zh-CN" w:bidi="ar"/>
              </w:rPr>
            </w:pPr>
            <w:r>
              <w:rPr>
                <w:rFonts w:hint="eastAsia" w:ascii="仿宋" w:hAnsi="仿宋" w:eastAsia="仿宋" w:cs="仿宋"/>
                <w:i w:val="0"/>
                <w:color w:val="000000"/>
                <w:kern w:val="0"/>
                <w:sz w:val="20"/>
                <w:szCs w:val="20"/>
                <w:highlight w:val="none"/>
                <w:u w:val="none"/>
                <w:lang w:val="en-US" w:eastAsia="zh-CN" w:bidi="ar"/>
              </w:rPr>
              <w:t>0.24</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i w:val="0"/>
                <w:color w:val="000000"/>
                <w:kern w:val="0"/>
                <w:sz w:val="20"/>
                <w:szCs w:val="20"/>
                <w:highlight w:val="none"/>
                <w:u w:val="none"/>
                <w:lang w:val="en-US" w:eastAsia="zh-CN" w:bidi="ar"/>
              </w:rPr>
            </w:pPr>
            <w:r>
              <w:rPr>
                <w:rFonts w:hint="eastAsia" w:ascii="仿宋" w:hAnsi="仿宋" w:eastAsia="仿宋" w:cs="仿宋"/>
                <w:i w:val="0"/>
                <w:color w:val="000000"/>
                <w:kern w:val="0"/>
                <w:sz w:val="20"/>
                <w:szCs w:val="20"/>
                <w:highlight w:val="none"/>
                <w:u w:val="none"/>
                <w:lang w:val="en-US" w:eastAsia="zh-CN" w:bidi="ar"/>
              </w:rPr>
              <w:t>0.24</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26</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劳务费</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i w:val="0"/>
                <w:color w:val="000000"/>
                <w:kern w:val="0"/>
                <w:sz w:val="20"/>
                <w:szCs w:val="20"/>
                <w:highlight w:val="none"/>
                <w:u w:val="none"/>
                <w:lang w:val="en-US" w:eastAsia="zh-CN" w:bidi="ar"/>
              </w:rPr>
            </w:pPr>
            <w:r>
              <w:rPr>
                <w:rFonts w:hint="eastAsia" w:ascii="仿宋" w:hAnsi="仿宋" w:eastAsia="仿宋" w:cs="仿宋"/>
                <w:i w:val="0"/>
                <w:color w:val="000000"/>
                <w:kern w:val="0"/>
                <w:sz w:val="20"/>
                <w:szCs w:val="20"/>
                <w:highlight w:val="none"/>
                <w:u w:val="none"/>
                <w:lang w:val="en-US" w:eastAsia="zh-CN" w:bidi="ar"/>
              </w:rPr>
              <w:t>5.53</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i w:val="0"/>
                <w:color w:val="000000"/>
                <w:kern w:val="0"/>
                <w:sz w:val="20"/>
                <w:szCs w:val="20"/>
                <w:highlight w:val="none"/>
                <w:u w:val="none"/>
                <w:lang w:val="en-US" w:eastAsia="zh-CN" w:bidi="ar"/>
              </w:rPr>
            </w:pPr>
            <w:r>
              <w:rPr>
                <w:rFonts w:hint="eastAsia" w:ascii="仿宋" w:hAnsi="仿宋" w:eastAsia="仿宋" w:cs="仿宋"/>
                <w:i w:val="0"/>
                <w:color w:val="000000"/>
                <w:kern w:val="0"/>
                <w:sz w:val="20"/>
                <w:szCs w:val="20"/>
                <w:highlight w:val="none"/>
                <w:u w:val="none"/>
                <w:lang w:val="en-US" w:eastAsia="zh-CN" w:bidi="ar"/>
              </w:rPr>
              <w:t>5.53</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28</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0"/>
                <w:szCs w:val="20"/>
                <w:highlight w:val="none"/>
              </w:rPr>
            </w:pPr>
            <w:r>
              <w:rPr>
                <w:rFonts w:hint="default" w:ascii="仿宋_GB2312" w:hAnsi="宋体" w:eastAsia="仿宋_GB2312" w:cs="宋体"/>
                <w:color w:val="auto"/>
                <w:kern w:val="0"/>
                <w:sz w:val="20"/>
                <w:szCs w:val="20"/>
                <w:highlight w:val="none"/>
                <w:lang w:val="en-US" w:eastAsia="zh-CN"/>
              </w:rPr>
              <w:t>工会经费</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i w:val="0"/>
                <w:color w:val="000000"/>
                <w:kern w:val="0"/>
                <w:sz w:val="20"/>
                <w:szCs w:val="20"/>
                <w:highlight w:val="none"/>
                <w:u w:val="none"/>
                <w:lang w:val="en-US" w:eastAsia="zh-CN" w:bidi="ar"/>
              </w:rPr>
            </w:pPr>
            <w:r>
              <w:rPr>
                <w:rFonts w:hint="eastAsia" w:ascii="仿宋" w:hAnsi="仿宋" w:eastAsia="仿宋" w:cs="仿宋"/>
                <w:i w:val="0"/>
                <w:color w:val="000000"/>
                <w:kern w:val="0"/>
                <w:sz w:val="20"/>
                <w:szCs w:val="20"/>
                <w:highlight w:val="none"/>
                <w:u w:val="none"/>
                <w:lang w:val="en-US" w:eastAsia="zh-CN" w:bidi="ar"/>
              </w:rPr>
              <w:t>1.87</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i w:val="0"/>
                <w:color w:val="000000"/>
                <w:kern w:val="0"/>
                <w:sz w:val="20"/>
                <w:szCs w:val="20"/>
                <w:highlight w:val="none"/>
                <w:u w:val="none"/>
                <w:lang w:val="en-US" w:eastAsia="zh-CN" w:bidi="ar"/>
              </w:rPr>
            </w:pPr>
            <w:r>
              <w:rPr>
                <w:rFonts w:hint="eastAsia" w:ascii="仿宋" w:hAnsi="仿宋" w:eastAsia="仿宋" w:cs="仿宋"/>
                <w:i w:val="0"/>
                <w:color w:val="000000"/>
                <w:kern w:val="0"/>
                <w:sz w:val="20"/>
                <w:szCs w:val="20"/>
                <w:highlight w:val="none"/>
                <w:u w:val="none"/>
                <w:lang w:val="en-US" w:eastAsia="zh-CN" w:bidi="ar"/>
              </w:rPr>
              <w:t>1.87</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rPr>
                <w:rFonts w:hint="eastAsia" w:ascii="仿宋_GB2312" w:hAnsi="宋体" w:eastAsia="仿宋_GB2312" w:cs="宋体"/>
                <w:color w:val="auto"/>
                <w:kern w:val="0"/>
                <w:sz w:val="20"/>
                <w:szCs w:val="20"/>
                <w:highlight w:val="none"/>
              </w:rPr>
            </w:pP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对个人和家庭的补助</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i w:val="0"/>
                <w:color w:val="000000"/>
                <w:kern w:val="0"/>
                <w:sz w:val="20"/>
                <w:szCs w:val="20"/>
                <w:highlight w:val="none"/>
                <w:u w:val="none"/>
                <w:lang w:val="en-US" w:eastAsia="zh-CN" w:bidi="ar"/>
              </w:rPr>
            </w:pPr>
            <w:r>
              <w:rPr>
                <w:rFonts w:hint="eastAsia" w:ascii="仿宋" w:hAnsi="仿宋" w:eastAsia="仿宋" w:cs="仿宋"/>
                <w:i w:val="0"/>
                <w:color w:val="000000"/>
                <w:kern w:val="0"/>
                <w:sz w:val="20"/>
                <w:szCs w:val="20"/>
                <w:highlight w:val="none"/>
                <w:u w:val="none"/>
                <w:lang w:val="en-US" w:eastAsia="zh-CN" w:bidi="ar"/>
              </w:rPr>
              <w:t>1.09</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i w:val="0"/>
                <w:color w:val="000000"/>
                <w:kern w:val="0"/>
                <w:sz w:val="20"/>
                <w:szCs w:val="20"/>
                <w:highlight w:val="none"/>
                <w:u w:val="none"/>
                <w:lang w:val="en-US" w:eastAsia="zh-CN" w:bidi="ar"/>
              </w:rPr>
            </w:pPr>
            <w:r>
              <w:rPr>
                <w:rFonts w:hint="eastAsia" w:ascii="仿宋" w:hAnsi="仿宋" w:eastAsia="仿宋" w:cs="仿宋"/>
                <w:i w:val="0"/>
                <w:color w:val="000000"/>
                <w:kern w:val="0"/>
                <w:sz w:val="20"/>
                <w:szCs w:val="20"/>
                <w:highlight w:val="none"/>
                <w:u w:val="none"/>
                <w:lang w:val="en-US" w:eastAsia="zh-CN" w:bidi="ar"/>
              </w:rPr>
              <w:t>1.09</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02</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退休费</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i w:val="0"/>
                <w:color w:val="000000"/>
                <w:kern w:val="0"/>
                <w:sz w:val="20"/>
                <w:szCs w:val="20"/>
                <w:highlight w:val="none"/>
                <w:u w:val="none"/>
                <w:lang w:val="en-US" w:eastAsia="zh-CN" w:bidi="ar"/>
              </w:rPr>
            </w:pPr>
            <w:r>
              <w:rPr>
                <w:rFonts w:hint="eastAsia" w:ascii="仿宋" w:hAnsi="仿宋" w:eastAsia="仿宋" w:cs="仿宋"/>
                <w:i w:val="0"/>
                <w:color w:val="000000"/>
                <w:kern w:val="0"/>
                <w:sz w:val="20"/>
                <w:szCs w:val="20"/>
                <w:highlight w:val="none"/>
                <w:u w:val="none"/>
                <w:lang w:val="en-US" w:eastAsia="zh-CN" w:bidi="ar"/>
              </w:rPr>
              <w:t>0.72</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i w:val="0"/>
                <w:color w:val="000000"/>
                <w:kern w:val="0"/>
                <w:sz w:val="20"/>
                <w:szCs w:val="20"/>
                <w:highlight w:val="none"/>
                <w:u w:val="none"/>
                <w:lang w:val="en-US" w:eastAsia="zh-CN" w:bidi="ar"/>
              </w:rPr>
            </w:pPr>
            <w:r>
              <w:rPr>
                <w:rFonts w:hint="eastAsia" w:ascii="仿宋" w:hAnsi="仿宋" w:eastAsia="仿宋" w:cs="仿宋"/>
                <w:i w:val="0"/>
                <w:color w:val="000000"/>
                <w:kern w:val="0"/>
                <w:sz w:val="20"/>
                <w:szCs w:val="20"/>
                <w:highlight w:val="none"/>
                <w:u w:val="none"/>
                <w:lang w:val="en-US" w:eastAsia="zh-CN" w:bidi="ar"/>
              </w:rPr>
              <w:t>0.72</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09</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奖励金</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i w:val="0"/>
                <w:color w:val="000000"/>
                <w:kern w:val="0"/>
                <w:sz w:val="20"/>
                <w:szCs w:val="20"/>
                <w:highlight w:val="none"/>
                <w:u w:val="none"/>
                <w:lang w:val="en-US" w:eastAsia="zh-CN" w:bidi="ar"/>
              </w:rPr>
            </w:pPr>
            <w:r>
              <w:rPr>
                <w:rFonts w:hint="eastAsia" w:ascii="仿宋" w:hAnsi="仿宋" w:eastAsia="仿宋" w:cs="仿宋"/>
                <w:i w:val="0"/>
                <w:color w:val="000000"/>
                <w:kern w:val="0"/>
                <w:sz w:val="20"/>
                <w:szCs w:val="20"/>
                <w:highlight w:val="none"/>
                <w:u w:val="none"/>
                <w:lang w:val="en-US" w:eastAsia="zh-CN" w:bidi="ar"/>
              </w:rPr>
              <w:t>0.36</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i w:val="0"/>
                <w:color w:val="000000"/>
                <w:kern w:val="0"/>
                <w:sz w:val="20"/>
                <w:szCs w:val="20"/>
                <w:highlight w:val="none"/>
                <w:u w:val="none"/>
                <w:lang w:val="en-US" w:eastAsia="zh-CN" w:bidi="ar"/>
              </w:rPr>
            </w:pPr>
            <w:r>
              <w:rPr>
                <w:rFonts w:hint="eastAsia" w:ascii="仿宋" w:hAnsi="仿宋" w:eastAsia="仿宋" w:cs="仿宋"/>
                <w:i w:val="0"/>
                <w:color w:val="000000"/>
                <w:kern w:val="0"/>
                <w:sz w:val="20"/>
                <w:szCs w:val="20"/>
                <w:highlight w:val="none"/>
                <w:u w:val="none"/>
                <w:lang w:val="en-US" w:eastAsia="zh-CN" w:bidi="ar"/>
              </w:rPr>
              <w:t>0.36</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b/>
                <w:bCs/>
                <w:i w:val="0"/>
                <w:color w:val="000000"/>
                <w:kern w:val="0"/>
                <w:sz w:val="20"/>
                <w:szCs w:val="20"/>
                <w:highlight w:val="none"/>
                <w:u w:val="none"/>
                <w:lang w:val="en-US" w:eastAsia="zh-CN" w:bidi="ar"/>
              </w:rPr>
            </w:pPr>
            <w:r>
              <w:rPr>
                <w:rFonts w:hint="eastAsia" w:ascii="仿宋" w:hAnsi="仿宋" w:eastAsia="仿宋" w:cs="仿宋"/>
                <w:b/>
                <w:bCs/>
                <w:i w:val="0"/>
                <w:color w:val="000000"/>
                <w:kern w:val="0"/>
                <w:sz w:val="20"/>
                <w:szCs w:val="20"/>
                <w:highlight w:val="none"/>
                <w:u w:val="none"/>
                <w:lang w:val="en-US" w:eastAsia="zh-CN" w:bidi="ar"/>
              </w:rPr>
              <w:t>226.03</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b/>
                <w:bCs/>
                <w:i w:val="0"/>
                <w:color w:val="000000"/>
                <w:kern w:val="0"/>
                <w:sz w:val="20"/>
                <w:szCs w:val="20"/>
                <w:highlight w:val="none"/>
                <w:u w:val="none"/>
                <w:lang w:val="en-US" w:eastAsia="zh-CN" w:bidi="ar"/>
              </w:rPr>
            </w:pPr>
            <w:r>
              <w:rPr>
                <w:rFonts w:hint="eastAsia" w:ascii="仿宋" w:hAnsi="仿宋" w:eastAsia="仿宋" w:cs="仿宋"/>
                <w:b/>
                <w:bCs/>
                <w:i w:val="0"/>
                <w:color w:val="000000"/>
                <w:kern w:val="0"/>
                <w:sz w:val="20"/>
                <w:szCs w:val="20"/>
                <w:highlight w:val="none"/>
                <w:u w:val="none"/>
                <w:lang w:val="en-US" w:eastAsia="zh-CN" w:bidi="ar"/>
              </w:rPr>
              <w:t>148.13</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b/>
                <w:bCs/>
                <w:i w:val="0"/>
                <w:color w:val="000000"/>
                <w:kern w:val="0"/>
                <w:sz w:val="20"/>
                <w:szCs w:val="20"/>
                <w:highlight w:val="none"/>
                <w:u w:val="none"/>
                <w:lang w:val="en-US" w:eastAsia="zh-CN" w:bidi="ar"/>
              </w:rPr>
            </w:pPr>
            <w:r>
              <w:rPr>
                <w:rFonts w:hint="eastAsia" w:ascii="仿宋" w:hAnsi="仿宋" w:eastAsia="仿宋" w:cs="仿宋"/>
                <w:b/>
                <w:bCs/>
                <w:i w:val="0"/>
                <w:color w:val="000000"/>
                <w:kern w:val="0"/>
                <w:sz w:val="20"/>
                <w:szCs w:val="20"/>
                <w:highlight w:val="none"/>
                <w:u w:val="none"/>
                <w:lang w:val="en-US" w:eastAsia="zh-CN" w:bidi="ar"/>
              </w:rPr>
              <w:t>77.90</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9"/>
        <w:tblpPr w:leftFromText="180" w:rightFromText="180" w:vertAnchor="text" w:horzAnchor="page" w:tblpX="919" w:tblpY="216"/>
        <w:tblOverlap w:val="never"/>
        <w:tblW w:w="9540" w:type="dxa"/>
        <w:tblInd w:w="0" w:type="dxa"/>
        <w:tblLayout w:type="fixed"/>
        <w:tblCellMar>
          <w:top w:w="0" w:type="dxa"/>
          <w:left w:w="108" w:type="dxa"/>
          <w:bottom w:w="0" w:type="dxa"/>
          <w:right w:w="108" w:type="dxa"/>
        </w:tblCellMar>
      </w:tblPr>
      <w:tblGrid>
        <w:gridCol w:w="8"/>
        <w:gridCol w:w="409"/>
        <w:gridCol w:w="417"/>
        <w:gridCol w:w="417"/>
        <w:gridCol w:w="828"/>
        <w:gridCol w:w="1400"/>
        <w:gridCol w:w="732"/>
        <w:gridCol w:w="561"/>
        <w:gridCol w:w="530"/>
        <w:gridCol w:w="639"/>
        <w:gridCol w:w="639"/>
        <w:gridCol w:w="404"/>
        <w:gridCol w:w="214"/>
        <w:gridCol w:w="419"/>
        <w:gridCol w:w="618"/>
        <w:gridCol w:w="420"/>
        <w:gridCol w:w="420"/>
        <w:gridCol w:w="388"/>
        <w:gridCol w:w="77"/>
      </w:tblGrid>
      <w:tr>
        <w:tblPrEx>
          <w:tblCellMar>
            <w:top w:w="0" w:type="dxa"/>
            <w:left w:w="108" w:type="dxa"/>
            <w:bottom w:w="0" w:type="dxa"/>
            <w:right w:w="108" w:type="dxa"/>
          </w:tblCellMar>
        </w:tblPrEx>
        <w:trPr>
          <w:gridBefore w:val="1"/>
          <w:gridAfter w:val="1"/>
          <w:wBefore w:w="8" w:type="dxa"/>
          <w:wAfter w:w="77" w:type="dxa"/>
          <w:trHeight w:val="590" w:hRule="atLeast"/>
        </w:trPr>
        <w:tc>
          <w:tcPr>
            <w:tcW w:w="9455" w:type="dxa"/>
            <w:gridSpan w:val="17"/>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CellMar>
            <w:top w:w="0" w:type="dxa"/>
            <w:left w:w="108" w:type="dxa"/>
            <w:bottom w:w="0" w:type="dxa"/>
            <w:right w:w="108" w:type="dxa"/>
          </w:tblCellMar>
        </w:tblPrEx>
        <w:trPr>
          <w:gridBefore w:val="1"/>
          <w:gridAfter w:val="1"/>
          <w:wBefore w:w="8" w:type="dxa"/>
          <w:wAfter w:w="77" w:type="dxa"/>
          <w:trHeight w:val="460" w:hRule="atLeast"/>
        </w:trPr>
        <w:tc>
          <w:tcPr>
            <w:tcW w:w="6976" w:type="dxa"/>
            <w:gridSpan w:val="11"/>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s="宋体"/>
                <w:color w:val="auto"/>
                <w:kern w:val="0"/>
                <w:sz w:val="24"/>
                <w:highlight w:val="none"/>
              </w:rPr>
              <w:t>昌吉州青少年示范性综合实践基地</w:t>
            </w:r>
            <w:r>
              <w:rPr>
                <w:rFonts w:hint="eastAsia" w:ascii="仿宋_GB2312" w:hAnsi="宋体" w:eastAsia="仿宋_GB2312" w:cs="宋体"/>
                <w:color w:val="auto"/>
                <w:kern w:val="0"/>
                <w:sz w:val="24"/>
                <w:highlight w:val="none"/>
                <w:lang w:val="en-US" w:eastAsia="zh-CN"/>
              </w:rPr>
              <w:t>服务</w:t>
            </w:r>
            <w:r>
              <w:rPr>
                <w:rFonts w:hint="eastAsia" w:ascii="仿宋_GB2312" w:hAnsi="宋体" w:eastAsia="仿宋_GB2312" w:cs="宋体"/>
                <w:color w:val="auto"/>
                <w:kern w:val="0"/>
                <w:sz w:val="24"/>
                <w:highlight w:val="none"/>
              </w:rPr>
              <w:t>中心</w:t>
            </w:r>
            <w:r>
              <w:rPr>
                <w:rFonts w:hint="eastAsia" w:ascii="仿宋_GB2312" w:hAnsi="宋体" w:eastAsia="仿宋_GB2312" w:cs="宋体"/>
                <w:color w:val="auto"/>
                <w:kern w:val="0"/>
                <w:sz w:val="24"/>
                <w:highlight w:val="none"/>
              </w:rPr>
              <w:t xml:space="preserve">     </w:t>
            </w:r>
          </w:p>
        </w:tc>
        <w:tc>
          <w:tcPr>
            <w:tcW w:w="2479" w:type="dxa"/>
            <w:gridSpan w:val="6"/>
            <w:tcBorders>
              <w:top w:val="nil"/>
              <w:left w:val="nil"/>
              <w:bottom w:val="nil"/>
              <w:right w:val="nil"/>
            </w:tcBorders>
            <w:vAlign w:val="center"/>
          </w:tcPr>
          <w:p>
            <w:pPr>
              <w:keepNext w:val="0"/>
              <w:keepLines w:val="0"/>
              <w:widowControl/>
              <w:suppressLineNumbers w:val="0"/>
              <w:spacing w:before="0" w:beforeAutospacing="0" w:after="0" w:afterAutospacing="0"/>
              <w:ind w:left="0" w:right="0"/>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251" w:type="dxa"/>
            <w:gridSpan w:val="4"/>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828" w:type="dxa"/>
            <w:vMerge w:val="restart"/>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1400" w:type="dxa"/>
            <w:vMerge w:val="restart"/>
            <w:vAlign w:val="center"/>
          </w:tcPr>
          <w:p>
            <w:pPr>
              <w:keepNext w:val="0"/>
              <w:keepLines w:val="0"/>
              <w:suppressLineNumbers w:val="0"/>
              <w:spacing w:before="0" w:beforeAutospacing="0" w:after="0" w:afterAutospacing="0"/>
              <w:ind w:left="0" w:right="0"/>
              <w:jc w:val="center"/>
              <w:rPr>
                <w:rFonts w:hint="default"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732" w:type="dxa"/>
            <w:vMerge w:val="restart"/>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561" w:type="dxa"/>
            <w:vMerge w:val="restart"/>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530" w:type="dxa"/>
            <w:vMerge w:val="restart"/>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639" w:type="dxa"/>
            <w:vMerge w:val="restart"/>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639" w:type="dxa"/>
            <w:vMerge w:val="restart"/>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618" w:type="dxa"/>
            <w:gridSpan w:val="2"/>
            <w:vMerge w:val="restart"/>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419" w:type="dxa"/>
            <w:vMerge w:val="restart"/>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618" w:type="dxa"/>
            <w:vMerge w:val="restart"/>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420" w:type="dxa"/>
            <w:vMerge w:val="restart"/>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420" w:type="dxa"/>
            <w:vMerge w:val="restart"/>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465" w:type="dxa"/>
            <w:gridSpan w:val="2"/>
            <w:vMerge w:val="restart"/>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417" w:type="dxa"/>
            <w:gridSpan w:val="2"/>
            <w:tcBorders>
              <w:bottom w:val="single" w:color="auto" w:sz="4" w:space="0"/>
            </w:tcBorders>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17" w:type="dxa"/>
            <w:tcBorders>
              <w:bottom w:val="single" w:color="auto" w:sz="4" w:space="0"/>
            </w:tcBorders>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17" w:type="dxa"/>
            <w:tcBorders>
              <w:bottom w:val="single" w:color="auto" w:sz="4" w:space="0"/>
            </w:tcBorders>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828" w:type="dxa"/>
            <w:vMerge w:val="continue"/>
            <w:tcBorders>
              <w:bottom w:val="single" w:color="auto" w:sz="4" w:space="0"/>
            </w:tcBorders>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1400" w:type="dxa"/>
            <w:vMerge w:val="continue"/>
            <w:tcBorders>
              <w:bottom w:val="single" w:color="auto" w:sz="4" w:space="0"/>
            </w:tcBorders>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732" w:type="dxa"/>
            <w:vMerge w:val="continue"/>
            <w:tcBorders>
              <w:bottom w:val="single" w:color="auto" w:sz="4" w:space="0"/>
            </w:tcBorders>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561" w:type="dxa"/>
            <w:vMerge w:val="continue"/>
            <w:tcBorders>
              <w:bottom w:val="single" w:color="auto" w:sz="4" w:space="0"/>
            </w:tcBorders>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530" w:type="dxa"/>
            <w:vMerge w:val="continue"/>
            <w:tcBorders>
              <w:bottom w:val="single" w:color="auto" w:sz="4" w:space="0"/>
            </w:tcBorders>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639" w:type="dxa"/>
            <w:vMerge w:val="continue"/>
            <w:tcBorders>
              <w:bottom w:val="single" w:color="auto" w:sz="4" w:space="0"/>
            </w:tcBorders>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639" w:type="dxa"/>
            <w:vMerge w:val="continue"/>
            <w:tcBorders>
              <w:bottom w:val="single" w:color="auto" w:sz="4" w:space="0"/>
            </w:tcBorders>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618" w:type="dxa"/>
            <w:gridSpan w:val="2"/>
            <w:vMerge w:val="continue"/>
            <w:tcBorders>
              <w:bottom w:val="single" w:color="auto" w:sz="4" w:space="0"/>
            </w:tcBorders>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419" w:type="dxa"/>
            <w:vMerge w:val="continue"/>
            <w:tcBorders>
              <w:bottom w:val="single" w:color="auto" w:sz="4" w:space="0"/>
            </w:tcBorders>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618" w:type="dxa"/>
            <w:vMerge w:val="continue"/>
            <w:tcBorders>
              <w:bottom w:val="single" w:color="auto" w:sz="4" w:space="0"/>
            </w:tcBorders>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420" w:type="dxa"/>
            <w:vMerge w:val="continue"/>
            <w:tcBorders>
              <w:bottom w:val="single" w:color="auto" w:sz="4" w:space="0"/>
            </w:tcBorders>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420" w:type="dxa"/>
            <w:vMerge w:val="continue"/>
            <w:tcBorders>
              <w:bottom w:val="single" w:color="auto" w:sz="4" w:space="0"/>
            </w:tcBorders>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465" w:type="dxa"/>
            <w:gridSpan w:val="2"/>
            <w:vMerge w:val="continue"/>
            <w:tcBorders>
              <w:bottom w:val="single" w:color="auto" w:sz="4" w:space="0"/>
            </w:tcBorders>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keepNext w:val="0"/>
              <w:keepLines w:val="0"/>
              <w:widowControl/>
              <w:suppressLineNumbers w:val="0"/>
              <w:spacing w:before="0" w:beforeAutospacing="0" w:after="0" w:afterAutospacing="0"/>
              <w:ind w:left="0" w:right="0"/>
              <w:jc w:val="left"/>
              <w:outlineLvl w:val="1"/>
              <w:rPr>
                <w:rFonts w:hint="eastAsia" w:ascii="仿宋_GB2312" w:hAnsi="宋体" w:eastAsia="仿宋_GB2312"/>
                <w:color w:val="auto"/>
                <w:kern w:val="0"/>
                <w:sz w:val="32"/>
                <w:szCs w:val="32"/>
                <w:highlight w:val="none"/>
                <w:lang w:eastAsia="zh-Hans"/>
              </w:rPr>
            </w:pPr>
          </w:p>
        </w:tc>
        <w:tc>
          <w:tcPr>
            <w:tcW w:w="417"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p>
        </w:tc>
        <w:tc>
          <w:tcPr>
            <w:tcW w:w="828"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32"/>
                <w:szCs w:val="32"/>
                <w:highlight w:val="none"/>
              </w:rPr>
            </w:pPr>
            <w:r>
              <w:rPr>
                <w:rFonts w:hint="eastAsia" w:ascii="仿宋_GB2312" w:hAnsi="宋体" w:eastAsia="仿宋_GB2312"/>
                <w:b/>
                <w:bCs/>
                <w:color w:val="auto"/>
                <w:kern w:val="0"/>
                <w:sz w:val="20"/>
                <w:szCs w:val="20"/>
                <w:highlight w:val="none"/>
              </w:rPr>
              <w:t>合 计</w:t>
            </w:r>
          </w:p>
        </w:tc>
        <w:tc>
          <w:tcPr>
            <w:tcW w:w="732"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Cs w:val="21"/>
                <w:highlight w:val="none"/>
              </w:rPr>
            </w:pPr>
          </w:p>
        </w:tc>
        <w:tc>
          <w:tcPr>
            <w:tcW w:w="561"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bl>
    <w:p>
      <w:pPr>
        <w:widowControl/>
        <w:outlineLvl w:val="1"/>
        <w:rPr>
          <w:rFonts w:hint="eastAsia" w:ascii="仿宋_GB2312" w:hAnsi="宋体" w:eastAsia="仿宋_GB2312"/>
          <w:b/>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rPr>
        <w:t>昌吉州青少年示范性综合实践基地</w:t>
      </w:r>
      <w:r>
        <w:rPr>
          <w:rFonts w:hint="eastAsia" w:ascii="仿宋_GB2312" w:hAnsi="宋体" w:eastAsia="仿宋_GB2312" w:cs="宋体"/>
          <w:color w:val="auto"/>
          <w:kern w:val="0"/>
          <w:sz w:val="20"/>
          <w:szCs w:val="20"/>
          <w:highlight w:val="none"/>
          <w:lang w:val="en-US" w:eastAsia="zh-CN"/>
        </w:rPr>
        <w:t>服务</w:t>
      </w:r>
      <w:r>
        <w:rPr>
          <w:rFonts w:hint="eastAsia" w:ascii="仿宋_GB2312" w:hAnsi="宋体" w:eastAsia="仿宋_GB2312" w:cs="宋体"/>
          <w:color w:val="auto"/>
          <w:kern w:val="0"/>
          <w:sz w:val="20"/>
          <w:szCs w:val="20"/>
          <w:highlight w:val="none"/>
        </w:rPr>
        <w:t>中心</w:t>
      </w:r>
      <w:r>
        <w:rPr>
          <w:rFonts w:hint="eastAsia" w:ascii="仿宋_GB2312" w:hAnsi="仿宋_GB2312" w:eastAsia="仿宋_GB2312" w:cs="仿宋_GB2312"/>
          <w:color w:val="auto"/>
          <w:sz w:val="20"/>
          <w:szCs w:val="20"/>
          <w:highlight w:val="none"/>
        </w:rPr>
        <w:t>202</w:t>
      </w:r>
      <w:r>
        <w:rPr>
          <w:rFonts w:hint="eastAsia" w:ascii="仿宋_GB2312" w:hAnsi="仿宋_GB2312" w:eastAsia="仿宋_GB2312" w:cs="仿宋_GB2312"/>
          <w:color w:val="auto"/>
          <w:sz w:val="20"/>
          <w:szCs w:val="20"/>
          <w:highlight w:val="none"/>
          <w:lang w:val="en-US" w:eastAsia="zh-CN"/>
        </w:rPr>
        <w:t>5</w:t>
      </w:r>
      <w:r>
        <w:rPr>
          <w:rFonts w:hint="eastAsia" w:ascii="仿宋_GB2312" w:hAnsi="仿宋_GB2312" w:eastAsia="仿宋_GB2312" w:cs="仿宋_GB2312"/>
          <w:color w:val="auto"/>
          <w:sz w:val="20"/>
          <w:szCs w:val="20"/>
          <w:highlight w:val="none"/>
        </w:rPr>
        <w:t>年无一般公共预算项目支出</w:t>
      </w:r>
      <w:r>
        <w:rPr>
          <w:rFonts w:hint="eastAsia" w:ascii="仿宋_GB2312" w:hAnsi="仿宋_GB2312" w:eastAsia="仿宋_GB2312" w:cs="仿宋_GB2312"/>
          <w:color w:val="auto"/>
          <w:sz w:val="20"/>
          <w:szCs w:val="20"/>
          <w:highlight w:val="none"/>
          <w:lang w:val="en-US" w:eastAsia="zh-CN"/>
        </w:rPr>
        <w:t>,</w:t>
      </w:r>
      <w:r>
        <w:rPr>
          <w:rFonts w:hint="eastAsia" w:ascii="仿宋_GB2312" w:hAnsi="仿宋_GB2312" w:eastAsia="仿宋_GB2312" w:cs="仿宋_GB2312"/>
          <w:color w:val="auto"/>
          <w:sz w:val="20"/>
          <w:szCs w:val="20"/>
          <w:highlight w:val="none"/>
        </w:rPr>
        <w:t>一般公共预算项目支出情况表</w:t>
      </w:r>
      <w:r>
        <w:rPr>
          <w:rFonts w:hint="eastAsia" w:ascii="仿宋_GB2312" w:hAnsi="仿宋_GB2312" w:eastAsia="仿宋_GB2312" w:cs="仿宋_GB2312"/>
          <w:color w:val="auto"/>
          <w:sz w:val="20"/>
          <w:szCs w:val="20"/>
          <w:highlight w:val="none"/>
          <w:lang w:val="en-US" w:eastAsia="zh-CN"/>
        </w:rPr>
        <w:t>为空表。</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val="en-US" w:eastAsia="zh-CN"/>
        </w:rPr>
        <w:t>昌吉州青少年示范性综合实践基地服务中心</w:t>
      </w:r>
      <w:r>
        <w:rPr>
          <w:rFonts w:hint="eastAsia" w:ascii="仿宋_GB2312" w:hAnsi="宋体" w:eastAsia="仿宋_GB2312"/>
          <w:color w:val="auto"/>
          <w:kern w:val="0"/>
          <w:sz w:val="24"/>
          <w:highlight w:val="none"/>
        </w:rPr>
        <w:t xml:space="preserve">            单位：万元</w:t>
      </w:r>
    </w:p>
    <w:tbl>
      <w:tblPr>
        <w:tblStyle w:val="9"/>
        <w:tblpPr w:leftFromText="180" w:rightFromText="180" w:vertAnchor="text" w:horzAnchor="page" w:tblpX="1209" w:tblpY="418"/>
        <w:tblOverlap w:val="never"/>
        <w:tblW w:w="9214" w:type="dxa"/>
        <w:tblInd w:w="0"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47"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bidi w:val="0"/>
        <w:jc w:val="left"/>
        <w:rPr>
          <w:rFonts w:hint="eastAsia"/>
          <w:highlight w:val="none"/>
        </w:rPr>
      </w:pPr>
    </w:p>
    <w:p>
      <w:pPr>
        <w:widowControl/>
        <w:outlineLvl w:val="1"/>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rPr>
        <w:t>昌吉州青少年示范性综合实践基地</w:t>
      </w:r>
      <w:r>
        <w:rPr>
          <w:rFonts w:hint="eastAsia" w:ascii="仿宋_GB2312" w:hAnsi="仿宋_GB2312" w:eastAsia="仿宋_GB2312" w:cs="仿宋_GB2312"/>
          <w:color w:val="auto"/>
          <w:sz w:val="20"/>
          <w:szCs w:val="20"/>
          <w:highlight w:val="none"/>
          <w:lang w:val="en-US" w:eastAsia="zh-CN"/>
        </w:rPr>
        <w:t>服务</w:t>
      </w:r>
      <w:r>
        <w:rPr>
          <w:rFonts w:hint="eastAsia" w:ascii="仿宋_GB2312" w:hAnsi="仿宋_GB2312" w:eastAsia="仿宋_GB2312" w:cs="仿宋_GB2312"/>
          <w:color w:val="auto"/>
          <w:sz w:val="20"/>
          <w:szCs w:val="20"/>
          <w:highlight w:val="none"/>
        </w:rPr>
        <w:t>中心</w:t>
      </w:r>
      <w:r>
        <w:rPr>
          <w:rFonts w:hint="eastAsia" w:ascii="仿宋_GB2312" w:hAnsi="仿宋_GB2312" w:eastAsia="仿宋_GB2312" w:cs="仿宋_GB2312"/>
          <w:color w:val="auto"/>
          <w:sz w:val="20"/>
          <w:szCs w:val="20"/>
          <w:highlight w:val="none"/>
          <w:lang w:val="en-US" w:eastAsia="zh-CN"/>
        </w:rPr>
        <w:t>2025年无政府性基金预算支出，政府性基金预算支出情况表为空表。</w:t>
      </w:r>
    </w:p>
    <w:p>
      <w:pPr>
        <w:widowControl/>
        <w:spacing w:line="280" w:lineRule="exact"/>
        <w:outlineLvl w:val="1"/>
        <w:rPr>
          <w:rFonts w:hint="eastAsia" w:ascii="仿宋_GB2312" w:hAnsi="宋体" w:eastAsia="仿宋_GB2312"/>
          <w:b w:val="0"/>
          <w:bCs/>
          <w:color w:val="auto"/>
          <w:kern w:val="0"/>
          <w:sz w:val="28"/>
          <w:szCs w:val="32"/>
          <w:highlight w:val="none"/>
          <w:lang w:val="en-US" w:eastAsia="zh-CN"/>
        </w:rPr>
      </w:pP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宋体" w:hAnsi="宋体" w:eastAsia="宋体" w:cs="宋体"/>
          <w:b w:val="0"/>
          <w:bCs/>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val="en-US" w:eastAsia="zh-CN"/>
        </w:rPr>
        <w:t>昌吉州青少年示范性综合实践基地服务中心</w:t>
      </w:r>
      <w:r>
        <w:rPr>
          <w:rFonts w:hint="eastAsia" w:ascii="仿宋_GB2312" w:hAnsi="宋体" w:eastAsia="仿宋_GB2312"/>
          <w:color w:val="auto"/>
          <w:kern w:val="0"/>
          <w:sz w:val="24"/>
          <w:highlight w:val="none"/>
        </w:rPr>
        <w:t xml:space="preserve">           单位：万元</w:t>
      </w:r>
    </w:p>
    <w:tbl>
      <w:tblPr>
        <w:tblStyle w:val="9"/>
        <w:tblpPr w:leftFromText="180" w:rightFromText="180" w:vertAnchor="text" w:horzAnchor="page" w:tblpX="1284" w:tblpY="385"/>
        <w:tblOverlap w:val="never"/>
        <w:tblW w:w="9214" w:type="dxa"/>
        <w:tblInd w:w="0"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both"/>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20"/>
                <w:szCs w:val="20"/>
                <w:highlight w:val="none"/>
              </w:rPr>
            </w:pPr>
          </w:p>
        </w:tc>
      </w:tr>
      <w:tr>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lang w:eastAsia="zh-CN"/>
        </w:rPr>
      </w:pPr>
    </w:p>
    <w:p>
      <w:pPr>
        <w:widowControl/>
        <w:jc w:val="lef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昌吉州青少年示范性综合实践基地</w:t>
      </w:r>
      <w:r>
        <w:rPr>
          <w:rFonts w:hint="eastAsia" w:ascii="仿宋_GB2312" w:hAnsi="宋体" w:eastAsia="仿宋_GB2312" w:cs="宋体"/>
          <w:color w:val="auto"/>
          <w:kern w:val="0"/>
          <w:sz w:val="20"/>
          <w:szCs w:val="20"/>
          <w:highlight w:val="none"/>
          <w:lang w:val="en-US" w:eastAsia="zh-CN"/>
        </w:rPr>
        <w:t>服务</w:t>
      </w:r>
      <w:r>
        <w:rPr>
          <w:rFonts w:hint="eastAsia" w:ascii="仿宋_GB2312" w:hAnsi="宋体" w:eastAsia="仿宋_GB2312" w:cs="宋体"/>
          <w:color w:val="auto"/>
          <w:kern w:val="0"/>
          <w:sz w:val="20"/>
          <w:szCs w:val="20"/>
          <w:highlight w:val="none"/>
        </w:rPr>
        <w:t>中心</w:t>
      </w:r>
      <w:r>
        <w:rPr>
          <w:rFonts w:hint="eastAsia" w:ascii="仿宋_GB2312" w:hAnsi="宋体" w:eastAsia="仿宋_GB2312" w:cs="宋体"/>
          <w:color w:val="auto"/>
          <w:kern w:val="0"/>
          <w:sz w:val="20"/>
          <w:szCs w:val="20"/>
          <w:highlight w:val="none"/>
          <w:lang w:val="en-US" w:eastAsia="zh-CN"/>
        </w:rPr>
        <w:t>2025年没有安排国有资本经营预算</w:t>
      </w:r>
      <w:r>
        <w:rPr>
          <w:rFonts w:hint="eastAsia" w:ascii="仿宋_GB2312" w:hAnsi="宋体" w:eastAsia="仿宋_GB2312" w:cs="宋体"/>
          <w:color w:val="auto"/>
          <w:kern w:val="0"/>
          <w:sz w:val="20"/>
          <w:szCs w:val="20"/>
          <w:highlight w:val="none"/>
          <w:lang w:eastAsia="zh-CN"/>
        </w:rPr>
        <w:t>支出，</w:t>
      </w:r>
      <w:r>
        <w:rPr>
          <w:rFonts w:hint="eastAsia" w:ascii="仿宋_GB2312" w:hAnsi="宋体" w:eastAsia="仿宋_GB2312" w:cs="宋体"/>
          <w:color w:val="auto"/>
          <w:kern w:val="0"/>
          <w:sz w:val="20"/>
          <w:szCs w:val="20"/>
          <w:highlight w:val="none"/>
          <w:lang w:val="en-US" w:eastAsia="zh-CN"/>
        </w:rPr>
        <w:t>国有资本经营预算支出情况表</w:t>
      </w:r>
      <w:r>
        <w:rPr>
          <w:rFonts w:hint="eastAsia" w:ascii="仿宋_GB2312" w:hAnsi="宋体" w:eastAsia="仿宋_GB2312" w:cs="宋体"/>
          <w:color w:val="auto"/>
          <w:kern w:val="0"/>
          <w:sz w:val="20"/>
          <w:szCs w:val="20"/>
          <w:highlight w:val="none"/>
          <w:lang w:eastAsia="zh-CN"/>
        </w:rPr>
        <w:t>为空表。</w:t>
      </w:r>
    </w:p>
    <w:p>
      <w:pPr>
        <w:widowControl/>
        <w:spacing w:line="280" w:lineRule="exact"/>
        <w:outlineLvl w:val="1"/>
        <w:rPr>
          <w:rFonts w:ascii="仿宋_GB2312" w:hAnsi="宋体" w:eastAsia="仿宋_GB2312"/>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FF0000"/>
          <w:kern w:val="0"/>
          <w:sz w:val="28"/>
          <w:szCs w:val="32"/>
          <w:highlight w:val="none"/>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jc w:val="center"/>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val="en-US" w:eastAsia="zh-CN"/>
        </w:rPr>
        <w:t>昌吉州青少年示范性综合实践基地服务中心</w:t>
      </w:r>
      <w:r>
        <w:rPr>
          <w:rFonts w:hint="eastAsia" w:ascii="仿宋_GB2312" w:hAnsi="宋体" w:eastAsia="仿宋_GB2312"/>
          <w:color w:val="auto"/>
          <w:kern w:val="0"/>
          <w:sz w:val="24"/>
          <w:highlight w:val="none"/>
        </w:rPr>
        <w:t xml:space="preserve">          单位：万元</w:t>
      </w:r>
    </w:p>
    <w:tbl>
      <w:tblPr>
        <w:tblStyle w:val="10"/>
        <w:tblpPr w:leftFromText="180" w:rightFromText="180" w:vertAnchor="text" w:horzAnchor="page" w:tblpX="789" w:tblpY="416"/>
        <w:tblOverlap w:val="never"/>
        <w:tblW w:w="9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215" w:type="dxa"/>
            <w:vMerge w:val="continue"/>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314"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vAlign w:val="top"/>
          </w:tcPr>
          <w:p>
            <w:pPr>
              <w:keepNext w:val="0"/>
              <w:keepLines w:val="0"/>
              <w:widowControl/>
              <w:suppressLineNumbers w:val="0"/>
              <w:spacing w:before="0" w:beforeAutospacing="0" w:after="0" w:afterAutospacing="0"/>
              <w:ind w:left="0" w:right="0"/>
              <w:outlineLvl w:val="1"/>
              <w:rPr>
                <w:rFonts w:hint="eastAsia" w:ascii="仿宋" w:hAnsi="仿宋" w:eastAsia="仿宋" w:cs="仿宋"/>
                <w:b w:val="0"/>
                <w:bCs/>
                <w:color w:val="auto"/>
                <w:kern w:val="0"/>
                <w:sz w:val="20"/>
                <w:szCs w:val="20"/>
                <w:highlight w:val="none"/>
                <w:vertAlign w:val="baseline"/>
                <w:lang w:val="en-US" w:eastAsia="zh-CN"/>
              </w:rPr>
            </w:pPr>
            <w:r>
              <w:rPr>
                <w:rFonts w:hint="eastAsia" w:ascii="仿宋" w:hAnsi="仿宋" w:eastAsia="仿宋" w:cs="仿宋"/>
                <w:b w:val="0"/>
                <w:bCs/>
                <w:color w:val="auto"/>
                <w:kern w:val="0"/>
                <w:sz w:val="20"/>
                <w:szCs w:val="20"/>
                <w:highlight w:val="none"/>
                <w:vertAlign w:val="baseline"/>
                <w:lang w:val="en-US" w:eastAsia="zh-CN"/>
              </w:rPr>
              <w:t>0.24</w:t>
            </w:r>
          </w:p>
        </w:tc>
        <w:tc>
          <w:tcPr>
            <w:tcW w:w="1314" w:type="dxa"/>
            <w:vAlign w:val="top"/>
          </w:tcPr>
          <w:p>
            <w:pPr>
              <w:keepNext w:val="0"/>
              <w:keepLines w:val="0"/>
              <w:widowControl/>
              <w:suppressLineNumbers w:val="0"/>
              <w:spacing w:before="0" w:beforeAutospacing="0" w:after="0" w:afterAutospacing="0"/>
              <w:ind w:left="0" w:right="0"/>
              <w:outlineLvl w:val="1"/>
              <w:rPr>
                <w:rFonts w:hint="eastAsia" w:ascii="仿宋" w:hAnsi="仿宋" w:eastAsia="仿宋" w:cs="仿宋"/>
                <w:b w:val="0"/>
                <w:bCs/>
                <w:color w:val="auto"/>
                <w:kern w:val="0"/>
                <w:sz w:val="20"/>
                <w:szCs w:val="20"/>
                <w:highlight w:val="none"/>
                <w:vertAlign w:val="baseline"/>
                <w:lang w:val="en-US" w:eastAsia="zh-CN"/>
              </w:rPr>
            </w:pPr>
            <w:r>
              <w:rPr>
                <w:rFonts w:hint="eastAsia" w:ascii="仿宋" w:hAnsi="仿宋" w:eastAsia="仿宋" w:cs="仿宋"/>
                <w:b w:val="0"/>
                <w:bCs/>
                <w:color w:val="auto"/>
                <w:kern w:val="0"/>
                <w:sz w:val="20"/>
                <w:szCs w:val="20"/>
                <w:highlight w:val="none"/>
                <w:vertAlign w:val="baseline"/>
                <w:lang w:val="en-US" w:eastAsia="zh-CN"/>
              </w:rPr>
              <w:t>0.24</w:t>
            </w:r>
          </w:p>
        </w:tc>
        <w:tc>
          <w:tcPr>
            <w:tcW w:w="1595" w:type="dxa"/>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vAlign w:val="top"/>
          </w:tcPr>
          <w:p>
            <w:pPr>
              <w:keepNext w:val="0"/>
              <w:keepLines w:val="0"/>
              <w:widowControl/>
              <w:suppressLineNumbers w:val="0"/>
              <w:spacing w:before="0" w:beforeAutospacing="0" w:after="0" w:afterAutospacing="0"/>
              <w:ind w:left="0" w:right="0"/>
              <w:outlineLvl w:val="1"/>
              <w:rPr>
                <w:rFonts w:hint="eastAsia" w:ascii="仿宋" w:hAnsi="仿宋" w:eastAsia="仿宋" w:cs="仿宋"/>
                <w:b/>
                <w:color w:val="auto"/>
                <w:kern w:val="0"/>
                <w:sz w:val="20"/>
                <w:szCs w:val="20"/>
                <w:highlight w:val="none"/>
                <w:vertAlign w:val="baseline"/>
              </w:rPr>
            </w:pPr>
          </w:p>
        </w:tc>
        <w:tc>
          <w:tcPr>
            <w:tcW w:w="1314" w:type="dxa"/>
            <w:vAlign w:val="top"/>
          </w:tcPr>
          <w:p>
            <w:pPr>
              <w:keepNext w:val="0"/>
              <w:keepLines w:val="0"/>
              <w:widowControl/>
              <w:suppressLineNumbers w:val="0"/>
              <w:spacing w:before="0" w:beforeAutospacing="0" w:after="0" w:afterAutospacing="0"/>
              <w:ind w:left="0" w:right="0"/>
              <w:outlineLvl w:val="1"/>
              <w:rPr>
                <w:rFonts w:hint="eastAsia" w:ascii="仿宋" w:hAnsi="仿宋" w:eastAsia="仿宋" w:cs="仿宋"/>
                <w:b/>
                <w:color w:val="auto"/>
                <w:kern w:val="0"/>
                <w:sz w:val="20"/>
                <w:szCs w:val="20"/>
                <w:highlight w:val="none"/>
                <w:vertAlign w:val="baseline"/>
              </w:rPr>
            </w:pPr>
          </w:p>
        </w:tc>
        <w:tc>
          <w:tcPr>
            <w:tcW w:w="1595" w:type="dxa"/>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vAlign w:val="top"/>
          </w:tcPr>
          <w:p>
            <w:pPr>
              <w:keepNext w:val="0"/>
              <w:keepLines w:val="0"/>
              <w:widowControl/>
              <w:suppressLineNumbers w:val="0"/>
              <w:spacing w:before="0" w:beforeAutospacing="0" w:after="0" w:afterAutospacing="0"/>
              <w:ind w:left="0" w:right="0"/>
              <w:outlineLvl w:val="1"/>
              <w:rPr>
                <w:rFonts w:hint="eastAsia" w:ascii="仿宋" w:hAnsi="仿宋" w:eastAsia="仿宋" w:cs="仿宋"/>
                <w:b w:val="0"/>
                <w:bCs/>
                <w:color w:val="auto"/>
                <w:kern w:val="0"/>
                <w:sz w:val="20"/>
                <w:szCs w:val="20"/>
                <w:highlight w:val="none"/>
                <w:vertAlign w:val="baseline"/>
                <w:lang w:val="en-US" w:eastAsia="zh-CN"/>
              </w:rPr>
            </w:pPr>
            <w:r>
              <w:rPr>
                <w:rFonts w:hint="eastAsia" w:ascii="仿宋" w:hAnsi="仿宋" w:eastAsia="仿宋" w:cs="仿宋"/>
                <w:b w:val="0"/>
                <w:bCs/>
                <w:color w:val="auto"/>
                <w:kern w:val="0"/>
                <w:sz w:val="20"/>
                <w:szCs w:val="20"/>
                <w:highlight w:val="none"/>
                <w:vertAlign w:val="baseline"/>
                <w:lang w:val="en-US" w:eastAsia="zh-CN"/>
              </w:rPr>
              <w:t>0.24</w:t>
            </w:r>
          </w:p>
        </w:tc>
        <w:tc>
          <w:tcPr>
            <w:tcW w:w="1314" w:type="dxa"/>
            <w:vAlign w:val="top"/>
          </w:tcPr>
          <w:p>
            <w:pPr>
              <w:keepNext w:val="0"/>
              <w:keepLines w:val="0"/>
              <w:widowControl/>
              <w:suppressLineNumbers w:val="0"/>
              <w:spacing w:before="0" w:beforeAutospacing="0" w:after="0" w:afterAutospacing="0"/>
              <w:ind w:left="0" w:right="0"/>
              <w:outlineLvl w:val="1"/>
              <w:rPr>
                <w:rFonts w:hint="eastAsia" w:ascii="仿宋" w:hAnsi="仿宋" w:eastAsia="仿宋" w:cs="仿宋"/>
                <w:b w:val="0"/>
                <w:bCs/>
                <w:color w:val="auto"/>
                <w:kern w:val="0"/>
                <w:sz w:val="20"/>
                <w:szCs w:val="20"/>
                <w:highlight w:val="none"/>
                <w:vertAlign w:val="baseline"/>
                <w:lang w:val="en-US" w:eastAsia="zh-CN"/>
              </w:rPr>
            </w:pPr>
            <w:r>
              <w:rPr>
                <w:rFonts w:hint="eastAsia" w:ascii="仿宋" w:hAnsi="仿宋" w:eastAsia="仿宋" w:cs="仿宋"/>
                <w:b w:val="0"/>
                <w:bCs/>
                <w:color w:val="auto"/>
                <w:kern w:val="0"/>
                <w:sz w:val="20"/>
                <w:szCs w:val="20"/>
                <w:highlight w:val="none"/>
                <w:vertAlign w:val="baseline"/>
                <w:lang w:val="en-US" w:eastAsia="zh-CN"/>
              </w:rPr>
              <w:t>0.24</w:t>
            </w:r>
          </w:p>
        </w:tc>
        <w:tc>
          <w:tcPr>
            <w:tcW w:w="1595" w:type="dxa"/>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vAlign w:val="top"/>
          </w:tcPr>
          <w:p>
            <w:pPr>
              <w:keepNext w:val="0"/>
              <w:keepLines w:val="0"/>
              <w:widowControl/>
              <w:suppressLineNumbers w:val="0"/>
              <w:spacing w:before="0" w:beforeAutospacing="0" w:after="0" w:afterAutospacing="0"/>
              <w:ind w:left="0" w:right="0"/>
              <w:outlineLvl w:val="1"/>
              <w:rPr>
                <w:rFonts w:hint="default" w:ascii="仿宋_GB2312" w:hAnsi="宋体" w:eastAsia="仿宋_GB2312"/>
                <w:b/>
                <w:color w:val="auto"/>
                <w:kern w:val="0"/>
                <w:sz w:val="28"/>
                <w:szCs w:val="32"/>
                <w:highlight w:val="none"/>
                <w:vertAlign w:val="baseline"/>
              </w:rPr>
            </w:pPr>
          </w:p>
        </w:tc>
        <w:tc>
          <w:tcPr>
            <w:tcW w:w="1314" w:type="dxa"/>
            <w:vAlign w:val="top"/>
          </w:tcPr>
          <w:p>
            <w:pPr>
              <w:keepNext w:val="0"/>
              <w:keepLines w:val="0"/>
              <w:widowControl/>
              <w:suppressLineNumbers w:val="0"/>
              <w:spacing w:before="0" w:beforeAutospacing="0" w:after="0" w:afterAutospacing="0"/>
              <w:ind w:left="0" w:right="0"/>
              <w:outlineLvl w:val="1"/>
              <w:rPr>
                <w:rFonts w:hint="default" w:ascii="仿宋_GB2312" w:hAnsi="宋体" w:eastAsia="仿宋_GB2312"/>
                <w:b/>
                <w:color w:val="auto"/>
                <w:kern w:val="0"/>
                <w:sz w:val="28"/>
                <w:szCs w:val="32"/>
                <w:highlight w:val="none"/>
                <w:vertAlign w:val="baseline"/>
              </w:rPr>
            </w:pPr>
          </w:p>
        </w:tc>
        <w:tc>
          <w:tcPr>
            <w:tcW w:w="1595" w:type="dxa"/>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top"/>
          </w:tcPr>
          <w:p>
            <w:pPr>
              <w:keepNext w:val="0"/>
              <w:keepLines w:val="0"/>
              <w:widowControl/>
              <w:suppressLineNumbers w:val="0"/>
              <w:spacing w:before="0" w:beforeAutospacing="0" w:after="0" w:afterAutospacing="0"/>
              <w:ind w:left="0" w:right="0"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vAlign w:val="top"/>
          </w:tcPr>
          <w:p>
            <w:pPr>
              <w:keepNext w:val="0"/>
              <w:keepLines w:val="0"/>
              <w:widowControl/>
              <w:suppressLineNumbers w:val="0"/>
              <w:spacing w:before="0" w:beforeAutospacing="0" w:after="0" w:afterAutospacing="0"/>
              <w:ind w:left="0" w:right="0"/>
              <w:outlineLvl w:val="1"/>
              <w:rPr>
                <w:rFonts w:hint="default" w:ascii="仿宋_GB2312" w:hAnsi="宋体" w:eastAsia="仿宋_GB2312"/>
                <w:b/>
                <w:color w:val="auto"/>
                <w:kern w:val="0"/>
                <w:sz w:val="28"/>
                <w:szCs w:val="32"/>
                <w:highlight w:val="none"/>
                <w:vertAlign w:val="baseline"/>
              </w:rPr>
            </w:pPr>
          </w:p>
        </w:tc>
        <w:tc>
          <w:tcPr>
            <w:tcW w:w="1314" w:type="dxa"/>
            <w:vAlign w:val="top"/>
          </w:tcPr>
          <w:p>
            <w:pPr>
              <w:keepNext w:val="0"/>
              <w:keepLines w:val="0"/>
              <w:widowControl/>
              <w:suppressLineNumbers w:val="0"/>
              <w:spacing w:before="0" w:beforeAutospacing="0" w:after="0" w:afterAutospacing="0"/>
              <w:ind w:left="0" w:right="0"/>
              <w:outlineLvl w:val="1"/>
              <w:rPr>
                <w:rFonts w:hint="default" w:ascii="仿宋_GB2312" w:hAnsi="宋体" w:eastAsia="仿宋_GB2312"/>
                <w:b/>
                <w:color w:val="auto"/>
                <w:kern w:val="0"/>
                <w:sz w:val="28"/>
                <w:szCs w:val="32"/>
                <w:highlight w:val="none"/>
                <w:vertAlign w:val="baseline"/>
              </w:rPr>
            </w:pPr>
          </w:p>
        </w:tc>
        <w:tc>
          <w:tcPr>
            <w:tcW w:w="1595" w:type="dxa"/>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vAlign w:val="top"/>
          </w:tcPr>
          <w:p>
            <w:pPr>
              <w:keepNext w:val="0"/>
              <w:keepLines w:val="0"/>
              <w:widowControl/>
              <w:suppressLineNumbers w:val="0"/>
              <w:spacing w:before="0" w:beforeAutospacing="0" w:after="0" w:afterAutospacing="0"/>
              <w:ind w:left="0" w:right="0"/>
              <w:outlineLvl w:val="1"/>
              <w:rPr>
                <w:rFonts w:hint="default" w:ascii="仿宋_GB2312" w:hAnsi="宋体" w:eastAsia="仿宋_GB2312"/>
                <w:b/>
                <w:color w:val="auto"/>
                <w:kern w:val="0"/>
                <w:sz w:val="28"/>
                <w:szCs w:val="32"/>
                <w:highlight w:val="none"/>
                <w:vertAlign w:val="baseline"/>
              </w:rPr>
            </w:pPr>
          </w:p>
        </w:tc>
        <w:tc>
          <w:tcPr>
            <w:tcW w:w="1314" w:type="dxa"/>
            <w:vAlign w:val="top"/>
          </w:tcPr>
          <w:p>
            <w:pPr>
              <w:keepNext w:val="0"/>
              <w:keepLines w:val="0"/>
              <w:widowControl/>
              <w:suppressLineNumbers w:val="0"/>
              <w:spacing w:before="0" w:beforeAutospacing="0" w:after="0" w:afterAutospacing="0"/>
              <w:ind w:left="0" w:right="0"/>
              <w:outlineLvl w:val="1"/>
              <w:rPr>
                <w:rFonts w:hint="default" w:ascii="仿宋_GB2312" w:hAnsi="宋体" w:eastAsia="仿宋_GB2312"/>
                <w:b/>
                <w:color w:val="auto"/>
                <w:kern w:val="0"/>
                <w:sz w:val="28"/>
                <w:szCs w:val="32"/>
                <w:highlight w:val="none"/>
                <w:vertAlign w:val="baseline"/>
              </w:rPr>
            </w:pPr>
          </w:p>
        </w:tc>
        <w:tc>
          <w:tcPr>
            <w:tcW w:w="1595" w:type="dxa"/>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r>
    </w:tbl>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spacing w:line="600" w:lineRule="exact"/>
        <w:ind w:firstLine="2891" w:firstLineChars="900"/>
        <w:jc w:val="both"/>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b/>
          <w:color w:val="auto"/>
          <w:kern w:val="0"/>
          <w:sz w:val="32"/>
          <w:szCs w:val="32"/>
          <w:highlight w:val="none"/>
          <w:lang w:val="en-US" w:eastAsia="zh-Hans"/>
        </w:rPr>
        <w:t>上年结转</w:t>
      </w:r>
      <w:r>
        <w:rPr>
          <w:rFonts w:hint="eastAsia" w:ascii="仿宋_GB2312" w:hAnsi="宋体" w:eastAsia="仿宋_GB2312"/>
          <w:b/>
          <w:color w:val="auto"/>
          <w:kern w:val="0"/>
          <w:sz w:val="32"/>
          <w:szCs w:val="32"/>
          <w:highlight w:val="none"/>
          <w:lang w:val="en-US" w:eastAsia="zh-CN"/>
        </w:rPr>
        <w:t>结余</w:t>
      </w:r>
      <w:r>
        <w:rPr>
          <w:rFonts w:hint="eastAsia" w:ascii="仿宋_GB2312" w:hAnsi="宋体" w:eastAsia="仿宋_GB2312"/>
          <w:b/>
          <w:color w:val="auto"/>
          <w:kern w:val="0"/>
          <w:sz w:val="32"/>
          <w:szCs w:val="32"/>
          <w:highlight w:val="none"/>
          <w:lang w:val="en-US" w:eastAsia="zh-Hans"/>
        </w:rPr>
        <w:t>情况明细表</w:t>
      </w:r>
    </w:p>
    <w:p>
      <w:pPr>
        <w:widowControl/>
        <w:jc w:val="both"/>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val="en-US" w:eastAsia="zh-CN"/>
        </w:rPr>
        <w:t>昌吉州青少年示范性综合实践基地服务中心</w:t>
      </w:r>
      <w:r>
        <w:rPr>
          <w:rFonts w:hint="eastAsia" w:ascii="仿宋_GB2312" w:hAnsi="宋体" w:eastAsia="仿宋_GB2312"/>
          <w:color w:val="auto"/>
          <w:kern w:val="0"/>
          <w:sz w:val="24"/>
          <w:highlight w:val="none"/>
        </w:rPr>
        <w:t xml:space="preserve">            单位：万元</w:t>
      </w:r>
    </w:p>
    <w:tbl>
      <w:tblPr>
        <w:tblStyle w:val="10"/>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50"/>
        <w:gridCol w:w="1054"/>
        <w:gridCol w:w="890"/>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restart"/>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50" w:type="dxa"/>
            <w:vMerge w:val="restart"/>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3869" w:type="dxa"/>
            <w:gridSpan w:val="4"/>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p>
        </w:tc>
        <w:tc>
          <w:tcPr>
            <w:tcW w:w="850" w:type="dxa"/>
            <w:vMerge w:val="continue"/>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054" w:type="dxa"/>
            <w:vMerge w:val="restart"/>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小计</w:t>
            </w:r>
          </w:p>
        </w:tc>
        <w:tc>
          <w:tcPr>
            <w:tcW w:w="1604" w:type="dxa"/>
            <w:gridSpan w:val="2"/>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小计</w:t>
            </w:r>
          </w:p>
        </w:tc>
        <w:tc>
          <w:tcPr>
            <w:tcW w:w="1604" w:type="dxa"/>
            <w:gridSpan w:val="2"/>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850" w:type="dxa"/>
            <w:vMerge w:val="continue"/>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054" w:type="dxa"/>
            <w:vMerge w:val="continue"/>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890" w:type="dxa"/>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797" w:type="dxa"/>
            <w:vMerge w:val="continue"/>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723" w:type="dxa"/>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850"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054"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890" w:type="dxa"/>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797"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723"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881"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211"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850"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054"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890" w:type="dxa"/>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797"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723"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881"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211"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850"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054"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890" w:type="dxa"/>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797"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723"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881"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211"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287"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850" w:type="dxa"/>
            <w:vAlign w:val="center"/>
          </w:tcPr>
          <w:p>
            <w:pPr>
              <w:keepNext w:val="0"/>
              <w:keepLines w:val="0"/>
              <w:suppressLineNumbers w:val="0"/>
              <w:spacing w:before="0" w:beforeAutospacing="0" w:after="0" w:afterAutospacing="0" w:line="600" w:lineRule="exact"/>
              <w:ind w:left="0" w:right="0"/>
              <w:jc w:val="center"/>
              <w:rPr>
                <w:rFonts w:hint="eastAsia" w:ascii="仿宋" w:hAnsi="仿宋" w:eastAsia="仿宋" w:cs="仿宋_GB2312"/>
                <w:bCs/>
                <w:color w:val="auto"/>
                <w:kern w:val="0"/>
                <w:sz w:val="28"/>
                <w:szCs w:val="28"/>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1054"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890" w:type="dxa"/>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797"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723"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881"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211"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r>
    </w:tbl>
    <w:p>
      <w:pPr>
        <w:spacing w:line="240" w:lineRule="auto"/>
        <w:jc w:val="left"/>
        <w:rPr>
          <w:rFonts w:hint="eastAsia" w:ascii="仿宋_GB2312" w:hAnsi="宋体" w:eastAsia="仿宋_GB2312"/>
          <w:b w:val="0"/>
          <w:bCs/>
          <w:color w:val="auto"/>
          <w:kern w:val="0"/>
          <w:sz w:val="28"/>
          <w:szCs w:val="32"/>
          <w:highlight w:val="none"/>
          <w:lang w:val="en-US" w:eastAsia="zh-CN"/>
        </w:rPr>
      </w:pPr>
      <w:r>
        <w:rPr>
          <w:rFonts w:hint="eastAsia" w:ascii="仿宋_GB2312" w:hAnsi="宋体" w:eastAsia="仿宋_GB2312" w:cs="宋体"/>
          <w:color w:val="auto"/>
          <w:kern w:val="0"/>
          <w:sz w:val="20"/>
          <w:szCs w:val="20"/>
          <w:highlight w:val="none"/>
        </w:rPr>
        <w:t>昌吉州青少年示范性综合实践基地</w:t>
      </w:r>
      <w:r>
        <w:rPr>
          <w:rFonts w:hint="eastAsia" w:ascii="仿宋_GB2312" w:hAnsi="宋体" w:eastAsia="仿宋_GB2312" w:cs="宋体"/>
          <w:color w:val="auto"/>
          <w:kern w:val="0"/>
          <w:sz w:val="20"/>
          <w:szCs w:val="20"/>
          <w:highlight w:val="none"/>
          <w:lang w:val="en-US" w:eastAsia="zh-CN"/>
        </w:rPr>
        <w:t>服务</w:t>
      </w:r>
      <w:r>
        <w:rPr>
          <w:rFonts w:hint="eastAsia" w:ascii="仿宋_GB2312" w:hAnsi="宋体" w:eastAsia="仿宋_GB2312" w:cs="宋体"/>
          <w:color w:val="auto"/>
          <w:kern w:val="0"/>
          <w:sz w:val="20"/>
          <w:szCs w:val="20"/>
          <w:highlight w:val="none"/>
        </w:rPr>
        <w:t>中心</w:t>
      </w:r>
      <w:r>
        <w:rPr>
          <w:rFonts w:hint="eastAsia" w:ascii="仿宋_GB2312" w:hAnsi="宋体" w:eastAsia="仿宋_GB2312" w:cs="宋体"/>
          <w:color w:val="auto"/>
          <w:kern w:val="0"/>
          <w:sz w:val="20"/>
          <w:szCs w:val="20"/>
          <w:highlight w:val="none"/>
          <w:lang w:eastAsia="zh-CN"/>
        </w:rPr>
        <w:t>，202</w:t>
      </w:r>
      <w:r>
        <w:rPr>
          <w:rFonts w:hint="eastAsia" w:ascii="仿宋_GB2312" w:hAnsi="宋体" w:eastAsia="仿宋_GB2312" w:cs="宋体"/>
          <w:color w:val="auto"/>
          <w:kern w:val="0"/>
          <w:sz w:val="20"/>
          <w:szCs w:val="20"/>
          <w:highlight w:val="none"/>
          <w:lang w:val="en-US" w:eastAsia="zh-CN"/>
        </w:rPr>
        <w:t>5</w:t>
      </w:r>
      <w:r>
        <w:rPr>
          <w:rFonts w:hint="eastAsia" w:ascii="仿宋_GB2312" w:hAnsi="宋体" w:eastAsia="仿宋_GB2312" w:cs="宋体"/>
          <w:color w:val="auto"/>
          <w:kern w:val="0"/>
          <w:sz w:val="20"/>
          <w:szCs w:val="20"/>
          <w:highlight w:val="none"/>
          <w:lang w:eastAsia="zh-CN"/>
        </w:rPr>
        <w:t>年没有</w:t>
      </w:r>
      <w:r>
        <w:rPr>
          <w:rFonts w:hint="eastAsia" w:ascii="仿宋_GB2312" w:hAnsi="宋体" w:eastAsia="仿宋_GB2312" w:cs="宋体"/>
          <w:color w:val="auto"/>
          <w:kern w:val="0"/>
          <w:sz w:val="20"/>
          <w:szCs w:val="20"/>
          <w:highlight w:val="none"/>
          <w:lang w:val="en-US" w:eastAsia="zh-CN"/>
        </w:rPr>
        <w:t>上年结转结余情况</w:t>
      </w:r>
      <w:r>
        <w:rPr>
          <w:rFonts w:hint="eastAsia" w:ascii="仿宋_GB2312" w:hAnsi="宋体" w:eastAsia="仿宋_GB2312" w:cs="宋体"/>
          <w:color w:val="auto"/>
          <w:kern w:val="0"/>
          <w:sz w:val="20"/>
          <w:szCs w:val="20"/>
          <w:highlight w:val="none"/>
          <w:lang w:eastAsia="zh-CN"/>
        </w:rPr>
        <w:t>，</w:t>
      </w:r>
      <w:r>
        <w:rPr>
          <w:rFonts w:hint="eastAsia" w:ascii="仿宋_GB2312" w:hAnsi="宋体" w:eastAsia="仿宋_GB2312" w:cs="宋体"/>
          <w:color w:val="auto"/>
          <w:kern w:val="0"/>
          <w:sz w:val="20"/>
          <w:szCs w:val="20"/>
          <w:highlight w:val="none"/>
          <w:lang w:val="en-US" w:eastAsia="zh-Hans"/>
        </w:rPr>
        <w:t>上年结转</w:t>
      </w:r>
      <w:r>
        <w:rPr>
          <w:rFonts w:hint="eastAsia" w:ascii="仿宋_GB2312" w:hAnsi="宋体" w:eastAsia="仿宋_GB2312" w:cs="宋体"/>
          <w:color w:val="auto"/>
          <w:kern w:val="0"/>
          <w:sz w:val="20"/>
          <w:szCs w:val="20"/>
          <w:highlight w:val="none"/>
          <w:lang w:val="en-US" w:eastAsia="zh-CN"/>
        </w:rPr>
        <w:t>结余</w:t>
      </w:r>
      <w:r>
        <w:rPr>
          <w:rFonts w:hint="eastAsia" w:ascii="仿宋_GB2312" w:hAnsi="宋体" w:eastAsia="仿宋_GB2312" w:cs="宋体"/>
          <w:color w:val="auto"/>
          <w:kern w:val="0"/>
          <w:sz w:val="20"/>
          <w:szCs w:val="20"/>
          <w:highlight w:val="none"/>
          <w:lang w:val="en-US" w:eastAsia="zh-Hans"/>
        </w:rPr>
        <w:t>情况明细表</w:t>
      </w:r>
      <w:r>
        <w:rPr>
          <w:rFonts w:hint="eastAsia" w:ascii="仿宋_GB2312" w:hAnsi="宋体" w:eastAsia="仿宋_GB2312" w:cs="宋体"/>
          <w:color w:val="auto"/>
          <w:kern w:val="0"/>
          <w:sz w:val="20"/>
          <w:szCs w:val="20"/>
          <w:highlight w:val="none"/>
          <w:lang w:val="en-US" w:eastAsia="zh-CN"/>
        </w:rPr>
        <w:t>为空表。</w:t>
      </w:r>
      <w:r>
        <w:rPr>
          <w:rFonts w:hint="eastAsia" w:ascii="仿宋_GB2312" w:hAnsi="宋体" w:eastAsia="仿宋_GB2312"/>
          <w:b w:val="0"/>
          <w:bCs/>
          <w:color w:val="auto"/>
          <w:kern w:val="0"/>
          <w:sz w:val="28"/>
          <w:szCs w:val="32"/>
          <w:highlight w:val="none"/>
          <w:lang w:val="en-US" w:eastAsia="zh-CN"/>
        </w:rPr>
        <w:t xml:space="preserve">    </w:t>
      </w:r>
    </w:p>
    <w:p>
      <w:pPr>
        <w:widowControl/>
        <w:outlineLvl w:val="1"/>
        <w:rPr>
          <w:rFonts w:hint="eastAsia" w:ascii="仿宋_GB2312" w:hAnsi="宋体" w:eastAsia="仿宋_GB2312"/>
          <w:b/>
          <w:color w:val="auto"/>
          <w:kern w:val="0"/>
          <w:sz w:val="28"/>
          <w:szCs w:val="32"/>
          <w:highlight w:val="none"/>
          <w:lang w:eastAsia="zh-CN"/>
        </w:rPr>
      </w:pPr>
    </w:p>
    <w:p>
      <w:pPr>
        <w:widowControl/>
        <w:outlineLvl w:val="1"/>
        <w:rPr>
          <w:rFonts w:hint="eastAsia" w:ascii="仿宋_GB2312" w:hAnsi="宋体" w:eastAsia="仿宋_GB2312"/>
          <w:b/>
          <w:color w:val="auto"/>
          <w:kern w:val="0"/>
          <w:sz w:val="28"/>
          <w:szCs w:val="32"/>
          <w:highlight w:val="none"/>
          <w:lang w:eastAsia="zh-CN"/>
        </w:rPr>
      </w:pPr>
    </w:p>
    <w:p>
      <w:pPr>
        <w:widowControl/>
        <w:ind w:firstLine="1920" w:firstLineChars="600"/>
        <w:outlineLvl w:val="1"/>
        <w:rPr>
          <w:rFonts w:hint="eastAsia" w:ascii="黑体" w:hAnsi="黑体" w:eastAsia="黑体"/>
          <w:color w:val="auto"/>
          <w:kern w:val="0"/>
          <w:sz w:val="32"/>
          <w:szCs w:val="32"/>
          <w:highlight w:val="none"/>
        </w:rPr>
      </w:pPr>
    </w:p>
    <w:p>
      <w:pPr>
        <w:widowControl/>
        <w:ind w:firstLine="1920" w:firstLineChars="600"/>
        <w:outlineLvl w:val="1"/>
        <w:rPr>
          <w:rFonts w:hint="eastAsia" w:ascii="黑体" w:hAnsi="黑体" w:eastAsia="黑体"/>
          <w:color w:val="auto"/>
          <w:kern w:val="0"/>
          <w:sz w:val="32"/>
          <w:szCs w:val="32"/>
          <w:highlight w:val="none"/>
        </w:rPr>
      </w:pPr>
    </w:p>
    <w:p>
      <w:pPr>
        <w:widowControl/>
        <w:ind w:firstLine="1920" w:firstLineChars="600"/>
        <w:outlineLvl w:val="1"/>
        <w:rPr>
          <w:rFonts w:hint="eastAsia" w:ascii="黑体" w:hAnsi="黑体" w:eastAsia="黑体"/>
          <w:color w:val="auto"/>
          <w:kern w:val="0"/>
          <w:sz w:val="32"/>
          <w:szCs w:val="32"/>
          <w:highlight w:val="none"/>
        </w:rPr>
      </w:pPr>
    </w:p>
    <w:p>
      <w:pPr>
        <w:widowControl/>
        <w:ind w:firstLine="1920" w:firstLineChars="600"/>
        <w:outlineLvl w:val="1"/>
        <w:rPr>
          <w:rFonts w:hint="eastAsia" w:ascii="黑体" w:hAnsi="黑体" w:eastAsia="黑体"/>
          <w:color w:val="auto"/>
          <w:kern w:val="0"/>
          <w:sz w:val="32"/>
          <w:szCs w:val="32"/>
          <w:highlight w:val="none"/>
        </w:rPr>
      </w:pPr>
    </w:p>
    <w:p>
      <w:pPr>
        <w:pStyle w:val="2"/>
        <w:rPr>
          <w:rFonts w:hint="eastAsia" w:ascii="黑体" w:hAnsi="黑体" w:eastAsia="黑体"/>
          <w:color w:val="auto"/>
          <w:kern w:val="0"/>
          <w:sz w:val="32"/>
          <w:szCs w:val="32"/>
          <w:highlight w:val="none"/>
        </w:rPr>
      </w:pPr>
    </w:p>
    <w:p>
      <w:pPr>
        <w:pStyle w:val="2"/>
        <w:rPr>
          <w:rFonts w:hint="eastAsia" w:ascii="黑体" w:hAnsi="黑体" w:eastAsia="黑体"/>
          <w:color w:val="auto"/>
          <w:kern w:val="0"/>
          <w:sz w:val="32"/>
          <w:szCs w:val="32"/>
          <w:highlight w:val="none"/>
        </w:rPr>
      </w:pPr>
    </w:p>
    <w:p>
      <w:pPr>
        <w:pStyle w:val="2"/>
        <w:rPr>
          <w:rFonts w:hint="eastAsia" w:ascii="黑体" w:hAnsi="黑体" w:eastAsia="黑体"/>
          <w:color w:val="auto"/>
          <w:kern w:val="0"/>
          <w:sz w:val="32"/>
          <w:szCs w:val="32"/>
          <w:highlight w:val="none"/>
        </w:rPr>
      </w:pPr>
    </w:p>
    <w:p>
      <w:pPr>
        <w:pStyle w:val="2"/>
        <w:rPr>
          <w:rFonts w:hint="eastAsia" w:ascii="黑体" w:hAnsi="黑体" w:eastAsia="黑体"/>
          <w:color w:val="auto"/>
          <w:kern w:val="0"/>
          <w:sz w:val="32"/>
          <w:szCs w:val="32"/>
          <w:highlight w:val="none"/>
        </w:rPr>
      </w:pPr>
    </w:p>
    <w:p>
      <w:pPr>
        <w:pStyle w:val="2"/>
        <w:rPr>
          <w:rFonts w:hint="eastAsia" w:ascii="黑体" w:hAnsi="黑体" w:eastAsia="黑体"/>
          <w:color w:val="auto"/>
          <w:kern w:val="0"/>
          <w:sz w:val="32"/>
          <w:szCs w:val="32"/>
          <w:highlight w:val="none"/>
        </w:rPr>
      </w:pPr>
    </w:p>
    <w:p>
      <w:pPr>
        <w:pStyle w:val="2"/>
        <w:rPr>
          <w:rFonts w:hint="eastAsia" w:ascii="黑体" w:hAnsi="黑体" w:eastAsia="黑体"/>
          <w:color w:val="auto"/>
          <w:kern w:val="0"/>
          <w:sz w:val="32"/>
          <w:szCs w:val="32"/>
          <w:highlight w:val="none"/>
        </w:rPr>
      </w:pPr>
    </w:p>
    <w:p>
      <w:pPr>
        <w:pStyle w:val="2"/>
        <w:rPr>
          <w:rFonts w:hint="eastAsia" w:ascii="黑体" w:hAnsi="黑体" w:eastAsia="黑体"/>
          <w:color w:val="auto"/>
          <w:kern w:val="0"/>
          <w:sz w:val="32"/>
          <w:szCs w:val="32"/>
          <w:highlight w:val="none"/>
        </w:rPr>
      </w:pPr>
    </w:p>
    <w:p>
      <w:pPr>
        <w:pStyle w:val="2"/>
        <w:rPr>
          <w:rFonts w:hint="eastAsia" w:ascii="黑体" w:hAnsi="黑体" w:eastAsia="黑体"/>
          <w:color w:val="auto"/>
          <w:kern w:val="0"/>
          <w:sz w:val="32"/>
          <w:szCs w:val="32"/>
          <w:highlight w:val="none"/>
        </w:rPr>
      </w:pPr>
    </w:p>
    <w:p>
      <w:pPr>
        <w:pStyle w:val="2"/>
        <w:rPr>
          <w:rFonts w:hint="eastAsia" w:ascii="黑体" w:hAnsi="黑体" w:eastAsia="黑体"/>
          <w:color w:val="auto"/>
          <w:kern w:val="0"/>
          <w:sz w:val="32"/>
          <w:szCs w:val="32"/>
          <w:highlight w:val="none"/>
        </w:rPr>
      </w:pPr>
    </w:p>
    <w:p>
      <w:pPr>
        <w:widowControl/>
        <w:ind w:firstLine="1920" w:firstLineChars="600"/>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val="en-US" w:eastAsia="zh-CN"/>
        </w:rPr>
        <w:t>2025</w:t>
      </w:r>
      <w:r>
        <w:rPr>
          <w:rFonts w:hint="eastAsia" w:ascii="黑体" w:hAnsi="黑体" w:eastAsia="黑体"/>
          <w:color w:val="auto"/>
          <w:kern w:val="0"/>
          <w:sz w:val="32"/>
          <w:szCs w:val="32"/>
          <w:highlight w:val="none"/>
        </w:rPr>
        <w:t>年</w:t>
      </w:r>
      <w:r>
        <w:rPr>
          <w:rFonts w:hint="eastAsia" w:ascii="黑体" w:hAnsi="黑体" w:eastAsia="黑体"/>
          <w:color w:val="auto"/>
          <w:kern w:val="0"/>
          <w:sz w:val="32"/>
          <w:szCs w:val="32"/>
          <w:highlight w:val="none"/>
          <w:lang w:eastAsia="zh-CN"/>
        </w:rPr>
        <w:t>部门</w:t>
      </w:r>
      <w:r>
        <w:rPr>
          <w:rFonts w:hint="eastAsia" w:ascii="黑体" w:hAnsi="黑体" w:eastAsia="黑体"/>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bCs w:val="0"/>
          <w:color w:val="auto"/>
          <w:kern w:val="0"/>
          <w:sz w:val="32"/>
          <w:szCs w:val="32"/>
          <w:highlight w:val="none"/>
          <w:lang w:eastAsia="zh-CN"/>
        </w:rPr>
        <w:t>昌吉州青少年示范性综合实践基地</w:t>
      </w:r>
      <w:r>
        <w:rPr>
          <w:rFonts w:hint="eastAsia" w:ascii="楷体_GB2312" w:hAnsi="楷体_GB2312" w:eastAsia="楷体_GB2312" w:cs="楷体_GB2312"/>
          <w:b/>
          <w:bCs w:val="0"/>
          <w:color w:val="auto"/>
          <w:kern w:val="0"/>
          <w:sz w:val="32"/>
          <w:szCs w:val="32"/>
          <w:highlight w:val="none"/>
          <w:lang w:val="en-US" w:eastAsia="zh-CN"/>
        </w:rPr>
        <w:t>服务</w:t>
      </w:r>
      <w:r>
        <w:rPr>
          <w:rFonts w:hint="eastAsia" w:ascii="楷体_GB2312" w:hAnsi="楷体_GB2312" w:eastAsia="楷体_GB2312" w:cs="楷体_GB2312"/>
          <w:b/>
          <w:bCs w:val="0"/>
          <w:color w:val="auto"/>
          <w:kern w:val="0"/>
          <w:sz w:val="32"/>
          <w:szCs w:val="32"/>
          <w:highlight w:val="none"/>
          <w:lang w:eastAsia="zh-CN"/>
        </w:rPr>
        <w:t>中心</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val="0"/>
          <w:color w:val="auto"/>
          <w:kern w:val="0"/>
          <w:sz w:val="32"/>
          <w:szCs w:val="32"/>
          <w:highlight w:val="none"/>
        </w:rPr>
        <w:t>年收支预算情况的总体说明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w:t>
      </w:r>
      <w:r>
        <w:rPr>
          <w:rFonts w:hint="eastAsia" w:ascii="仿宋_GB2312" w:hAnsi="宋体" w:eastAsia="仿宋_GB2312" w:cs="宋体"/>
          <w:color w:val="auto"/>
          <w:kern w:val="0"/>
          <w:sz w:val="32"/>
          <w:szCs w:val="32"/>
          <w:highlight w:val="none"/>
          <w:lang w:val="en-US" w:eastAsia="zh-CN"/>
        </w:rPr>
        <w:t>昌吉州青少年示范性综合实践基地服务中心2025</w:t>
      </w:r>
      <w:r>
        <w:rPr>
          <w:rFonts w:hint="eastAsia" w:ascii="仿宋_GB2312" w:hAnsi="宋体" w:eastAsia="仿宋_GB2312" w:cs="宋体"/>
          <w:color w:val="auto"/>
          <w:kern w:val="0"/>
          <w:sz w:val="32"/>
          <w:szCs w:val="32"/>
          <w:highlight w:val="none"/>
        </w:rPr>
        <w:t>年所有收入和支出均纳入</w:t>
      </w:r>
      <w:r>
        <w:rPr>
          <w:rFonts w:hint="eastAsia" w:ascii="仿宋_GB2312" w:hAnsi="宋体" w:eastAsia="仿宋_GB2312" w:cs="宋体"/>
          <w:color w:val="auto"/>
          <w:kern w:val="0"/>
          <w:sz w:val="32"/>
          <w:szCs w:val="32"/>
          <w:highlight w:val="none"/>
          <w:lang w:eastAsia="zh-CN"/>
        </w:rPr>
        <w:t>部门</w:t>
      </w:r>
      <w:r>
        <w:rPr>
          <w:rFonts w:hint="eastAsia" w:ascii="仿宋_GB2312" w:hAnsi="宋体" w:eastAsia="仿宋_GB2312" w:cs="宋体"/>
          <w:color w:val="auto"/>
          <w:kern w:val="0"/>
          <w:sz w:val="32"/>
          <w:szCs w:val="32"/>
          <w:highlight w:val="none"/>
        </w:rPr>
        <w:t>预算管理。收支总预算</w:t>
      </w:r>
      <w:r>
        <w:rPr>
          <w:rFonts w:hint="eastAsia" w:ascii="仿宋_GB2312" w:hAnsi="宋体" w:eastAsia="仿宋_GB2312" w:cs="宋体"/>
          <w:color w:val="auto"/>
          <w:kern w:val="0"/>
          <w:sz w:val="32"/>
          <w:szCs w:val="32"/>
          <w:highlight w:val="none"/>
          <w:lang w:val="en-US" w:eastAsia="zh-CN"/>
        </w:rPr>
        <w:t>299.48</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color w:val="auto"/>
          <w:kern w:val="0"/>
          <w:sz w:val="32"/>
          <w:szCs w:val="32"/>
          <w:highlight w:val="none"/>
        </w:rPr>
        <w:t>收入预算包括：一般公共预算、</w:t>
      </w:r>
      <w:r>
        <w:rPr>
          <w:rFonts w:hint="eastAsia" w:ascii="仿宋_GB2312" w:hAnsi="宋体" w:eastAsia="仿宋_GB2312" w:cs="宋体"/>
          <w:kern w:val="0"/>
          <w:sz w:val="32"/>
          <w:szCs w:val="32"/>
          <w:highlight w:val="none"/>
          <w:lang w:val="en-US" w:eastAsia="zh-Hans"/>
        </w:rPr>
        <w:t>单位资金</w:t>
      </w:r>
      <w:r>
        <w:rPr>
          <w:rFonts w:hint="eastAsia" w:ascii="仿宋_GB2312" w:hAnsi="宋体" w:eastAsia="仿宋_GB2312" w:cs="宋体"/>
          <w:kern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rPr>
        <w:t>支出预算包括：教育支出</w:t>
      </w:r>
      <w:r>
        <w:rPr>
          <w:rFonts w:hint="eastAsia" w:ascii="仿宋_GB2312" w:hAnsi="宋体" w:eastAsia="仿宋_GB2312" w:cs="宋体"/>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bCs w:val="0"/>
          <w:color w:val="auto"/>
          <w:kern w:val="0"/>
          <w:sz w:val="32"/>
          <w:szCs w:val="32"/>
          <w:highlight w:val="none"/>
          <w:lang w:eastAsia="zh-CN"/>
        </w:rPr>
        <w:t>昌吉州青少年示范性综合实践基地</w:t>
      </w:r>
      <w:r>
        <w:rPr>
          <w:rFonts w:hint="eastAsia" w:ascii="楷体_GB2312" w:hAnsi="楷体_GB2312" w:eastAsia="楷体_GB2312" w:cs="楷体_GB2312"/>
          <w:b/>
          <w:bCs w:val="0"/>
          <w:color w:val="auto"/>
          <w:kern w:val="0"/>
          <w:sz w:val="32"/>
          <w:szCs w:val="32"/>
          <w:highlight w:val="none"/>
          <w:lang w:val="en-US" w:eastAsia="zh-CN"/>
        </w:rPr>
        <w:t>服务</w:t>
      </w:r>
      <w:r>
        <w:rPr>
          <w:rFonts w:hint="eastAsia" w:ascii="楷体_GB2312" w:hAnsi="楷体_GB2312" w:eastAsia="楷体_GB2312" w:cs="楷体_GB2312"/>
          <w:b/>
          <w:bCs w:val="0"/>
          <w:color w:val="auto"/>
          <w:kern w:val="0"/>
          <w:sz w:val="32"/>
          <w:szCs w:val="32"/>
          <w:highlight w:val="none"/>
          <w:lang w:eastAsia="zh-CN"/>
        </w:rPr>
        <w:t>中心</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color w:val="auto"/>
          <w:kern w:val="0"/>
          <w:sz w:val="32"/>
          <w:szCs w:val="32"/>
          <w:highlight w:val="none"/>
        </w:rPr>
        <w:t>年收入预算情况说明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昌吉州青少年示范性综合实践基地服务中心</w:t>
      </w:r>
      <w:r>
        <w:rPr>
          <w:rFonts w:hint="eastAsia" w:ascii="仿宋_GB2312" w:hAnsi="宋体" w:eastAsia="仿宋_GB2312" w:cs="宋体"/>
          <w:color w:val="auto"/>
          <w:kern w:val="0"/>
          <w:sz w:val="32"/>
          <w:szCs w:val="32"/>
          <w:highlight w:val="none"/>
          <w:lang w:eastAsia="zh-CN"/>
        </w:rPr>
        <w:t>部门</w:t>
      </w:r>
      <w:r>
        <w:rPr>
          <w:rFonts w:hint="eastAsia" w:ascii="仿宋_GB2312" w:hAnsi="宋体" w:eastAsia="仿宋_GB2312" w:cs="宋体"/>
          <w:color w:val="auto"/>
          <w:kern w:val="0"/>
          <w:sz w:val="32"/>
          <w:szCs w:val="32"/>
          <w:highlight w:val="none"/>
        </w:rPr>
        <w:t>收入预算</w:t>
      </w:r>
      <w:r>
        <w:rPr>
          <w:rFonts w:hint="eastAsia" w:ascii="仿宋_GB2312" w:hAnsi="宋体" w:eastAsia="仿宋_GB2312" w:cs="宋体"/>
          <w:color w:val="auto"/>
          <w:kern w:val="0"/>
          <w:sz w:val="32"/>
          <w:szCs w:val="32"/>
          <w:highlight w:val="none"/>
          <w:lang w:val="en-US" w:eastAsia="zh-CN"/>
        </w:rPr>
        <w:t>299.48</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CN"/>
        </w:rPr>
        <w:t>226.03</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75.47</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83.01</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58.04%，</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因机构改革，原活动中心的办公用房调拨至我部门，取暖面积和金额增加。</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eastAsia="zh-Hans"/>
        </w:rPr>
      </w:pP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安排的转移支付资金</w:t>
      </w:r>
      <w:r>
        <w:rPr>
          <w:rFonts w:hint="eastAsia" w:ascii="仿宋_GB2312" w:hAnsi="宋体" w:eastAsia="仿宋_GB2312" w:cs="宋体"/>
          <w:color w:val="auto"/>
          <w:kern w:val="0"/>
          <w:sz w:val="32"/>
          <w:szCs w:val="32"/>
          <w:highlight w:val="none"/>
        </w:rPr>
        <w:t>未安排。</w:t>
      </w:r>
      <w:r>
        <w:rPr>
          <w:rFonts w:hint="default" w:ascii="仿宋_GB2312" w:hAnsi="宋体" w:eastAsia="仿宋_GB2312" w:cs="宋体"/>
          <w:color w:val="auto"/>
          <w:kern w:val="0"/>
          <w:sz w:val="32"/>
          <w:szCs w:val="32"/>
          <w:highlight w:val="none"/>
          <w:lang w:eastAsia="zh-Hans"/>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 xml:space="preserve">政府性基金预算未安排。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上级政府性基金安排的转移支付资金</w:t>
      </w:r>
      <w:r>
        <w:rPr>
          <w:rFonts w:hint="eastAsia" w:ascii="仿宋_GB2312" w:hAnsi="宋体" w:eastAsia="仿宋_GB2312" w:cs="宋体"/>
          <w:color w:val="auto"/>
          <w:kern w:val="0"/>
          <w:sz w:val="32"/>
          <w:szCs w:val="32"/>
          <w:highlight w:val="none"/>
        </w:rPr>
        <w:t>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国有资本经营</w:t>
      </w:r>
      <w:r>
        <w:rPr>
          <w:rFonts w:hint="eastAsia" w:ascii="仿宋_GB2312" w:hAnsi="宋体" w:eastAsia="仿宋_GB2312" w:cs="宋体"/>
          <w:color w:val="auto"/>
          <w:kern w:val="0"/>
          <w:sz w:val="32"/>
          <w:szCs w:val="32"/>
          <w:highlight w:val="none"/>
        </w:rPr>
        <w:t>预算未安排。</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宋体" w:eastAsia="仿宋_GB2312" w:cs="宋体"/>
          <w:color w:val="auto"/>
          <w:kern w:val="0"/>
          <w:sz w:val="32"/>
          <w:szCs w:val="32"/>
          <w:highlight w:val="none"/>
          <w:lang w:eastAsia="zh-Hans"/>
        </w:rPr>
      </w:pPr>
      <w:r>
        <w:rPr>
          <w:rFonts w:hint="eastAsia" w:ascii="仿宋_GB2312" w:hAnsi="宋体" w:eastAsia="仿宋_GB2312" w:cs="宋体"/>
          <w:color w:val="auto"/>
          <w:kern w:val="0"/>
          <w:sz w:val="32"/>
          <w:szCs w:val="32"/>
          <w:highlight w:val="none"/>
          <w:lang w:val="en-US" w:eastAsia="zh-Hans"/>
        </w:rPr>
        <w:t>上级国有资本经营预算安排的转移支付资金</w:t>
      </w:r>
      <w:r>
        <w:rPr>
          <w:rFonts w:hint="eastAsia" w:ascii="仿宋_GB2312" w:hAnsi="宋体" w:eastAsia="仿宋_GB2312" w:cs="宋体"/>
          <w:color w:val="auto"/>
          <w:kern w:val="0"/>
          <w:sz w:val="32"/>
          <w:szCs w:val="32"/>
          <w:highlight w:val="none"/>
        </w:rPr>
        <w:t>未安排。</w:t>
      </w:r>
      <w:r>
        <w:rPr>
          <w:rFonts w:hint="default" w:ascii="仿宋_GB2312" w:hAnsi="宋体" w:eastAsia="仿宋_GB2312" w:cs="宋体"/>
          <w:color w:val="auto"/>
          <w:kern w:val="0"/>
          <w:sz w:val="32"/>
          <w:szCs w:val="32"/>
          <w:highlight w:val="none"/>
          <w:lang w:eastAsia="zh-Hans"/>
        </w:rPr>
        <w:t xml:space="preserve">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73.45</w:t>
      </w:r>
      <w:r>
        <w:rPr>
          <w:rFonts w:hint="eastAsia" w:ascii="仿宋_GB2312" w:hAnsi="宋体" w:eastAsia="仿宋_GB2312" w:cs="宋体"/>
          <w:color w:val="auto"/>
          <w:kern w:val="0"/>
          <w:sz w:val="32"/>
          <w:szCs w:val="32"/>
          <w:highlight w:val="none"/>
        </w:rPr>
        <w:t xml:space="preserve"> 万元，占 </w:t>
      </w:r>
      <w:r>
        <w:rPr>
          <w:rFonts w:hint="eastAsia" w:ascii="仿宋_GB2312" w:hAnsi="宋体" w:eastAsia="仿宋_GB2312" w:cs="宋体"/>
          <w:color w:val="auto"/>
          <w:kern w:val="0"/>
          <w:sz w:val="32"/>
          <w:szCs w:val="32"/>
          <w:highlight w:val="none"/>
          <w:lang w:val="en-US" w:eastAsia="zh-CN"/>
        </w:rPr>
        <w:t xml:space="preserve">24.53 </w:t>
      </w:r>
      <w:r>
        <w:rPr>
          <w:rFonts w:hint="eastAsia" w:ascii="仿宋_GB2312" w:hAnsi="宋体" w:eastAsia="仿宋_GB2312" w:cs="宋体"/>
          <w:color w:val="auto"/>
          <w:kern w:val="0"/>
          <w:sz w:val="32"/>
          <w:szCs w:val="32"/>
          <w:highlight w:val="none"/>
        </w:rPr>
        <w:t>%，比上年预算</w:t>
      </w:r>
      <w:r>
        <w:rPr>
          <w:rFonts w:hint="eastAsia" w:ascii="仿宋_GB2312" w:hAnsi="宋体" w:eastAsia="仿宋_GB2312" w:cs="宋体"/>
          <w:color w:val="auto"/>
          <w:kern w:val="0"/>
          <w:sz w:val="32"/>
          <w:szCs w:val="32"/>
          <w:highlight w:val="none"/>
          <w:lang w:eastAsia="zh-CN"/>
        </w:rPr>
        <w:t>减少</w:t>
      </w:r>
      <w:r>
        <w:rPr>
          <w:rFonts w:hint="eastAsia" w:ascii="仿宋_GB2312" w:hAnsi="宋体" w:eastAsia="仿宋_GB2312" w:cs="宋体"/>
          <w:color w:val="auto"/>
          <w:kern w:val="0"/>
          <w:sz w:val="32"/>
          <w:szCs w:val="32"/>
          <w:highlight w:val="none"/>
          <w:lang w:val="en-US" w:eastAsia="zh-CN"/>
        </w:rPr>
        <w:t>15.25</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17.19%，</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2025年研学活动经费较上年减少，所以单位资金比上年预算减少15.25万元。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bCs w:val="0"/>
          <w:color w:val="auto"/>
          <w:kern w:val="0"/>
          <w:sz w:val="32"/>
          <w:szCs w:val="32"/>
          <w:highlight w:val="none"/>
          <w:lang w:eastAsia="zh-CN"/>
        </w:rPr>
        <w:t>昌吉州青少年示范性综合实践基地</w:t>
      </w:r>
      <w:r>
        <w:rPr>
          <w:rFonts w:hint="eastAsia" w:ascii="楷体_GB2312" w:hAnsi="楷体_GB2312" w:eastAsia="楷体_GB2312" w:cs="楷体_GB2312"/>
          <w:b/>
          <w:bCs w:val="0"/>
          <w:color w:val="auto"/>
          <w:kern w:val="0"/>
          <w:sz w:val="32"/>
          <w:szCs w:val="32"/>
          <w:highlight w:val="none"/>
          <w:lang w:val="en-US" w:eastAsia="zh-CN"/>
        </w:rPr>
        <w:t>服务</w:t>
      </w:r>
      <w:r>
        <w:rPr>
          <w:rFonts w:hint="eastAsia" w:ascii="楷体_GB2312" w:hAnsi="楷体_GB2312" w:eastAsia="楷体_GB2312" w:cs="楷体_GB2312"/>
          <w:b/>
          <w:bCs w:val="0"/>
          <w:color w:val="auto"/>
          <w:kern w:val="0"/>
          <w:sz w:val="32"/>
          <w:szCs w:val="32"/>
          <w:highlight w:val="none"/>
          <w:lang w:eastAsia="zh-CN"/>
        </w:rPr>
        <w:t>中心</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color w:val="auto"/>
          <w:kern w:val="0"/>
          <w:sz w:val="32"/>
          <w:szCs w:val="32"/>
          <w:highlight w:val="none"/>
        </w:rPr>
        <w:t>年支出预算情况说明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昌吉州青少年示范性综合实践基地服务中心2025</w:t>
      </w:r>
      <w:r>
        <w:rPr>
          <w:rFonts w:hint="eastAsia" w:ascii="仿宋_GB2312" w:hAnsi="宋体" w:eastAsia="仿宋_GB2312" w:cs="宋体"/>
          <w:color w:val="auto"/>
          <w:kern w:val="0"/>
          <w:sz w:val="32"/>
          <w:szCs w:val="32"/>
          <w:highlight w:val="none"/>
        </w:rPr>
        <w:t>年支出预算</w:t>
      </w:r>
      <w:r>
        <w:rPr>
          <w:rFonts w:hint="eastAsia" w:ascii="仿宋_GB2312" w:hAnsi="宋体" w:eastAsia="仿宋_GB2312" w:cs="宋体"/>
          <w:color w:val="auto"/>
          <w:kern w:val="0"/>
          <w:sz w:val="32"/>
          <w:szCs w:val="32"/>
          <w:highlight w:val="none"/>
          <w:lang w:val="en-US" w:eastAsia="zh-CN"/>
        </w:rPr>
        <w:t>299.48</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 xml:space="preserve"> 299.48</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 xml:space="preserve"> %，比上年预算增加</w:t>
      </w:r>
      <w:r>
        <w:rPr>
          <w:rFonts w:hint="eastAsia" w:ascii="仿宋_GB2312" w:hAnsi="宋体" w:eastAsia="仿宋_GB2312" w:cs="宋体"/>
          <w:color w:val="auto"/>
          <w:kern w:val="0"/>
          <w:sz w:val="32"/>
          <w:szCs w:val="32"/>
          <w:highlight w:val="none"/>
          <w:lang w:val="en-US" w:eastAsia="zh-CN"/>
        </w:rPr>
        <w:t>67.76</w:t>
      </w:r>
      <w:r>
        <w:rPr>
          <w:rFonts w:hint="eastAsia" w:ascii="仿宋_GB2312" w:hAnsi="宋体" w:eastAsia="仿宋_GB2312" w:cs="宋体"/>
          <w:color w:val="auto"/>
          <w:kern w:val="0"/>
          <w:sz w:val="32"/>
          <w:szCs w:val="32"/>
          <w:highlight w:val="none"/>
        </w:rPr>
        <w:t xml:space="preserve"> 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29.24%，</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因机构改革，原活动中心的办公用房调拨至我部门，取暖面积和金额增加。</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FF0000"/>
          <w:spacing w:val="-6"/>
          <w:kern w:val="0"/>
          <w:sz w:val="32"/>
          <w:szCs w:val="32"/>
          <w:highlight w:val="none"/>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2024年和2025年我部门均未安排项目支出预算</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bCs w:val="0"/>
          <w:color w:val="auto"/>
          <w:kern w:val="0"/>
          <w:sz w:val="32"/>
          <w:szCs w:val="32"/>
          <w:highlight w:val="none"/>
          <w:lang w:eastAsia="zh-CN"/>
        </w:rPr>
        <w:t>昌吉州青少年示范性综合实践基地</w:t>
      </w:r>
      <w:r>
        <w:rPr>
          <w:rFonts w:hint="eastAsia" w:ascii="楷体_GB2312" w:hAnsi="楷体_GB2312" w:eastAsia="楷体_GB2312" w:cs="楷体_GB2312"/>
          <w:b/>
          <w:bCs w:val="0"/>
          <w:color w:val="auto"/>
          <w:kern w:val="0"/>
          <w:sz w:val="32"/>
          <w:szCs w:val="32"/>
          <w:highlight w:val="none"/>
          <w:lang w:val="en-US" w:eastAsia="zh-CN"/>
        </w:rPr>
        <w:t>服务</w:t>
      </w:r>
      <w:r>
        <w:rPr>
          <w:rFonts w:hint="eastAsia" w:ascii="楷体_GB2312" w:hAnsi="楷体_GB2312" w:eastAsia="楷体_GB2312" w:cs="楷体_GB2312"/>
          <w:b/>
          <w:bCs w:val="0"/>
          <w:color w:val="auto"/>
          <w:kern w:val="0"/>
          <w:sz w:val="32"/>
          <w:szCs w:val="32"/>
          <w:highlight w:val="none"/>
          <w:lang w:eastAsia="zh-CN"/>
        </w:rPr>
        <w:t>中心</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color w:val="auto"/>
          <w:kern w:val="0"/>
          <w:sz w:val="32"/>
          <w:szCs w:val="32"/>
          <w:highlight w:val="none"/>
        </w:rPr>
        <w:t>年财政拨款收支预算情况的总体说明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年财政拨款收支总预算</w:t>
      </w:r>
      <w:r>
        <w:rPr>
          <w:rFonts w:hint="eastAsia" w:ascii="仿宋_GB2312" w:hAnsi="宋体" w:eastAsia="仿宋_GB2312" w:cs="宋体"/>
          <w:color w:val="auto"/>
          <w:kern w:val="0"/>
          <w:sz w:val="32"/>
          <w:szCs w:val="32"/>
          <w:highlight w:val="none"/>
          <w:lang w:val="en-US" w:eastAsia="zh-CN"/>
        </w:rPr>
        <w:t>226.03</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rPr>
        <w:t>收入全部为一般公共预算拨款</w:t>
      </w:r>
      <w:r>
        <w:rPr>
          <w:rFonts w:hint="eastAsia" w:ascii="仿宋_GB2312" w:hAnsi="宋体" w:eastAsia="仿宋_GB2312" w:cs="宋体"/>
          <w:color w:val="auto"/>
          <w:spacing w:val="-6"/>
          <w:kern w:val="0"/>
          <w:sz w:val="32"/>
          <w:szCs w:val="32"/>
          <w:highlight w:val="none"/>
          <w:lang w:eastAsia="zh-CN"/>
        </w:rPr>
        <w:t>，</w:t>
      </w:r>
      <w:r>
        <w:rPr>
          <w:rFonts w:hint="eastAsia" w:ascii="仿宋_GB2312" w:hAnsi="宋体" w:eastAsia="仿宋_GB2312" w:cs="宋体"/>
          <w:color w:val="auto"/>
          <w:spacing w:val="-6"/>
          <w:kern w:val="0"/>
          <w:sz w:val="32"/>
          <w:szCs w:val="32"/>
          <w:highlight w:val="none"/>
        </w:rPr>
        <w:t>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w:t>
      </w:r>
      <w:r>
        <w:rPr>
          <w:rFonts w:hint="eastAsia" w:ascii="仿宋_GB2312" w:hAnsi="宋体" w:eastAsia="仿宋_GB2312" w:cs="宋体"/>
          <w:color w:val="auto"/>
          <w:kern w:val="0"/>
          <w:sz w:val="32"/>
          <w:szCs w:val="32"/>
          <w:highlight w:val="none"/>
          <w:lang w:val="en-US" w:eastAsia="zh-CN"/>
        </w:rPr>
        <w:t>226.03</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一般公共预算支出包括：</w:t>
      </w:r>
      <w:r>
        <w:rPr>
          <w:rFonts w:hint="eastAsia" w:ascii="仿宋_GB2312" w:hAnsi="仿宋_GB2312" w:eastAsia="仿宋_GB2312" w:cs="仿宋_GB2312"/>
          <w:bCs/>
          <w:color w:val="auto"/>
          <w:sz w:val="32"/>
          <w:szCs w:val="32"/>
          <w:highlight w:val="none"/>
        </w:rPr>
        <w:t>教育</w:t>
      </w:r>
      <w:r>
        <w:rPr>
          <w:rFonts w:hint="eastAsia" w:ascii="仿宋_GB2312" w:hAnsi="仿宋_GB2312" w:eastAsia="仿宋_GB2312" w:cs="仿宋_GB2312"/>
          <w:color w:val="auto"/>
          <w:sz w:val="32"/>
          <w:szCs w:val="32"/>
          <w:highlight w:val="none"/>
        </w:rPr>
        <w:t>支出</w:t>
      </w:r>
      <w:r>
        <w:rPr>
          <w:rFonts w:hint="eastAsia" w:ascii="仿宋_GB2312" w:hAnsi="宋体" w:eastAsia="仿宋_GB2312" w:cs="宋体"/>
          <w:color w:val="auto"/>
          <w:kern w:val="0"/>
          <w:sz w:val="32"/>
          <w:szCs w:val="32"/>
          <w:highlight w:val="none"/>
          <w:lang w:val="en-US" w:eastAsia="zh-CN"/>
        </w:rPr>
        <w:t>226.03</w:t>
      </w:r>
      <w:r>
        <w:rPr>
          <w:rFonts w:hint="eastAsia" w:ascii="仿宋_GB2312" w:hAnsi="宋体" w:eastAsia="仿宋_GB2312" w:cs="宋体"/>
          <w:color w:val="auto"/>
          <w:kern w:val="0"/>
          <w:sz w:val="32"/>
          <w:szCs w:val="32"/>
          <w:highlight w:val="none"/>
        </w:rPr>
        <w:t>万元，主要用于支付</w:t>
      </w:r>
      <w:r>
        <w:rPr>
          <w:rFonts w:hint="eastAsia" w:ascii="仿宋_GB2312" w:hAnsi="宋体" w:eastAsia="仿宋_GB2312" w:cs="宋体"/>
          <w:color w:val="auto"/>
          <w:kern w:val="0"/>
          <w:sz w:val="32"/>
          <w:szCs w:val="32"/>
          <w:highlight w:val="none"/>
          <w:lang w:eastAsia="zh-CN"/>
        </w:rPr>
        <w:t>工资、</w:t>
      </w:r>
      <w:r>
        <w:rPr>
          <w:rFonts w:hint="eastAsia" w:ascii="仿宋_GB2312" w:hAnsi="宋体" w:eastAsia="仿宋_GB2312" w:cs="宋体"/>
          <w:color w:val="auto"/>
          <w:kern w:val="0"/>
          <w:sz w:val="32"/>
          <w:szCs w:val="32"/>
          <w:highlight w:val="none"/>
        </w:rPr>
        <w:t>办公经费</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val="0"/>
          <w:color w:val="auto"/>
          <w:kern w:val="0"/>
          <w:sz w:val="32"/>
          <w:szCs w:val="32"/>
          <w:highlight w:val="none"/>
          <w:lang w:eastAsia="zh-CN"/>
        </w:rPr>
        <w:t>昌吉州青少年示范性综合实践基地</w:t>
      </w:r>
      <w:r>
        <w:rPr>
          <w:rFonts w:hint="eastAsia" w:ascii="楷体_GB2312" w:hAnsi="楷体_GB2312" w:eastAsia="楷体_GB2312" w:cs="楷体_GB2312"/>
          <w:b/>
          <w:bCs w:val="0"/>
          <w:color w:val="auto"/>
          <w:kern w:val="0"/>
          <w:sz w:val="32"/>
          <w:szCs w:val="32"/>
          <w:highlight w:val="none"/>
          <w:lang w:val="en-US" w:eastAsia="zh-CN"/>
        </w:rPr>
        <w:t>服务</w:t>
      </w:r>
      <w:r>
        <w:rPr>
          <w:rFonts w:hint="eastAsia" w:ascii="楷体_GB2312" w:hAnsi="楷体_GB2312" w:eastAsia="楷体_GB2312" w:cs="楷体_GB2312"/>
          <w:b/>
          <w:bCs w:val="0"/>
          <w:color w:val="auto"/>
          <w:kern w:val="0"/>
          <w:sz w:val="32"/>
          <w:szCs w:val="32"/>
          <w:highlight w:val="none"/>
          <w:lang w:eastAsia="zh-CN"/>
        </w:rPr>
        <w:t>中心</w:t>
      </w:r>
      <w:r>
        <w:rPr>
          <w:rFonts w:hint="eastAsia" w:ascii="楷体_GB2312" w:hAnsi="楷体_GB2312" w:eastAsia="楷体_GB2312" w:cs="楷体_GB2312"/>
          <w:b/>
          <w:bCs w:val="0"/>
          <w:color w:val="auto"/>
          <w:kern w:val="0"/>
          <w:sz w:val="32"/>
          <w:szCs w:val="32"/>
          <w:highlight w:val="none"/>
          <w:lang w:val="en-US" w:eastAsia="zh-CN"/>
        </w:rPr>
        <w:t xml:space="preserve">  2025</w:t>
      </w:r>
      <w:r>
        <w:rPr>
          <w:rFonts w:hint="eastAsia" w:ascii="楷体_GB2312" w:hAnsi="楷体_GB2312" w:eastAsia="楷体_GB2312" w:cs="楷体_GB2312"/>
          <w:b/>
          <w:bCs/>
          <w:color w:val="auto"/>
          <w:kern w:val="0"/>
          <w:sz w:val="32"/>
          <w:szCs w:val="32"/>
          <w:highlight w:val="none"/>
        </w:rPr>
        <w:t>年</w:t>
      </w:r>
      <w:r>
        <w:rPr>
          <w:rFonts w:hint="eastAsia" w:ascii="楷体_GB2312" w:hAnsi="楷体_GB2312" w:eastAsia="楷体_GB2312" w:cs="楷体_GB2312"/>
          <w:b/>
          <w:bCs/>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昌吉州青少年示范性综合实践基地服务中心2025</w:t>
      </w:r>
      <w:r>
        <w:rPr>
          <w:rFonts w:hint="eastAsia" w:ascii="仿宋_GB2312" w:hAnsi="宋体" w:eastAsia="仿宋_GB2312" w:cs="宋体"/>
          <w:color w:val="auto"/>
          <w:kern w:val="0"/>
          <w:sz w:val="32"/>
          <w:szCs w:val="32"/>
          <w:highlight w:val="none"/>
        </w:rPr>
        <w:t>年</w:t>
      </w:r>
      <w:r>
        <w:rPr>
          <w:rFonts w:hint="eastAsia" w:ascii="仿宋_GB2312" w:hAnsi="仿宋_GB2312" w:eastAsia="仿宋_GB2312" w:cs="仿宋_GB2312"/>
          <w:color w:val="auto"/>
          <w:kern w:val="0"/>
          <w:sz w:val="32"/>
          <w:szCs w:val="32"/>
          <w:highlight w:val="none"/>
        </w:rPr>
        <w:t>一般公共预算拨款合计</w:t>
      </w:r>
      <w:r>
        <w:rPr>
          <w:rFonts w:hint="eastAsia" w:ascii="仿宋_GB2312" w:hAnsi="仿宋_GB2312" w:eastAsia="仿宋_GB2312" w:cs="仿宋_GB2312"/>
          <w:color w:val="auto"/>
          <w:kern w:val="0"/>
          <w:sz w:val="32"/>
          <w:szCs w:val="32"/>
          <w:highlight w:val="none"/>
          <w:lang w:val="en-US" w:eastAsia="zh-CN"/>
        </w:rPr>
        <w:t>226.03</w:t>
      </w:r>
      <w:r>
        <w:rPr>
          <w:rFonts w:hint="eastAsia" w:ascii="仿宋_GB2312" w:hAnsi="仿宋_GB2312" w:eastAsia="仿宋_GB2312" w:cs="仿宋_GB2312"/>
          <w:color w:val="auto"/>
          <w:kern w:val="0"/>
          <w:sz w:val="32"/>
          <w:szCs w:val="32"/>
          <w:highlight w:val="none"/>
        </w:rPr>
        <w:t>万元，其中：基本支出</w:t>
      </w:r>
      <w:r>
        <w:rPr>
          <w:rFonts w:hint="eastAsia" w:ascii="仿宋_GB2312" w:hAnsi="仿宋_GB2312" w:eastAsia="仿宋_GB2312" w:cs="仿宋_GB2312"/>
          <w:color w:val="auto"/>
          <w:kern w:val="0"/>
          <w:sz w:val="32"/>
          <w:szCs w:val="32"/>
          <w:highlight w:val="none"/>
          <w:lang w:val="en-US" w:eastAsia="zh-CN"/>
        </w:rPr>
        <w:t>226.03</w:t>
      </w:r>
      <w:r>
        <w:rPr>
          <w:rFonts w:hint="eastAsia" w:ascii="仿宋_GB2312" w:hAnsi="仿宋_GB2312" w:eastAsia="仿宋_GB2312" w:cs="仿宋_GB2312"/>
          <w:color w:val="auto"/>
          <w:kern w:val="0"/>
          <w:sz w:val="32"/>
          <w:szCs w:val="32"/>
          <w:highlight w:val="none"/>
        </w:rPr>
        <w:t xml:space="preserve">   万元，比上年预算增加</w:t>
      </w:r>
      <w:r>
        <w:rPr>
          <w:rFonts w:hint="eastAsia" w:ascii="仿宋_GB2312" w:hAnsi="仿宋_GB2312" w:eastAsia="仿宋_GB2312" w:cs="仿宋_GB2312"/>
          <w:color w:val="auto"/>
          <w:kern w:val="0"/>
          <w:sz w:val="32"/>
          <w:szCs w:val="32"/>
          <w:highlight w:val="none"/>
          <w:lang w:val="en-US" w:eastAsia="zh-CN"/>
        </w:rPr>
        <w:t>83.01</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58.04</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因机构改革，原活动中心的办公用房调拨至我部门，取暖面积和金额增加。</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rPr>
        <w:t>项目支出</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2024年和2025年我部门均未安排项目支出预算。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spacing w:line="580" w:lineRule="exact"/>
        <w:ind w:firstLine="640"/>
        <w:rPr>
          <w:rFonts w:ascii="仿宋_GB2312" w:hAnsi="宋体" w:eastAsia="仿宋_GB2312" w:cs="宋体"/>
          <w:color w:val="auto"/>
          <w:kern w:val="0"/>
          <w:sz w:val="32"/>
          <w:szCs w:val="32"/>
          <w:highlight w:val="none"/>
        </w:rPr>
      </w:pPr>
      <w:r>
        <w:rPr>
          <w:rFonts w:hint="eastAsia" w:ascii="仿宋_GB2312" w:hAnsi="仿宋_GB2312" w:eastAsia="仿宋_GB2312" w:cs="仿宋_GB2312"/>
          <w:color w:val="auto"/>
          <w:sz w:val="32"/>
          <w:szCs w:val="32"/>
          <w:highlight w:val="none"/>
        </w:rPr>
        <w:t>1.</w:t>
      </w:r>
      <w:r>
        <w:rPr>
          <w:rFonts w:hint="eastAsia" w:ascii="仿宋_GB2312" w:hAnsi="宋体" w:eastAsia="仿宋_GB2312" w:cs="宋体"/>
          <w:color w:val="auto"/>
          <w:kern w:val="0"/>
          <w:sz w:val="32"/>
          <w:szCs w:val="32"/>
          <w:highlight w:val="none"/>
        </w:rPr>
        <w:t>教育支出（类）</w:t>
      </w:r>
      <w:r>
        <w:rPr>
          <w:rFonts w:hint="eastAsia" w:ascii="仿宋_GB2312" w:hAnsi="宋体" w:eastAsia="仿宋_GB2312" w:cs="宋体"/>
          <w:color w:val="auto"/>
          <w:kern w:val="0"/>
          <w:sz w:val="32"/>
          <w:szCs w:val="32"/>
          <w:highlight w:val="none"/>
          <w:lang w:val="en-US" w:eastAsia="zh-CN"/>
        </w:rPr>
        <w:t>226.03</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b/>
          <w:color w:val="FF0000"/>
          <w:kern w:val="0"/>
          <w:sz w:val="32"/>
          <w:szCs w:val="32"/>
          <w:highlight w:val="none"/>
        </w:rPr>
      </w:pPr>
      <w:r>
        <w:rPr>
          <w:rFonts w:hint="eastAsia" w:ascii="仿宋_GB2312" w:hAnsi="仿宋_GB2312" w:eastAsia="仿宋_GB2312" w:cs="仿宋_GB2312"/>
          <w:color w:val="auto"/>
          <w:kern w:val="0"/>
          <w:sz w:val="32"/>
          <w:szCs w:val="32"/>
          <w:highlight w:val="none"/>
        </w:rPr>
        <w:t>1.</w:t>
      </w:r>
      <w:r>
        <w:rPr>
          <w:rFonts w:hint="eastAsia" w:ascii="仿宋_GB2312" w:hAnsi="宋体" w:eastAsia="仿宋_GB2312" w:cs="宋体"/>
          <w:bCs/>
          <w:color w:val="auto"/>
          <w:kern w:val="0"/>
          <w:sz w:val="32"/>
          <w:szCs w:val="32"/>
          <w:highlight w:val="none"/>
        </w:rPr>
        <w:t>教育支出（类）普通教育（款）</w:t>
      </w:r>
      <w:r>
        <w:rPr>
          <w:rFonts w:hint="eastAsia" w:ascii="仿宋_GB2312" w:hAnsi="宋体" w:eastAsia="仿宋_GB2312" w:cs="宋体"/>
          <w:bCs/>
          <w:color w:val="auto"/>
          <w:kern w:val="0"/>
          <w:sz w:val="32"/>
          <w:szCs w:val="32"/>
          <w:highlight w:val="none"/>
          <w:lang w:val="en-US" w:eastAsia="zh-CN"/>
        </w:rPr>
        <w:t>其他普通教育支出</w:t>
      </w:r>
      <w:r>
        <w:rPr>
          <w:rFonts w:hint="eastAsia" w:ascii="仿宋_GB2312" w:hAnsi="宋体" w:eastAsia="仿宋_GB2312" w:cs="宋体"/>
          <w:bCs/>
          <w:color w:val="auto"/>
          <w:kern w:val="0"/>
          <w:sz w:val="32"/>
          <w:szCs w:val="32"/>
          <w:highlight w:val="none"/>
        </w:rPr>
        <w:t>（项）</w:t>
      </w:r>
      <w:r>
        <w:rPr>
          <w:rFonts w:hint="eastAsia" w:ascii="仿宋_GB2312" w:hAnsi="宋体" w:eastAsia="仿宋_GB2312" w:cs="宋体"/>
          <w:bCs/>
          <w:color w:val="auto"/>
          <w:kern w:val="0"/>
          <w:sz w:val="32"/>
          <w:szCs w:val="32"/>
          <w:highlight w:val="none"/>
          <w:lang w:val="en-US" w:eastAsia="zh-CN"/>
        </w:rPr>
        <w:t>226.03</w:t>
      </w:r>
      <w:r>
        <w:rPr>
          <w:rFonts w:hint="eastAsia" w:ascii="仿宋_GB2312" w:hAnsi="宋体" w:eastAsia="仿宋_GB2312" w:cs="宋体"/>
          <w:bCs/>
          <w:color w:val="auto"/>
          <w:kern w:val="0"/>
          <w:sz w:val="32"/>
          <w:szCs w:val="32"/>
          <w:highlight w:val="none"/>
        </w:rPr>
        <w:t>万元，</w:t>
      </w:r>
      <w:r>
        <w:rPr>
          <w:rFonts w:hint="eastAsia" w:ascii="仿宋_GB2312" w:hAnsi="宋体" w:eastAsia="仿宋_GB2312" w:cs="宋体"/>
          <w:color w:val="auto"/>
          <w:kern w:val="0"/>
          <w:sz w:val="32"/>
          <w:szCs w:val="32"/>
          <w:highlight w:val="none"/>
        </w:rPr>
        <w:t>比上年预算数</w:t>
      </w:r>
      <w:r>
        <w:rPr>
          <w:rFonts w:hint="eastAsia" w:ascii="仿宋_GB2312" w:hAnsi="宋体" w:eastAsia="仿宋_GB2312" w:cs="宋体"/>
          <w:color w:val="auto"/>
          <w:kern w:val="0"/>
          <w:sz w:val="32"/>
          <w:szCs w:val="32"/>
          <w:highlight w:val="none"/>
          <w:lang w:val="en-US" w:eastAsia="zh-CN"/>
        </w:rPr>
        <w:t>增加83.01</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val="en-US" w:eastAsia="zh-CN"/>
        </w:rPr>
        <w:t>增长58.04</w:t>
      </w:r>
      <w:r>
        <w:rPr>
          <w:rFonts w:hint="eastAsia" w:ascii="仿宋_GB2312" w:hAnsi="宋体" w:eastAsia="仿宋_GB2312" w:cs="宋体"/>
          <w:color w:val="auto"/>
          <w:kern w:val="0"/>
          <w:sz w:val="32"/>
          <w:szCs w:val="32"/>
          <w:highlight w:val="none"/>
        </w:rPr>
        <w:t>%，</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因机构改革，原活动中心的办公用房调拨至我部门，取暖面积和金额增加。</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val="0"/>
          <w:color w:val="auto"/>
          <w:kern w:val="0"/>
          <w:sz w:val="32"/>
          <w:szCs w:val="32"/>
          <w:highlight w:val="none"/>
          <w:lang w:eastAsia="zh-CN"/>
        </w:rPr>
        <w:t>昌吉州青少年示范性综合实践基地</w:t>
      </w:r>
      <w:r>
        <w:rPr>
          <w:rFonts w:hint="eastAsia" w:ascii="楷体_GB2312" w:hAnsi="楷体_GB2312" w:eastAsia="楷体_GB2312" w:cs="楷体_GB2312"/>
          <w:b/>
          <w:bCs w:val="0"/>
          <w:color w:val="auto"/>
          <w:kern w:val="0"/>
          <w:sz w:val="32"/>
          <w:szCs w:val="32"/>
          <w:highlight w:val="none"/>
          <w:lang w:val="en-US" w:eastAsia="zh-CN"/>
        </w:rPr>
        <w:t>服务</w:t>
      </w:r>
      <w:r>
        <w:rPr>
          <w:rFonts w:hint="eastAsia" w:ascii="楷体_GB2312" w:hAnsi="楷体_GB2312" w:eastAsia="楷体_GB2312" w:cs="楷体_GB2312"/>
          <w:b/>
          <w:bCs w:val="0"/>
          <w:color w:val="auto"/>
          <w:kern w:val="0"/>
          <w:sz w:val="32"/>
          <w:szCs w:val="32"/>
          <w:highlight w:val="none"/>
          <w:lang w:eastAsia="zh-CN"/>
        </w:rPr>
        <w:t>中心</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color w:val="auto"/>
          <w:kern w:val="0"/>
          <w:sz w:val="32"/>
          <w:szCs w:val="32"/>
          <w:highlight w:val="none"/>
        </w:rPr>
        <w:t>年</w:t>
      </w:r>
      <w:r>
        <w:rPr>
          <w:rFonts w:hint="eastAsia" w:ascii="楷体_GB2312" w:hAnsi="楷体_GB2312" w:eastAsia="楷体_GB2312" w:cs="楷体_GB2312"/>
          <w:b/>
          <w:bCs/>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spacing w:val="-6"/>
          <w:kern w:val="0"/>
          <w:sz w:val="32"/>
          <w:szCs w:val="32"/>
          <w:highlight w:val="none"/>
        </w:rPr>
      </w:pPr>
      <w:r>
        <w:rPr>
          <w:rFonts w:hint="eastAsia" w:ascii="仿宋_GB2312" w:hAnsi="宋体" w:eastAsia="仿宋_GB2312" w:cs="宋体"/>
          <w:color w:val="auto"/>
          <w:kern w:val="0"/>
          <w:sz w:val="32"/>
          <w:szCs w:val="32"/>
          <w:highlight w:val="none"/>
          <w:lang w:val="en-US" w:eastAsia="zh-CN"/>
        </w:rPr>
        <w:t>昌吉州青少年示范性综合实践基地服务中心2025</w:t>
      </w:r>
      <w:r>
        <w:rPr>
          <w:rFonts w:hint="eastAsia" w:ascii="仿宋_GB2312" w:hAnsi="宋体" w:eastAsia="仿宋_GB2312" w:cs="宋体"/>
          <w:color w:val="auto"/>
          <w:spacing w:val="-6"/>
          <w:kern w:val="0"/>
          <w:sz w:val="32"/>
          <w:szCs w:val="32"/>
          <w:highlight w:val="none"/>
        </w:rPr>
        <w:t>年一般公共预算基本支出</w:t>
      </w:r>
      <w:r>
        <w:rPr>
          <w:rFonts w:hint="eastAsia" w:ascii="仿宋_GB2312" w:hAnsi="宋体" w:eastAsia="仿宋_GB2312" w:cs="宋体"/>
          <w:color w:val="auto"/>
          <w:spacing w:val="-6"/>
          <w:kern w:val="0"/>
          <w:sz w:val="32"/>
          <w:szCs w:val="32"/>
          <w:highlight w:val="none"/>
          <w:lang w:val="en-US" w:eastAsia="zh-CN"/>
        </w:rPr>
        <w:t>226.03</w:t>
      </w:r>
      <w:r>
        <w:rPr>
          <w:rFonts w:hint="eastAsia" w:ascii="仿宋_GB2312" w:hAnsi="宋体" w:eastAsia="仿宋_GB2312" w:cs="宋体"/>
          <w:color w:val="auto"/>
          <w:spacing w:val="-6"/>
          <w:kern w:val="0"/>
          <w:sz w:val="32"/>
          <w:szCs w:val="32"/>
          <w:highlight w:val="none"/>
        </w:rPr>
        <w:t>万元</w:t>
      </w:r>
      <w:r>
        <w:rPr>
          <w:rFonts w:hint="eastAsia" w:ascii="仿宋_GB2312" w:hAnsi="宋体" w:eastAsia="仿宋_GB2312" w:cs="宋体"/>
          <w:color w:val="auto"/>
          <w:spacing w:val="-6"/>
          <w:kern w:val="0"/>
          <w:sz w:val="32"/>
          <w:szCs w:val="32"/>
          <w:highlight w:val="none"/>
          <w:lang w:eastAsia="zh-CN"/>
        </w:rPr>
        <w:t>，</w:t>
      </w:r>
      <w:r>
        <w:rPr>
          <w:rFonts w:hint="eastAsia" w:ascii="仿宋_GB2312" w:hAnsi="宋体" w:eastAsia="仿宋_GB2312" w:cs="宋体"/>
          <w:color w:val="auto"/>
          <w:spacing w:val="-6"/>
          <w:kern w:val="0"/>
          <w:sz w:val="32"/>
          <w:szCs w:val="32"/>
          <w:highlight w:val="none"/>
        </w:rPr>
        <w:t>其中：</w:t>
      </w:r>
    </w:p>
    <w:p>
      <w:pPr>
        <w:pStyle w:val="8"/>
        <w:keepNext w:val="0"/>
        <w:keepLines w:val="0"/>
        <w:widowControl/>
        <w:suppressLineNumbers w:val="0"/>
        <w:ind w:firstLine="640" w:firstLineChars="200"/>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rPr>
        <w:t>人员经费</w:t>
      </w:r>
      <w:r>
        <w:rPr>
          <w:rFonts w:hint="eastAsia" w:ascii="仿宋_GB2312" w:hAnsi="宋体" w:eastAsia="仿宋_GB2312" w:cs="宋体"/>
          <w:color w:val="auto"/>
          <w:kern w:val="0"/>
          <w:sz w:val="32"/>
          <w:szCs w:val="32"/>
          <w:highlight w:val="none"/>
          <w:lang w:val="en-US" w:eastAsia="zh-CN"/>
        </w:rPr>
        <w:t>148.13</w:t>
      </w:r>
      <w:r>
        <w:rPr>
          <w:rFonts w:hint="eastAsia" w:ascii="仿宋_GB2312" w:hAnsi="宋体" w:eastAsia="仿宋_GB2312" w:cs="宋体"/>
          <w:color w:val="auto"/>
          <w:kern w:val="0"/>
          <w:sz w:val="32"/>
          <w:szCs w:val="32"/>
          <w:highlight w:val="none"/>
        </w:rPr>
        <w:t>万元，主要包括：基本工资、津贴补贴、奖金、绩效工资、机关事业单位基本养老保险缴费、公务员医疗补助缴费、其他社会保障缴费、住房公积金、退休费、奖励金</w:t>
      </w:r>
      <w:r>
        <w:rPr>
          <w:rFonts w:hint="eastAsia" w:ascii="仿宋_GB2312" w:hAnsi="宋体" w:eastAsia="仿宋_GB2312" w:cs="宋体"/>
          <w:color w:val="auto"/>
          <w:kern w:val="0"/>
          <w:sz w:val="32"/>
          <w:szCs w:val="32"/>
          <w:highlight w:val="none"/>
          <w:lang w:val="en-US" w:eastAsia="zh-CN"/>
        </w:rPr>
        <w:t>。</w:t>
      </w:r>
    </w:p>
    <w:p>
      <w:pPr>
        <w:pStyle w:val="8"/>
        <w:keepNext w:val="0"/>
        <w:keepLines w:val="0"/>
        <w:widowControl/>
        <w:suppressLineNumbers w:val="0"/>
        <w:ind w:firstLine="640" w:firstLineChars="200"/>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rPr>
        <w:t>公用经费</w:t>
      </w:r>
      <w:r>
        <w:rPr>
          <w:rFonts w:hint="eastAsia" w:ascii="仿宋_GB2312" w:hAnsi="宋体" w:eastAsia="仿宋_GB2312" w:cs="宋体"/>
          <w:color w:val="auto"/>
          <w:kern w:val="0"/>
          <w:sz w:val="32"/>
          <w:szCs w:val="32"/>
          <w:highlight w:val="none"/>
          <w:lang w:val="en-US" w:eastAsia="zh-CN"/>
        </w:rPr>
        <w:t>77.9</w:t>
      </w:r>
      <w:r>
        <w:rPr>
          <w:rFonts w:hint="eastAsia" w:ascii="仿宋_GB2312" w:hAnsi="宋体" w:eastAsia="仿宋_GB2312" w:cs="宋体"/>
          <w:color w:val="auto"/>
          <w:kern w:val="0"/>
          <w:sz w:val="32"/>
          <w:szCs w:val="32"/>
          <w:highlight w:val="none"/>
        </w:rPr>
        <w:t>万元，主要包括：办公费、电费、邮电费、取暖费、差旅费、公务接待费、劳务费</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lang w:val="en-US" w:eastAsia="zh-CN"/>
        </w:rPr>
        <w:t>工会经费。</w:t>
      </w:r>
    </w:p>
    <w:p>
      <w:pPr>
        <w:pStyle w:val="8"/>
        <w:keepNext w:val="0"/>
        <w:keepLines w:val="0"/>
        <w:widowControl/>
        <w:suppressLineNumbers w:val="0"/>
        <w:ind w:firstLine="643" w:firstLineChars="200"/>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val="0"/>
          <w:color w:val="auto"/>
          <w:kern w:val="0"/>
          <w:sz w:val="32"/>
          <w:szCs w:val="32"/>
          <w:highlight w:val="none"/>
          <w:lang w:eastAsia="zh-CN"/>
        </w:rPr>
        <w:t>昌吉州青少年示范性综合实践基地</w:t>
      </w:r>
      <w:r>
        <w:rPr>
          <w:rFonts w:hint="eastAsia" w:ascii="楷体_GB2312" w:hAnsi="楷体_GB2312" w:eastAsia="楷体_GB2312" w:cs="楷体_GB2312"/>
          <w:b/>
          <w:bCs w:val="0"/>
          <w:color w:val="auto"/>
          <w:kern w:val="0"/>
          <w:sz w:val="32"/>
          <w:szCs w:val="32"/>
          <w:highlight w:val="none"/>
          <w:lang w:val="en-US" w:eastAsia="zh-CN"/>
        </w:rPr>
        <w:t>服务</w:t>
      </w:r>
      <w:r>
        <w:rPr>
          <w:rFonts w:hint="eastAsia" w:ascii="楷体_GB2312" w:hAnsi="楷体_GB2312" w:eastAsia="楷体_GB2312" w:cs="楷体_GB2312"/>
          <w:b/>
          <w:bCs w:val="0"/>
          <w:color w:val="auto"/>
          <w:kern w:val="0"/>
          <w:sz w:val="32"/>
          <w:szCs w:val="32"/>
          <w:highlight w:val="none"/>
          <w:lang w:eastAsia="zh-CN"/>
        </w:rPr>
        <w:t>中心</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color w:val="auto"/>
          <w:kern w:val="0"/>
          <w:sz w:val="32"/>
          <w:szCs w:val="32"/>
          <w:highlight w:val="none"/>
        </w:rPr>
        <w:t>年</w:t>
      </w:r>
      <w:r>
        <w:rPr>
          <w:rFonts w:hint="eastAsia" w:ascii="楷体_GB2312" w:hAnsi="楷体_GB2312" w:eastAsia="楷体_GB2312" w:cs="楷体_GB2312"/>
          <w:b/>
          <w:bCs/>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昌吉州青少年示范性综合实践基地服务中心</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没有使用一般公共预算项目支出，一般公共预算项目支出情况表为空表。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val="0"/>
          <w:color w:val="auto"/>
          <w:kern w:val="0"/>
          <w:sz w:val="32"/>
          <w:szCs w:val="32"/>
          <w:highlight w:val="none"/>
          <w:lang w:eastAsia="zh-CN"/>
        </w:rPr>
        <w:t>昌吉州青少年示范性综合实践基地</w:t>
      </w:r>
      <w:r>
        <w:rPr>
          <w:rFonts w:hint="eastAsia" w:ascii="楷体_GB2312" w:hAnsi="楷体_GB2312" w:eastAsia="楷体_GB2312" w:cs="楷体_GB2312"/>
          <w:b/>
          <w:bCs w:val="0"/>
          <w:color w:val="auto"/>
          <w:kern w:val="0"/>
          <w:sz w:val="32"/>
          <w:szCs w:val="32"/>
          <w:highlight w:val="none"/>
          <w:lang w:val="en-US" w:eastAsia="zh-CN"/>
        </w:rPr>
        <w:t>服务</w:t>
      </w:r>
      <w:r>
        <w:rPr>
          <w:rFonts w:hint="eastAsia" w:ascii="楷体_GB2312" w:hAnsi="楷体_GB2312" w:eastAsia="楷体_GB2312" w:cs="楷体_GB2312"/>
          <w:b/>
          <w:bCs w:val="0"/>
          <w:color w:val="auto"/>
          <w:kern w:val="0"/>
          <w:sz w:val="32"/>
          <w:szCs w:val="32"/>
          <w:highlight w:val="none"/>
          <w:lang w:eastAsia="zh-CN"/>
        </w:rPr>
        <w:t>中心</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color w:val="auto"/>
          <w:kern w:val="0"/>
          <w:sz w:val="32"/>
          <w:szCs w:val="32"/>
          <w:highlight w:val="none"/>
        </w:rPr>
        <w:t>年政府性基金预算拨款情况说明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楷体_GB2312" w:hAnsi="楷体_GB2312" w:eastAsia="楷体_GB2312" w:cs="楷体_GB2312"/>
          <w:b/>
          <w:bCs/>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CN"/>
        </w:rPr>
        <w:t>昌吉州青少年示范性综合实践基地服务中心</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lang w:val="en-US" w:eastAsia="zh-Hans"/>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val="0"/>
          <w:color w:val="auto"/>
          <w:kern w:val="0"/>
          <w:sz w:val="32"/>
          <w:szCs w:val="32"/>
          <w:highlight w:val="none"/>
          <w:lang w:eastAsia="zh-CN"/>
        </w:rPr>
        <w:t>昌吉州青少年示范性综合实践基地</w:t>
      </w:r>
      <w:r>
        <w:rPr>
          <w:rFonts w:hint="eastAsia" w:ascii="楷体_GB2312" w:hAnsi="楷体_GB2312" w:eastAsia="楷体_GB2312" w:cs="楷体_GB2312"/>
          <w:b/>
          <w:bCs w:val="0"/>
          <w:color w:val="auto"/>
          <w:kern w:val="0"/>
          <w:sz w:val="32"/>
          <w:szCs w:val="32"/>
          <w:highlight w:val="none"/>
          <w:lang w:val="en-US" w:eastAsia="zh-CN"/>
        </w:rPr>
        <w:t>服务</w:t>
      </w:r>
      <w:r>
        <w:rPr>
          <w:rFonts w:hint="eastAsia" w:ascii="楷体_GB2312" w:hAnsi="楷体_GB2312" w:eastAsia="楷体_GB2312" w:cs="楷体_GB2312"/>
          <w:b/>
          <w:bCs w:val="0"/>
          <w:color w:val="auto"/>
          <w:kern w:val="0"/>
          <w:sz w:val="32"/>
          <w:szCs w:val="32"/>
          <w:highlight w:val="none"/>
          <w:lang w:eastAsia="zh-CN"/>
        </w:rPr>
        <w:t>中心</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color w:val="auto"/>
          <w:kern w:val="0"/>
          <w:sz w:val="32"/>
          <w:szCs w:val="32"/>
          <w:highlight w:val="none"/>
        </w:rPr>
        <w:t>年国有资本经营预算拨款情况说明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楷体_GB2312" w:hAnsi="楷体_GB2312" w:eastAsia="楷体_GB2312" w:cs="楷体_GB2312"/>
          <w:b/>
          <w:bCs/>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CN"/>
        </w:rPr>
        <w:t>昌吉州青少年示范性综合实践基地服务中心</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val="0"/>
          <w:color w:val="auto"/>
          <w:kern w:val="0"/>
          <w:sz w:val="32"/>
          <w:szCs w:val="32"/>
          <w:highlight w:val="none"/>
          <w:lang w:eastAsia="zh-CN"/>
        </w:rPr>
        <w:t>昌吉州青少年示范性综合实践基地</w:t>
      </w:r>
      <w:r>
        <w:rPr>
          <w:rFonts w:hint="eastAsia" w:ascii="楷体_GB2312" w:hAnsi="楷体_GB2312" w:eastAsia="楷体_GB2312" w:cs="楷体_GB2312"/>
          <w:b/>
          <w:bCs w:val="0"/>
          <w:color w:val="auto"/>
          <w:kern w:val="0"/>
          <w:sz w:val="32"/>
          <w:szCs w:val="32"/>
          <w:highlight w:val="none"/>
          <w:lang w:val="en-US" w:eastAsia="zh-CN"/>
        </w:rPr>
        <w:t>服务</w:t>
      </w:r>
      <w:r>
        <w:rPr>
          <w:rFonts w:hint="eastAsia" w:ascii="楷体_GB2312" w:hAnsi="楷体_GB2312" w:eastAsia="楷体_GB2312" w:cs="楷体_GB2312"/>
          <w:b/>
          <w:bCs w:val="0"/>
          <w:color w:val="auto"/>
          <w:kern w:val="0"/>
          <w:sz w:val="32"/>
          <w:szCs w:val="32"/>
          <w:highlight w:val="none"/>
          <w:lang w:eastAsia="zh-CN"/>
        </w:rPr>
        <w:t>中心</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color w:val="auto"/>
          <w:kern w:val="0"/>
          <w:sz w:val="32"/>
          <w:szCs w:val="32"/>
          <w:highlight w:val="none"/>
        </w:rPr>
        <w:t>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昌吉州青少年示范性综合实践基地服务中心</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“三公”经费数为</w:t>
      </w:r>
      <w:r>
        <w:rPr>
          <w:rFonts w:hint="eastAsia" w:ascii="仿宋_GB2312" w:hAnsi="宋体" w:eastAsia="仿宋_GB2312" w:cs="宋体"/>
          <w:color w:val="auto"/>
          <w:kern w:val="0"/>
          <w:sz w:val="32"/>
          <w:szCs w:val="32"/>
          <w:highlight w:val="none"/>
          <w:lang w:val="en-US" w:eastAsia="zh-CN"/>
        </w:rPr>
        <w:t>0.24</w:t>
      </w:r>
      <w:r>
        <w:rPr>
          <w:rFonts w:hint="eastAsia" w:ascii="仿宋_GB2312" w:hAnsi="宋体" w:eastAsia="仿宋_GB2312" w:cs="宋体"/>
          <w:color w:val="auto"/>
          <w:kern w:val="0"/>
          <w:sz w:val="32"/>
          <w:szCs w:val="32"/>
          <w:highlight w:val="none"/>
        </w:rPr>
        <w:t>万元，其中：因公出国（境）费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万元，公务用车购置</w:t>
      </w:r>
      <w:r>
        <w:rPr>
          <w:rFonts w:hint="eastAsia" w:ascii="仿宋_GB2312" w:hAnsi="宋体" w:eastAsia="仿宋_GB2312" w:cs="宋体"/>
          <w:color w:val="auto"/>
          <w:kern w:val="0"/>
          <w:sz w:val="32"/>
          <w:szCs w:val="32"/>
          <w:highlight w:val="none"/>
          <w:lang w:eastAsia="zh-CN"/>
        </w:rPr>
        <w:t>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万元，公务用车运行费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万元，公务接待费</w:t>
      </w:r>
      <w:r>
        <w:rPr>
          <w:rFonts w:hint="eastAsia" w:ascii="仿宋_GB2312" w:hAnsi="宋体" w:eastAsia="仿宋_GB2312" w:cs="宋体"/>
          <w:color w:val="auto"/>
          <w:kern w:val="0"/>
          <w:sz w:val="32"/>
          <w:szCs w:val="32"/>
          <w:highlight w:val="none"/>
          <w:lang w:val="en-US" w:eastAsia="zh-CN"/>
        </w:rPr>
        <w:t>0.24</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“三公”经费比上年</w:t>
      </w:r>
      <w:r>
        <w:rPr>
          <w:rFonts w:hint="eastAsia" w:ascii="仿宋_GB2312" w:hAnsi="宋体" w:eastAsia="仿宋_GB2312" w:cs="宋体"/>
          <w:color w:val="auto"/>
          <w:kern w:val="0"/>
          <w:sz w:val="32"/>
          <w:szCs w:val="32"/>
          <w:highlight w:val="none"/>
          <w:lang w:val="en-US" w:eastAsia="zh-Hans"/>
        </w:rPr>
        <w:t>预算</w:t>
      </w:r>
      <w:r>
        <w:rPr>
          <w:rFonts w:hint="eastAsia" w:ascii="仿宋_GB2312" w:hAnsi="宋体" w:eastAsia="仿宋_GB2312" w:cs="宋体"/>
          <w:color w:val="auto"/>
          <w:kern w:val="0"/>
          <w:sz w:val="32"/>
          <w:szCs w:val="32"/>
          <w:highlight w:val="none"/>
        </w:rPr>
        <w:t>增加</w:t>
      </w:r>
      <w:r>
        <w:rPr>
          <w:rFonts w:hint="eastAsia" w:ascii="仿宋_GB2312" w:hAnsi="宋体" w:eastAsia="仿宋_GB2312" w:cs="宋体"/>
          <w:color w:val="auto"/>
          <w:kern w:val="0"/>
          <w:sz w:val="32"/>
          <w:szCs w:val="32"/>
          <w:highlight w:val="none"/>
          <w:lang w:val="en-US" w:eastAsia="zh-CN"/>
        </w:rPr>
        <w:t>0.24</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其中：因公出国（境）费增加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2024年及2025年本部门均未安排</w:t>
      </w:r>
      <w:r>
        <w:rPr>
          <w:rFonts w:hint="eastAsia" w:ascii="仿宋_GB2312" w:hAnsi="宋体" w:eastAsia="仿宋_GB2312" w:cs="宋体"/>
          <w:color w:val="auto"/>
          <w:kern w:val="0"/>
          <w:sz w:val="32"/>
          <w:szCs w:val="32"/>
          <w:highlight w:val="none"/>
        </w:rPr>
        <w:t>因公出国（境）费</w:t>
      </w:r>
      <w:r>
        <w:rPr>
          <w:rFonts w:hint="eastAsia" w:ascii="仿宋_GB2312" w:hAnsi="宋体" w:eastAsia="仿宋_GB2312" w:cs="宋体"/>
          <w:color w:val="auto"/>
          <w:kern w:val="0"/>
          <w:sz w:val="32"/>
          <w:szCs w:val="32"/>
          <w:highlight w:val="none"/>
          <w:lang w:val="en-US" w:eastAsia="zh-CN"/>
        </w:rPr>
        <w:t>预算 ；</w:t>
      </w:r>
      <w:r>
        <w:rPr>
          <w:rFonts w:hint="eastAsia" w:ascii="仿宋_GB2312" w:hAnsi="宋体" w:eastAsia="仿宋_GB2312" w:cs="宋体"/>
          <w:color w:val="auto"/>
          <w:kern w:val="0"/>
          <w:sz w:val="32"/>
          <w:szCs w:val="32"/>
          <w:highlight w:val="none"/>
        </w:rPr>
        <w:t>公务用车购置费增加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2024年及2025年本部门均未安排</w:t>
      </w:r>
      <w:r>
        <w:rPr>
          <w:rFonts w:hint="eastAsia" w:ascii="仿宋_GB2312" w:hAnsi="宋体" w:eastAsia="仿宋_GB2312" w:cs="宋体"/>
          <w:color w:val="auto"/>
          <w:kern w:val="0"/>
          <w:sz w:val="32"/>
          <w:szCs w:val="32"/>
          <w:highlight w:val="none"/>
        </w:rPr>
        <w:t>公务用车购置费</w:t>
      </w:r>
      <w:r>
        <w:rPr>
          <w:rFonts w:hint="eastAsia" w:ascii="仿宋_GB2312" w:hAnsi="宋体" w:eastAsia="仿宋_GB2312" w:cs="宋体"/>
          <w:color w:val="auto"/>
          <w:kern w:val="0"/>
          <w:sz w:val="32"/>
          <w:szCs w:val="32"/>
          <w:highlight w:val="none"/>
          <w:lang w:val="en-US" w:eastAsia="zh-CN"/>
        </w:rPr>
        <w:t>预算</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公务用车运行费增加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2024年及2025年本部门均未安排</w:t>
      </w:r>
      <w:r>
        <w:rPr>
          <w:rFonts w:hint="eastAsia" w:ascii="仿宋_GB2312" w:hAnsi="宋体" w:eastAsia="仿宋_GB2312" w:cs="宋体"/>
          <w:color w:val="auto"/>
          <w:kern w:val="0"/>
          <w:sz w:val="32"/>
          <w:szCs w:val="32"/>
          <w:highlight w:val="none"/>
        </w:rPr>
        <w:t>公务用车运行费</w:t>
      </w:r>
      <w:r>
        <w:rPr>
          <w:rFonts w:hint="eastAsia" w:ascii="仿宋_GB2312" w:hAnsi="宋体" w:eastAsia="仿宋_GB2312" w:cs="宋体"/>
          <w:color w:val="auto"/>
          <w:kern w:val="0"/>
          <w:sz w:val="32"/>
          <w:szCs w:val="32"/>
          <w:highlight w:val="none"/>
          <w:lang w:val="en-US" w:eastAsia="zh-CN"/>
        </w:rPr>
        <w:t>预算</w:t>
      </w:r>
      <w:r>
        <w:rPr>
          <w:rFonts w:hint="eastAsia" w:ascii="仿宋_GB2312" w:hAnsi="宋体" w:eastAsia="仿宋_GB2312" w:cs="宋体"/>
          <w:color w:val="auto"/>
          <w:kern w:val="0"/>
          <w:sz w:val="32"/>
          <w:szCs w:val="32"/>
          <w:highlight w:val="none"/>
        </w:rPr>
        <w:t>；公务接待费增加</w:t>
      </w:r>
      <w:r>
        <w:rPr>
          <w:rFonts w:hint="eastAsia" w:ascii="仿宋_GB2312" w:hAnsi="宋体" w:eastAsia="仿宋_GB2312" w:cs="宋体"/>
          <w:color w:val="auto"/>
          <w:kern w:val="0"/>
          <w:sz w:val="32"/>
          <w:szCs w:val="32"/>
          <w:highlight w:val="none"/>
          <w:lang w:val="en-US" w:eastAsia="zh-CN"/>
        </w:rPr>
        <w:t>0.24</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2024年因预算错误未安排公务接待费，2025年按照实际需求增加0.24万元公务接待费</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val="0"/>
          <w:color w:val="auto"/>
          <w:kern w:val="0"/>
          <w:sz w:val="32"/>
          <w:szCs w:val="32"/>
          <w:highlight w:val="none"/>
          <w:lang w:eastAsia="zh-CN"/>
        </w:rPr>
        <w:t>昌吉州青少年示范性综合实践基地</w:t>
      </w:r>
      <w:r>
        <w:rPr>
          <w:rFonts w:hint="eastAsia" w:ascii="楷体_GB2312" w:hAnsi="楷体_GB2312" w:eastAsia="楷体_GB2312" w:cs="楷体_GB2312"/>
          <w:b/>
          <w:bCs w:val="0"/>
          <w:color w:val="auto"/>
          <w:kern w:val="0"/>
          <w:sz w:val="32"/>
          <w:szCs w:val="32"/>
          <w:highlight w:val="none"/>
          <w:lang w:val="en-US" w:eastAsia="zh-CN"/>
        </w:rPr>
        <w:t>服务</w:t>
      </w:r>
      <w:r>
        <w:rPr>
          <w:rFonts w:hint="eastAsia" w:ascii="楷体_GB2312" w:hAnsi="楷体_GB2312" w:eastAsia="楷体_GB2312" w:cs="楷体_GB2312"/>
          <w:b/>
          <w:bCs w:val="0"/>
          <w:color w:val="auto"/>
          <w:kern w:val="0"/>
          <w:sz w:val="32"/>
          <w:szCs w:val="32"/>
          <w:highlight w:val="none"/>
          <w:lang w:eastAsia="zh-CN"/>
        </w:rPr>
        <w:t>中心</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color w:val="auto"/>
          <w:kern w:val="0"/>
          <w:sz w:val="32"/>
          <w:szCs w:val="32"/>
          <w:highlight w:val="none"/>
        </w:rPr>
        <w:t>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楷体_GB2312" w:hAnsi="楷体_GB2312" w:eastAsia="楷体_GB2312" w:cs="楷体_GB2312"/>
          <w:b/>
          <w:bCs/>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CN"/>
        </w:rPr>
        <w:t>昌吉州青少年示范性综合实践基地服务中心2</w:t>
      </w:r>
      <w:r>
        <w:rPr>
          <w:rFonts w:hint="eastAsia" w:ascii="仿宋_GB2312" w:hAnsi="仿宋_GB2312" w:eastAsia="仿宋_GB2312" w:cs="仿宋_GB2312"/>
          <w:color w:val="auto"/>
          <w:kern w:val="0"/>
          <w:sz w:val="32"/>
          <w:szCs w:val="32"/>
          <w:highlight w:val="none"/>
          <w:lang w:eastAsia="zh-CN"/>
        </w:rPr>
        <w:t>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lang w:val="en-US" w:eastAsia="zh-CN"/>
        </w:rPr>
        <w:t>无上年结转结余</w:t>
      </w:r>
      <w:r>
        <w:rPr>
          <w:rFonts w:hint="eastAsia" w:ascii="仿宋_GB2312" w:hAnsi="仿宋_GB2312" w:eastAsia="仿宋_GB2312" w:cs="仿宋_GB2312"/>
          <w:color w:val="auto"/>
          <w:kern w:val="0"/>
          <w:sz w:val="32"/>
          <w:szCs w:val="32"/>
          <w:highlight w:val="none"/>
        </w:rPr>
        <w:t>预算的支出，</w:t>
      </w:r>
      <w:r>
        <w:rPr>
          <w:rFonts w:hint="eastAsia" w:ascii="仿宋_GB2312" w:hAnsi="仿宋_GB2312" w:eastAsia="仿宋_GB2312" w:cs="仿宋_GB2312"/>
          <w:color w:val="auto"/>
          <w:kern w:val="0"/>
          <w:sz w:val="32"/>
          <w:szCs w:val="32"/>
          <w:highlight w:val="none"/>
          <w:lang w:eastAsia="zh-CN"/>
        </w:rPr>
        <w:t>上年</w:t>
      </w:r>
      <w:r>
        <w:rPr>
          <w:rFonts w:hint="eastAsia" w:ascii="仿宋_GB2312" w:hAnsi="仿宋_GB2312" w:eastAsia="仿宋_GB2312" w:cs="仿宋_GB2312"/>
          <w:color w:val="auto"/>
          <w:kern w:val="0"/>
          <w:sz w:val="32"/>
          <w:szCs w:val="32"/>
          <w:highlight w:val="none"/>
          <w:lang w:val="en-US" w:eastAsia="zh-CN"/>
        </w:rPr>
        <w:t>结转结余</w:t>
      </w:r>
      <w:r>
        <w:rPr>
          <w:rFonts w:hint="eastAsia" w:ascii="仿宋_GB2312" w:hAnsi="仿宋_GB2312" w:eastAsia="仿宋_GB2312" w:cs="仿宋_GB2312"/>
          <w:color w:val="auto"/>
          <w:kern w:val="0"/>
          <w:sz w:val="32"/>
          <w:szCs w:val="32"/>
          <w:highlight w:val="none"/>
        </w:rPr>
        <w:t>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昌吉州青少年示范性综合实践基地服务中心</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的</w:t>
      </w:r>
      <w:r>
        <w:rPr>
          <w:rFonts w:hint="eastAsia" w:ascii="仿宋_GB2312" w:hAnsi="仿宋_GB2312" w:eastAsia="仿宋_GB2312" w:cs="仿宋_GB2312"/>
          <w:color w:val="auto"/>
          <w:kern w:val="0"/>
          <w:sz w:val="32"/>
          <w:szCs w:val="32"/>
          <w:highlight w:val="none"/>
          <w:lang w:val="en-US" w:eastAsia="zh-CN"/>
        </w:rPr>
        <w:t>事业单位</w:t>
      </w:r>
      <w:r>
        <w:rPr>
          <w:rFonts w:hint="eastAsia" w:ascii="仿宋_GB2312" w:hAnsi="仿宋_GB2312" w:eastAsia="仿宋_GB2312" w:cs="仿宋_GB2312"/>
          <w:color w:val="auto"/>
          <w:kern w:val="0"/>
          <w:sz w:val="32"/>
          <w:szCs w:val="32"/>
          <w:highlight w:val="none"/>
        </w:rPr>
        <w:t>运行经费财政拨款预算</w:t>
      </w:r>
      <w:r>
        <w:rPr>
          <w:rFonts w:hint="eastAsia" w:ascii="仿宋_GB2312" w:hAnsi="仿宋_GB2312" w:eastAsia="仿宋_GB2312" w:cs="仿宋_GB2312"/>
          <w:color w:val="auto"/>
          <w:kern w:val="0"/>
          <w:sz w:val="32"/>
          <w:szCs w:val="32"/>
          <w:highlight w:val="none"/>
          <w:lang w:val="en-US" w:eastAsia="zh-CN"/>
        </w:rPr>
        <w:t>77.9</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69.09</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784.22</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因机构改革，原活动中心的办公用房调拨至我部门，取暖面积和金额增加。</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昌吉州青少年示范性综合实践基地服务中心</w:t>
      </w:r>
      <w:r>
        <w:rPr>
          <w:rFonts w:hint="eastAsia" w:ascii="仿宋_GB2312" w:hAnsi="仿宋_GB2312" w:eastAsia="仿宋_GB2312" w:cs="仿宋_GB2312"/>
          <w:color w:val="auto"/>
          <w:kern w:val="0"/>
          <w:sz w:val="32"/>
          <w:szCs w:val="32"/>
          <w:highlight w:val="none"/>
        </w:rPr>
        <w:t>政府采购预算</w:t>
      </w:r>
      <w:r>
        <w:rPr>
          <w:rFonts w:hint="eastAsia" w:ascii="仿宋_GB2312" w:hAnsi="仿宋_GB2312" w:eastAsia="仿宋_GB2312" w:cs="仿宋_GB2312"/>
          <w:color w:val="auto"/>
          <w:kern w:val="0"/>
          <w:sz w:val="32"/>
          <w:szCs w:val="32"/>
          <w:highlight w:val="none"/>
          <w:lang w:val="en-US" w:eastAsia="zh-CN"/>
        </w:rPr>
        <w:t>20.74</w:t>
      </w:r>
      <w:r>
        <w:rPr>
          <w:rFonts w:hint="eastAsia" w:ascii="仿宋_GB2312" w:hAnsi="仿宋_GB2312" w:eastAsia="仿宋_GB2312" w:cs="仿宋_GB2312"/>
          <w:color w:val="auto"/>
          <w:kern w:val="0"/>
          <w:sz w:val="32"/>
          <w:szCs w:val="32"/>
          <w:highlight w:val="none"/>
        </w:rPr>
        <w:t>万元，其中：政府采购货物预算</w:t>
      </w:r>
      <w:r>
        <w:rPr>
          <w:rFonts w:hint="eastAsia" w:ascii="仿宋_GB2312" w:hAnsi="仿宋_GB2312" w:eastAsia="仿宋_GB2312" w:cs="仿宋_GB2312"/>
          <w:color w:val="auto"/>
          <w:kern w:val="0"/>
          <w:sz w:val="32"/>
          <w:szCs w:val="32"/>
          <w:highlight w:val="none"/>
          <w:lang w:val="en-US" w:eastAsia="zh-CN"/>
        </w:rPr>
        <w:t>20.74</w:t>
      </w:r>
      <w:r>
        <w:rPr>
          <w:rFonts w:hint="eastAsia" w:ascii="仿宋_GB2312" w:hAnsi="仿宋_GB2312" w:eastAsia="仿宋_GB2312" w:cs="仿宋_GB2312"/>
          <w:color w:val="auto"/>
          <w:kern w:val="0"/>
          <w:sz w:val="32"/>
          <w:szCs w:val="32"/>
          <w:highlight w:val="none"/>
        </w:rPr>
        <w:t>万元，政府采购工程预算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万元，政府采购服务预算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highlight w:val="none"/>
          <w:lang w:val="en-US"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sz w:val="32"/>
          <w:highlight w:val="none"/>
          <w:lang w:val="en-US" w:eastAsia="zh-CN"/>
        </w:rPr>
        <w:t>昌吉州青少年示范性综合实践基地服务中心</w:t>
      </w:r>
      <w:r>
        <w:rPr>
          <w:rFonts w:hint="eastAsia" w:ascii="仿宋_GB2312" w:hAnsi="仿宋_GB2312" w:eastAsia="仿宋_GB2312" w:cs="仿宋_GB2312"/>
          <w:color w:val="auto"/>
          <w:sz w:val="32"/>
          <w:highlight w:val="none"/>
        </w:rPr>
        <w:t>面向中小企业预留政府采购项目预算金额</w:t>
      </w:r>
      <w:r>
        <w:rPr>
          <w:rFonts w:hint="eastAsia" w:ascii="仿宋_GB2312" w:hAnsi="仿宋_GB2312" w:eastAsia="仿宋_GB2312" w:cs="仿宋_GB2312"/>
          <w:color w:val="auto"/>
          <w:sz w:val="32"/>
          <w:highlight w:val="none"/>
          <w:lang w:val="en-US" w:eastAsia="zh-CN"/>
        </w:rPr>
        <w:t>20.74</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eastAsia" w:ascii="仿宋_GB2312" w:hAnsi="仿宋_GB2312" w:eastAsia="仿宋_GB2312" w:cs="仿宋_GB2312"/>
          <w:color w:val="auto"/>
          <w:sz w:val="32"/>
          <w:highlight w:val="none"/>
          <w:lang w:val="en-US" w:eastAsia="zh-CN"/>
        </w:rPr>
        <w:t>20.74</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截至</w:t>
      </w:r>
      <w:r>
        <w:rPr>
          <w:rFonts w:hint="eastAsia" w:ascii="仿宋_GB2312" w:hAnsi="仿宋_GB2312" w:eastAsia="仿宋_GB2312" w:cs="仿宋_GB2312"/>
          <w:color w:val="auto"/>
          <w:kern w:val="0"/>
          <w:sz w:val="32"/>
          <w:szCs w:val="32"/>
          <w:highlight w:val="none"/>
          <w:lang w:val="en-US" w:eastAsia="zh-CN"/>
        </w:rPr>
        <w:t>2024</w:t>
      </w:r>
      <w:r>
        <w:rPr>
          <w:rFonts w:hint="eastAsia" w:ascii="仿宋_GB2312" w:hAnsi="仿宋_GB2312" w:eastAsia="仿宋_GB2312" w:cs="仿宋_GB2312"/>
          <w:color w:val="auto"/>
          <w:kern w:val="0"/>
          <w:sz w:val="32"/>
          <w:szCs w:val="32"/>
          <w:highlight w:val="none"/>
        </w:rPr>
        <w:t>年底，</w:t>
      </w:r>
      <w:r>
        <w:rPr>
          <w:rFonts w:hint="eastAsia" w:ascii="仿宋_GB2312" w:hAnsi="仿宋_GB2312" w:eastAsia="仿宋_GB2312" w:cs="仿宋_GB2312"/>
          <w:color w:val="auto"/>
          <w:kern w:val="0"/>
          <w:sz w:val="32"/>
          <w:szCs w:val="32"/>
          <w:highlight w:val="none"/>
          <w:lang w:val="en-US" w:eastAsia="zh-CN"/>
        </w:rPr>
        <w:t>昌吉州青少年示范性综合实践基地服务中心</w:t>
      </w:r>
      <w:r>
        <w:rPr>
          <w:rFonts w:hint="eastAsia" w:ascii="仿宋_GB2312" w:hAnsi="仿宋_GB2312" w:eastAsia="仿宋_GB2312" w:cs="仿宋_GB2312"/>
          <w:color w:val="auto"/>
          <w:kern w:val="0"/>
          <w:sz w:val="32"/>
          <w:szCs w:val="32"/>
          <w:highlight w:val="none"/>
        </w:rPr>
        <w:t>占用使用国有资产总体情况为</w:t>
      </w:r>
      <w:r>
        <w:rPr>
          <w:rFonts w:hint="eastAsia" w:ascii="仿宋_GB2312" w:hAnsi="仿宋_GB2312" w:eastAsia="仿宋_GB2312" w:cs="仿宋_GB2312"/>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1.房屋</w:t>
      </w:r>
      <w:r>
        <w:rPr>
          <w:rFonts w:hint="eastAsia" w:ascii="仿宋_GB2312" w:hAnsi="仿宋_GB2312" w:eastAsia="仿宋_GB2312" w:cs="仿宋_GB2312"/>
          <w:color w:val="auto"/>
          <w:kern w:val="0"/>
          <w:sz w:val="32"/>
          <w:szCs w:val="32"/>
          <w:highlight w:val="none"/>
          <w:lang w:val="en-US" w:eastAsia="zh-CN"/>
        </w:rPr>
        <w:t>21110.66</w:t>
      </w:r>
      <w:r>
        <w:rPr>
          <w:rFonts w:hint="eastAsia" w:ascii="仿宋_GB2312" w:hAnsi="仿宋_GB2312" w:eastAsia="仿宋_GB2312" w:cs="仿宋_GB2312"/>
          <w:color w:val="auto"/>
          <w:kern w:val="0"/>
          <w:sz w:val="32"/>
          <w:szCs w:val="32"/>
          <w:highlight w:val="none"/>
        </w:rPr>
        <w:t>平方米，价值</w:t>
      </w:r>
      <w:r>
        <w:rPr>
          <w:rFonts w:hint="eastAsia" w:ascii="仿宋_GB2312" w:hAnsi="仿宋_GB2312" w:eastAsia="仿宋_GB2312" w:cs="仿宋_GB2312"/>
          <w:color w:val="auto"/>
          <w:kern w:val="0"/>
          <w:sz w:val="32"/>
          <w:szCs w:val="32"/>
          <w:highlight w:val="none"/>
          <w:lang w:val="en-US" w:eastAsia="zh-CN"/>
        </w:rPr>
        <w:t>4645.54</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2.车辆</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辆，价值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万元；其中：一般公务用车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万元；执法执勤用车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万元；其他车辆</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3.办公家具价值</w:t>
      </w:r>
      <w:r>
        <w:rPr>
          <w:rFonts w:hint="eastAsia" w:ascii="仿宋_GB2312" w:hAnsi="仿宋_GB2312" w:eastAsia="仿宋_GB2312" w:cs="仿宋_GB2312"/>
          <w:color w:val="auto"/>
          <w:kern w:val="0"/>
          <w:sz w:val="32"/>
          <w:szCs w:val="32"/>
          <w:highlight w:val="none"/>
          <w:lang w:val="en-US" w:eastAsia="zh-CN"/>
        </w:rPr>
        <w:t>66.82</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4.其他资产价值</w:t>
      </w:r>
      <w:r>
        <w:rPr>
          <w:rFonts w:hint="eastAsia" w:ascii="仿宋_GB2312" w:hAnsi="仿宋_GB2312" w:eastAsia="仿宋_GB2312" w:cs="仿宋_GB2312"/>
          <w:color w:val="auto"/>
          <w:kern w:val="0"/>
          <w:sz w:val="32"/>
          <w:szCs w:val="32"/>
          <w:highlight w:val="none"/>
          <w:lang w:val="en-US" w:eastAsia="zh-CN"/>
        </w:rPr>
        <w:t>617.37</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价值50万元以上大型设备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预算未安排购置车辆经费，安排购置50万元以上大型设备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台，单位价值100万元以上大型设备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bookmarkStart w:id="0" w:name="OLE_LINK1"/>
      <w:r>
        <w:rPr>
          <w:rFonts w:hint="default"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整体预算绩效目标1个，涉及预算金额299.48万元；当年预算安排项目共0个，其中:</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涉及预算金额0万元；</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万元。具体情况见下表：</w:t>
      </w:r>
      <w:r>
        <w:rPr>
          <w:rFonts w:hint="eastAsia" w:ascii="仿宋_GB2312" w:hAnsi="仿宋_GB2312" w:eastAsia="仿宋_GB2312" w:cs="仿宋_GB2312"/>
          <w:color w:val="auto"/>
          <w:kern w:val="0"/>
          <w:sz w:val="32"/>
          <w:szCs w:val="32"/>
          <w:highlight w:val="none"/>
          <w:lang w:val="en-US" w:eastAsia="zh-CN"/>
        </w:rPr>
        <w:t xml:space="preserve">  </w:t>
      </w:r>
    </w:p>
    <w:bookmarkEnd w:id="0"/>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p>
    <w:tbl>
      <w:tblPr>
        <w:tblStyle w:val="9"/>
        <w:tblpPr w:leftFromText="180" w:rightFromText="180" w:vertAnchor="text" w:horzAnchor="page" w:tblpX="1210" w:tblpY="-1043"/>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22"/>
        <w:gridCol w:w="1367"/>
        <w:gridCol w:w="1657"/>
        <w:gridCol w:w="1271"/>
        <w:gridCol w:w="2114"/>
        <w:gridCol w:w="18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both"/>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部门整体绩效目标表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2489"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单位</w:t>
            </w:r>
            <w:r>
              <w:rPr>
                <w:rFonts w:hint="eastAsia" w:ascii="宋体" w:hAnsi="宋体" w:eastAsia="宋体" w:cs="宋体"/>
                <w:i w:val="0"/>
                <w:iCs w:val="0"/>
                <w:color w:val="000000"/>
                <w:kern w:val="0"/>
                <w:sz w:val="20"/>
                <w:szCs w:val="20"/>
                <w:highlight w:val="none"/>
                <w:u w:val="none"/>
                <w:lang w:val="en-US" w:eastAsia="zh-CN" w:bidi="ar"/>
              </w:rPr>
              <w:t>名称（盖章）</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昌吉州青少年示范性综合实践基地服务中心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9" w:hRule="atLeast"/>
        </w:trPr>
        <w:tc>
          <w:tcPr>
            <w:tcW w:w="2489"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单位</w:t>
            </w:r>
            <w:r>
              <w:rPr>
                <w:rFonts w:hint="eastAsia" w:ascii="宋体" w:hAnsi="宋体" w:eastAsia="宋体" w:cs="宋体"/>
                <w:i w:val="0"/>
                <w:iCs w:val="0"/>
                <w:color w:val="000000"/>
                <w:kern w:val="0"/>
                <w:sz w:val="20"/>
                <w:szCs w:val="20"/>
                <w:highlight w:val="none"/>
                <w:u w:val="none"/>
                <w:lang w:val="en-US" w:eastAsia="zh-CN" w:bidi="ar"/>
              </w:rPr>
              <w:t>联系人</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朱英辉</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both"/>
              <w:rPr>
                <w:rFonts w:hint="eastAsia"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13909972009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92" w:hRule="atLeast"/>
        </w:trPr>
        <w:tc>
          <w:tcPr>
            <w:tcW w:w="2489" w:type="dxa"/>
            <w:gridSpan w:val="2"/>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sz w:val="15"/>
                <w:szCs w:val="15"/>
                <w:highlight w:val="none"/>
              </w:rPr>
            </w:pPr>
            <w:r>
              <w:rPr>
                <w:rFonts w:hint="eastAsia"/>
                <w:sz w:val="15"/>
                <w:szCs w:val="15"/>
                <w:highlight w:val="none"/>
              </w:rPr>
              <w:t>通过开展冰雪运动暨研学冬令营活动、2025年主题综合实践活动、“让爱飞扬·助你成长”2025年福建宁德援疆资助呼图壁县各乡镇农牧区学校公益研学活动、“弘扬优秀文化 争做时代少年”暑期研学综合实践活动、“大手拉小手 快乐迎新春”2025——2026学年寒假亲子研学实践暨开放日活动、呼图壁县速滑、篮球、排球运动特长生培训等活动，积极推进基地运营模式转变，更大发挥育人职能，保障各类综合实践教育课程正常开展及场馆的日常管理。</w:t>
            </w: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bCs/>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226.03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left"/>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73.45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9"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运行成本</w:t>
            </w:r>
          </w:p>
        </w:tc>
        <w:tc>
          <w:tcPr>
            <w:tcW w:w="136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highlight w:val="none"/>
                <w:u w:val="none"/>
              </w:rPr>
            </w:pP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highlight w:val="none"/>
                <w:u w:val="none"/>
              </w:rPr>
            </w:pP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管理效率</w:t>
            </w:r>
          </w:p>
        </w:tc>
        <w:tc>
          <w:tcPr>
            <w:tcW w:w="136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highlight w:val="none"/>
                <w:u w:val="none"/>
              </w:rPr>
            </w:pP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highlight w:val="none"/>
                <w:u w:val="none"/>
              </w:rPr>
            </w:pP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履职效能</w:t>
            </w:r>
          </w:p>
        </w:tc>
        <w:tc>
          <w:tcPr>
            <w:tcW w:w="1367"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cs="宋体"/>
                <w:i w:val="0"/>
                <w:iCs w:val="0"/>
                <w:color w:val="000000"/>
                <w:sz w:val="16"/>
                <w:szCs w:val="16"/>
                <w:highlight w:val="none"/>
                <w:u w:val="none"/>
                <w:lang w:val="en-US" w:eastAsia="zh-CN"/>
              </w:rPr>
              <w:t>综合实践活动参加平均人数</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cs="宋体"/>
                <w:i w:val="0"/>
                <w:iCs w:val="0"/>
                <w:color w:val="000000"/>
                <w:sz w:val="16"/>
                <w:szCs w:val="16"/>
                <w:highlight w:val="none"/>
                <w:u w:val="none"/>
                <w:lang w:val="en-US" w:eastAsia="zh-CN"/>
              </w:rPr>
              <w:t>&gt;=200人/次</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cs="宋体"/>
                <w:i w:val="0"/>
                <w:iCs w:val="0"/>
                <w:color w:val="000000"/>
                <w:sz w:val="16"/>
                <w:szCs w:val="16"/>
                <w:highlight w:val="none"/>
                <w:u w:val="none"/>
                <w:lang w:val="en-US" w:eastAsia="zh-CN"/>
              </w:rPr>
              <w:t>昌吉州青少年示范性综合实践基地服务中心2024年工作总结和2025年计划</w:t>
            </w: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default" w:ascii="宋体" w:hAnsi="宋体" w:eastAsia="宋体" w:cs="宋体"/>
                <w:i w:val="0"/>
                <w:iCs w:val="0"/>
                <w:color w:val="000000"/>
                <w:sz w:val="24"/>
                <w:szCs w:val="24"/>
                <w:highlight w:val="none"/>
                <w:u w:val="none"/>
                <w:lang w:val="en-US"/>
              </w:rPr>
            </w:pPr>
            <w:r>
              <w:rPr>
                <w:rFonts w:hint="eastAsia" w:ascii="宋体" w:hAnsi="宋体" w:cs="宋体"/>
                <w:i w:val="0"/>
                <w:iCs w:val="0"/>
                <w:color w:val="000000"/>
                <w:sz w:val="24"/>
                <w:szCs w:val="24"/>
                <w:highlight w:val="none"/>
                <w:u w:val="none"/>
                <w:lang w:val="en-US" w:eastAsia="zh-CN"/>
              </w:rPr>
              <w:t>21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vMerge w:val="continue"/>
            <w:tcBorders>
              <w:left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367" w:type="dxa"/>
            <w:vMerge w:val="continue"/>
            <w:tcBorders>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6"/>
                <w:szCs w:val="16"/>
                <w:highlight w:val="none"/>
                <w:u w:val="none"/>
              </w:rPr>
            </w:pPr>
            <w:r>
              <w:rPr>
                <w:rFonts w:hint="eastAsia" w:ascii="宋体" w:hAnsi="宋体" w:cs="宋体"/>
                <w:i w:val="0"/>
                <w:iCs w:val="0"/>
                <w:color w:val="000000"/>
                <w:sz w:val="16"/>
                <w:szCs w:val="16"/>
                <w:highlight w:val="none"/>
                <w:u w:val="none"/>
                <w:lang w:val="en-US" w:eastAsia="zh-CN"/>
              </w:rPr>
              <w:t>开展公益活动次数</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6"/>
                <w:szCs w:val="16"/>
                <w:highlight w:val="none"/>
                <w:u w:val="none"/>
              </w:rPr>
            </w:pPr>
            <w:r>
              <w:rPr>
                <w:rFonts w:hint="eastAsia" w:ascii="宋体" w:hAnsi="宋体" w:cs="宋体"/>
                <w:i w:val="0"/>
                <w:iCs w:val="0"/>
                <w:color w:val="000000"/>
                <w:sz w:val="16"/>
                <w:szCs w:val="16"/>
                <w:highlight w:val="none"/>
                <w:u w:val="none"/>
                <w:lang w:val="en-US" w:eastAsia="zh-CN"/>
              </w:rPr>
              <w:t>&lt;=10次</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highlight w:val="none"/>
                <w:u w:val="none"/>
              </w:rPr>
            </w:pPr>
            <w:r>
              <w:rPr>
                <w:rFonts w:hint="eastAsia" w:ascii="宋体" w:hAnsi="宋体" w:cs="宋体"/>
                <w:i w:val="0"/>
                <w:iCs w:val="0"/>
                <w:color w:val="000000"/>
                <w:sz w:val="16"/>
                <w:szCs w:val="16"/>
                <w:highlight w:val="none"/>
                <w:u w:val="none"/>
                <w:lang w:val="en-US" w:eastAsia="zh-CN"/>
              </w:rPr>
              <w:t>昌吉州青少年示范性综合实践基地服务中心2024年工作总结和2025年计划</w:t>
            </w: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default" w:ascii="宋体" w:hAnsi="宋体" w:eastAsia="宋体" w:cs="宋体"/>
                <w:i w:val="0"/>
                <w:iCs w:val="0"/>
                <w:color w:val="000000"/>
                <w:sz w:val="24"/>
                <w:szCs w:val="24"/>
                <w:highlight w:val="none"/>
                <w:u w:val="none"/>
                <w:lang w:val="en-US"/>
              </w:rPr>
            </w:pPr>
            <w:r>
              <w:rPr>
                <w:rFonts w:hint="eastAsia" w:ascii="宋体" w:hAnsi="宋体" w:cs="宋体"/>
                <w:i w:val="0"/>
                <w:iCs w:val="0"/>
                <w:color w:val="000000"/>
                <w:sz w:val="24"/>
                <w:szCs w:val="24"/>
                <w:highlight w:val="none"/>
                <w:u w:val="none"/>
                <w:lang w:val="en-US" w:eastAsia="zh-CN"/>
              </w:rPr>
              <w:t>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vMerge w:val="continue"/>
            <w:tcBorders>
              <w:left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时效指标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6"/>
                <w:szCs w:val="16"/>
                <w:highlight w:val="none"/>
                <w:u w:val="none"/>
              </w:rPr>
            </w:pPr>
            <w:r>
              <w:rPr>
                <w:rFonts w:hint="eastAsia" w:ascii="宋体" w:hAnsi="宋体" w:cs="宋体"/>
                <w:i w:val="0"/>
                <w:iCs w:val="0"/>
                <w:color w:val="000000"/>
                <w:sz w:val="16"/>
                <w:szCs w:val="16"/>
                <w:highlight w:val="none"/>
                <w:u w:val="none"/>
                <w:lang w:val="en-US" w:eastAsia="zh-CN"/>
              </w:rPr>
              <w:t>开展活动及时率</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6"/>
                <w:szCs w:val="16"/>
                <w:highlight w:val="none"/>
                <w:u w:val="none"/>
              </w:rPr>
            </w:pPr>
            <w:r>
              <w:rPr>
                <w:rFonts w:hint="eastAsia" w:ascii="宋体" w:hAnsi="宋体" w:cs="宋体"/>
                <w:i w:val="0"/>
                <w:iCs w:val="0"/>
                <w:color w:val="000000"/>
                <w:sz w:val="16"/>
                <w:szCs w:val="16"/>
                <w:highlight w:val="none"/>
                <w:u w:val="none"/>
                <w:lang w:val="en-US" w:eastAsia="zh-CN"/>
              </w:rPr>
              <w:t>=100%</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highlight w:val="none"/>
                <w:u w:val="none"/>
              </w:rPr>
            </w:pPr>
            <w:r>
              <w:rPr>
                <w:rFonts w:hint="eastAsia" w:ascii="宋体" w:hAnsi="宋体" w:cs="宋体"/>
                <w:i w:val="0"/>
                <w:iCs w:val="0"/>
                <w:color w:val="000000"/>
                <w:sz w:val="16"/>
                <w:szCs w:val="16"/>
                <w:highlight w:val="none"/>
                <w:u w:val="none"/>
                <w:lang w:val="en-US" w:eastAsia="zh-CN"/>
              </w:rPr>
              <w:t>昌吉州青少年示范性综合实践基地服务中心2024年工作总结和2025年计划</w:t>
            </w: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default" w:ascii="宋体" w:hAnsi="宋体" w:eastAsia="宋体" w:cs="宋体"/>
                <w:i w:val="0"/>
                <w:iCs w:val="0"/>
                <w:color w:val="000000"/>
                <w:sz w:val="24"/>
                <w:szCs w:val="24"/>
                <w:highlight w:val="none"/>
                <w:u w:val="none"/>
                <w:lang w:val="en-US"/>
              </w:rPr>
            </w:pPr>
            <w:r>
              <w:rPr>
                <w:rFonts w:hint="eastAsia" w:ascii="宋体" w:hAnsi="宋体" w:cs="宋体"/>
                <w:i w:val="0"/>
                <w:iCs w:val="0"/>
                <w:color w:val="000000"/>
                <w:sz w:val="24"/>
                <w:szCs w:val="24"/>
                <w:highlight w:val="none"/>
                <w:u w:val="none"/>
                <w:lang w:val="en-US" w:eastAsia="zh-CN"/>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vMerge w:val="continue"/>
            <w:tcBorders>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left"/>
              <w:rPr>
                <w:rFonts w:hint="eastAsia" w:ascii="宋体" w:hAnsi="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质量指标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cs="宋体"/>
                <w:i w:val="0"/>
                <w:iCs w:val="0"/>
                <w:color w:val="000000"/>
                <w:sz w:val="16"/>
                <w:szCs w:val="16"/>
                <w:highlight w:val="none"/>
                <w:u w:val="none"/>
                <w:lang w:val="en-US" w:eastAsia="zh-CN"/>
              </w:rPr>
            </w:pPr>
            <w:r>
              <w:rPr>
                <w:rFonts w:hint="eastAsia" w:ascii="宋体" w:hAnsi="宋体" w:cs="宋体"/>
                <w:i w:val="0"/>
                <w:iCs w:val="0"/>
                <w:color w:val="000000"/>
                <w:sz w:val="16"/>
                <w:szCs w:val="16"/>
                <w:highlight w:val="none"/>
                <w:u w:val="none"/>
                <w:lang w:val="en-US" w:eastAsia="zh-CN"/>
              </w:rPr>
              <w:t>综合实践活动合格率</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cs="宋体"/>
                <w:i w:val="0"/>
                <w:iCs w:val="0"/>
                <w:color w:val="000000"/>
                <w:sz w:val="16"/>
                <w:szCs w:val="16"/>
                <w:highlight w:val="none"/>
                <w:u w:val="none"/>
                <w:lang w:val="en-US" w:eastAsia="zh-CN"/>
              </w:rPr>
            </w:pPr>
            <w:r>
              <w:rPr>
                <w:rFonts w:hint="eastAsia" w:ascii="宋体" w:hAnsi="宋体" w:cs="宋体"/>
                <w:i w:val="0"/>
                <w:iCs w:val="0"/>
                <w:color w:val="000000"/>
                <w:sz w:val="16"/>
                <w:szCs w:val="16"/>
                <w:highlight w:val="none"/>
                <w:u w:val="none"/>
                <w:lang w:val="en-US" w:eastAsia="zh-CN"/>
              </w:rPr>
              <w:t>=100%</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eastAsia" w:ascii="宋体" w:hAnsi="宋体" w:cs="宋体"/>
                <w:i w:val="0"/>
                <w:iCs w:val="0"/>
                <w:color w:val="000000"/>
                <w:sz w:val="16"/>
                <w:szCs w:val="16"/>
                <w:highlight w:val="none"/>
                <w:u w:val="none"/>
                <w:lang w:val="en-US" w:eastAsia="zh-CN"/>
              </w:rPr>
            </w:pPr>
            <w:r>
              <w:rPr>
                <w:rFonts w:hint="eastAsia" w:ascii="宋体" w:hAnsi="宋体" w:cs="宋体"/>
                <w:i w:val="0"/>
                <w:iCs w:val="0"/>
                <w:color w:val="000000"/>
                <w:sz w:val="16"/>
                <w:szCs w:val="16"/>
                <w:highlight w:val="none"/>
                <w:u w:val="none"/>
                <w:lang w:val="en-US" w:eastAsia="zh-CN"/>
              </w:rPr>
              <w:t>昌吉州青少年示范性综合实践基地服务中心2024年工作总结和2025年计划</w:t>
            </w: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default" w:ascii="宋体" w:hAnsi="宋体" w:cs="宋体"/>
                <w:i w:val="0"/>
                <w:iCs w:val="0"/>
                <w:color w:val="000000"/>
                <w:sz w:val="24"/>
                <w:szCs w:val="24"/>
                <w:highlight w:val="none"/>
                <w:u w:val="none"/>
                <w:lang w:val="en-US" w:eastAsia="zh-CN"/>
              </w:rPr>
            </w:pPr>
            <w:r>
              <w:rPr>
                <w:rFonts w:hint="eastAsia" w:ascii="宋体" w:hAnsi="宋体" w:cs="宋体"/>
                <w:i w:val="0"/>
                <w:iCs w:val="0"/>
                <w:color w:val="000000"/>
                <w:sz w:val="24"/>
                <w:szCs w:val="24"/>
                <w:highlight w:val="none"/>
                <w:u w:val="none"/>
                <w:lang w:val="en-US" w:eastAsia="zh-CN"/>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7"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社会效益</w:t>
            </w:r>
          </w:p>
        </w:tc>
        <w:tc>
          <w:tcPr>
            <w:tcW w:w="136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highlight w:val="none"/>
                <w:u w:val="none"/>
              </w:rPr>
            </w:pP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highlight w:val="none"/>
                <w:u w:val="none"/>
              </w:rPr>
            </w:pP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4"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可持续发展能力</w:t>
            </w:r>
          </w:p>
        </w:tc>
        <w:tc>
          <w:tcPr>
            <w:tcW w:w="136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highlight w:val="none"/>
                <w:u w:val="none"/>
              </w:rPr>
            </w:pP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highlight w:val="none"/>
                <w:u w:val="none"/>
              </w:rPr>
            </w:pP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5" w:hRule="atLeast"/>
        </w:trPr>
        <w:tc>
          <w:tcPr>
            <w:tcW w:w="1122" w:type="dxa"/>
            <w:tcBorders>
              <w:top w:val="nil"/>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服务对象满意度</w:t>
            </w:r>
          </w:p>
        </w:tc>
        <w:tc>
          <w:tcPr>
            <w:tcW w:w="136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4"/>
                <w:szCs w:val="24"/>
                <w:highlight w:val="none"/>
                <w:u w:val="none"/>
              </w:rPr>
            </w:pPr>
          </w:p>
        </w:tc>
      </w:tr>
    </w:tbl>
    <w:p>
      <w:pPr>
        <w:keepNext w:val="0"/>
        <w:keepLines w:val="0"/>
        <w:pageBreakBefore w:val="0"/>
        <w:widowControl w:val="0"/>
        <w:numPr>
          <w:ilvl w:val="0"/>
          <w:numId w:val="2"/>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rPr>
        <w:t>其他需说明的事项</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仿宋_GB2312" w:eastAsia="仿宋_GB2312" w:cs="仿宋_GB2312"/>
          <w:b/>
          <w:kern w:val="0"/>
          <w:sz w:val="32"/>
          <w:szCs w:val="32"/>
          <w:highlight w:val="none"/>
        </w:rPr>
      </w:pPr>
      <w:r>
        <w:rPr>
          <w:rFonts w:hint="eastAsia" w:ascii="仿宋_GB2312" w:eastAsia="仿宋_GB2312"/>
          <w:sz w:val="32"/>
          <w:szCs w:val="32"/>
          <w:highlight w:val="none"/>
          <w:lang w:val="en-US" w:eastAsia="zh-CN"/>
        </w:rPr>
        <w:t>无</w:t>
      </w: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sz w:val="32"/>
          <w:szCs w:val="32"/>
          <w:highlight w:val="none"/>
        </w:rPr>
      </w:pPr>
      <w:r>
        <w:rPr>
          <w:rFonts w:hint="eastAsia" w:ascii="黑体" w:hAnsi="黑体" w:eastAsia="黑体"/>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楷体_GB2312" w:hAnsi="楷体_GB2312" w:eastAsia="楷体_GB2312" w:cs="楷体_GB2312"/>
          <w:b/>
          <w:bCs/>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lang w:eastAsia="zh-CN"/>
        </w:rPr>
        <w:t>部门</w:t>
      </w:r>
      <w:r>
        <w:rPr>
          <w:rFonts w:hint="eastAsia" w:ascii="仿宋_GB2312" w:eastAsia="仿宋_GB2312"/>
          <w:sz w:val="32"/>
          <w:szCs w:val="32"/>
          <w:highlight w:val="none"/>
          <w:lang w:val="en-US" w:eastAsia="zh-CN"/>
        </w:rPr>
        <w:t>（单位）</w:t>
      </w:r>
      <w:r>
        <w:rPr>
          <w:rFonts w:hint="eastAsia" w:ascii="仿宋_GB2312" w:eastAsia="仿宋_GB2312"/>
          <w:color w:val="auto"/>
          <w:sz w:val="32"/>
          <w:szCs w:val="32"/>
          <w:highlight w:val="none"/>
        </w:rPr>
        <w:t>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lang w:eastAsia="zh-CN"/>
        </w:rPr>
        <w:t>部门</w:t>
      </w:r>
      <w:r>
        <w:rPr>
          <w:rFonts w:hint="eastAsia" w:ascii="仿宋_GB2312" w:eastAsia="仿宋_GB2312"/>
          <w:color w:val="auto"/>
          <w:sz w:val="32"/>
          <w:szCs w:val="32"/>
          <w:highlight w:val="none"/>
        </w:rPr>
        <w:t>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部门（单位）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公务用车购置反映机关和参公事业单位公务用车购置支出（含车辆购置税、牌照费）；</w:t>
      </w:r>
      <w:r>
        <w:rPr>
          <w:rFonts w:hint="eastAsia" w:ascii="仿宋_GB2312" w:eastAsia="仿宋_GB2312"/>
          <w:sz w:val="32"/>
          <w:szCs w:val="32"/>
          <w:highlight w:val="none"/>
        </w:rPr>
        <w:t>公务用车运行维护费反映</w:t>
      </w:r>
      <w:r>
        <w:rPr>
          <w:rFonts w:hint="eastAsia" w:ascii="仿宋_GB2312" w:eastAsia="仿宋_GB2312"/>
          <w:sz w:val="32"/>
          <w:szCs w:val="32"/>
          <w:highlight w:val="none"/>
          <w:lang w:val="en-US" w:eastAsia="zh-CN"/>
        </w:rPr>
        <w:t>机关和参公事业单位按规定保留的公务用车燃料费、新能源汽车充电费、维修费、过桥过路费、保险费、安全奖励费用等支出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right"/>
        <w:textAlignment w:val="auto"/>
        <w:outlineLvl w:val="9"/>
        <w:rPr>
          <w:rFonts w:hint="eastAsia" w:ascii="仿宋_GB2312" w:hAnsi="宋体" w:eastAsia="仿宋_GB2312" w:cs="宋体"/>
          <w:kern w:val="0"/>
          <w:sz w:val="32"/>
          <w:szCs w:val="32"/>
          <w:highlight w:val="none"/>
          <w:lang w:eastAsia="zh-CN"/>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昌吉州青少年示范性综合实践基地服务中心</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2025年2</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12</w:t>
      </w:r>
      <w:r>
        <w:rPr>
          <w:rFonts w:ascii="仿宋_GB2312" w:hAnsi="宋体" w:eastAsia="仿宋_GB2312" w:cs="宋体"/>
          <w:kern w:val="0"/>
          <w:sz w:val="32"/>
          <w:szCs w:val="32"/>
          <w:highlight w:val="none"/>
        </w:rPr>
        <w:t>日</w:t>
      </w:r>
    </w:p>
    <w:p>
      <w:pPr>
        <w:rPr>
          <w:highlight w:val="none"/>
        </w:rPr>
      </w:pPr>
    </w:p>
    <w:p>
      <w:pPr>
        <w:rPr>
          <w:highlight w:val="none"/>
        </w:rPr>
      </w:pPr>
    </w:p>
    <w:bookmarkEnd w:id="1"/>
    <w:sectPr>
      <w:pgSz w:w="11906" w:h="16838"/>
      <w:pgMar w:top="1440" w:right="1800" w:bottom="1440" w:left="1800" w:header="851" w:footer="992" w:gutter="0"/>
      <w:pgBorders>
        <w:top w:val="none" w:sz="0" w:space="0"/>
        <w:left w:val="none" w:sz="0" w:space="0"/>
        <w:bottom w:val="none" w:sz="0" w:space="0"/>
        <w:right w:val="none" w:sz="0" w:space="0"/>
      </w:pgBorders>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auto"/>
    <w:pitch w:val="default"/>
    <w:sig w:usb0="00000000" w:usb1="00000000"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- 1 -</w:t>
                    </w:r>
                    <w:r>
                      <w:fldChar w:fldCharType="end"/>
                    </w:r>
                  </w:p>
                </w:txbxContent>
              </v:textbox>
            </v:shape>
          </w:pict>
        </mc:Fallback>
      </mc:AlternateContent>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2</w:t>
                    </w:r>
                    <w:r>
                      <w:fldChar w:fldCharType="end"/>
                    </w:r>
                  </w:p>
                </w:txbxContent>
              </v:textbox>
            </v:shape>
          </w:pict>
        </mc:Fallback>
      </mc:AlternateContent>
    </w:r>
  </w:p>
  <w:p>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right"/>
      <w:rPr>
        <w:rFonts w:ascii="宋体" w:hAnsi="宋体" w:eastAsia="宋体"/>
        <w:sz w:val="28"/>
        <w:szCs w:val="28"/>
      </w:rPr>
    </w:pPr>
  </w:p>
  <w:p>
    <w:pPr>
      <w:pStyle w:val="6"/>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- 56 -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- 56 -</w:t>
                    </w:r>
                    <w:r>
                      <w:fldChar w:fldCharType="end"/>
                    </w:r>
                  </w:p>
                </w:txbxContent>
              </v:textbox>
            </v:shape>
          </w:pict>
        </mc:Fallback>
      </mc:AlternateContent>
    </w:r>
  </w:p>
  <w:p>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B637A68"/>
    <w:multiLevelType w:val="singleLevel"/>
    <w:tmpl w:val="4B637A68"/>
    <w:lvl w:ilvl="0" w:tentative="0">
      <w:start w:val="1"/>
      <w:numFmt w:val="chineseCounting"/>
      <w:suff w:val="space"/>
      <w:lvlText w:val="第%1部分"/>
      <w:lvlJc w:val="left"/>
      <w:rPr>
        <w:rFonts w:hint="eastAsia"/>
      </w:rPr>
    </w:lvl>
  </w:abstractNum>
  <w:abstractNum w:abstractNumId="1">
    <w:nsid w:val="67A6F01B"/>
    <w:multiLevelType w:val="singleLevel"/>
    <w:tmpl w:val="67A6F01B"/>
    <w:lvl w:ilvl="0" w:tentative="0">
      <w:start w:val="5"/>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3YWZmNmEwZDkxMGNiYjJmNmQzY2NjYWE2ZGZhYWUifQ=="/>
  </w:docVars>
  <w:rsids>
    <w:rsidRoot w:val="10587512"/>
    <w:rsid w:val="00360284"/>
    <w:rsid w:val="00E41A1F"/>
    <w:rsid w:val="010D7B19"/>
    <w:rsid w:val="017B2F92"/>
    <w:rsid w:val="01EF05E9"/>
    <w:rsid w:val="020E507E"/>
    <w:rsid w:val="02732F8E"/>
    <w:rsid w:val="02CB7F49"/>
    <w:rsid w:val="037800D1"/>
    <w:rsid w:val="03FA1968"/>
    <w:rsid w:val="04267087"/>
    <w:rsid w:val="04267B2D"/>
    <w:rsid w:val="044C330C"/>
    <w:rsid w:val="04852F8B"/>
    <w:rsid w:val="05397FD9"/>
    <w:rsid w:val="057A5F58"/>
    <w:rsid w:val="05CA273A"/>
    <w:rsid w:val="070E6657"/>
    <w:rsid w:val="080E3E4F"/>
    <w:rsid w:val="084451C2"/>
    <w:rsid w:val="08450B28"/>
    <w:rsid w:val="086C161E"/>
    <w:rsid w:val="08762705"/>
    <w:rsid w:val="088F5575"/>
    <w:rsid w:val="08C27E11"/>
    <w:rsid w:val="08E81855"/>
    <w:rsid w:val="0A4168EC"/>
    <w:rsid w:val="0AD527FC"/>
    <w:rsid w:val="0AD672A7"/>
    <w:rsid w:val="0B247F12"/>
    <w:rsid w:val="0B7C3034"/>
    <w:rsid w:val="0B841FFD"/>
    <w:rsid w:val="0BD56A2F"/>
    <w:rsid w:val="0C0A3890"/>
    <w:rsid w:val="0CD20198"/>
    <w:rsid w:val="0CEC568C"/>
    <w:rsid w:val="0D09225C"/>
    <w:rsid w:val="0D153D19"/>
    <w:rsid w:val="0D6E5FD0"/>
    <w:rsid w:val="0E252C91"/>
    <w:rsid w:val="0E320E7D"/>
    <w:rsid w:val="0E9208E7"/>
    <w:rsid w:val="0F483C40"/>
    <w:rsid w:val="10587512"/>
    <w:rsid w:val="105D0E37"/>
    <w:rsid w:val="10916BDA"/>
    <w:rsid w:val="11036B00"/>
    <w:rsid w:val="11301FEB"/>
    <w:rsid w:val="11B6451D"/>
    <w:rsid w:val="121E62E8"/>
    <w:rsid w:val="151E0C51"/>
    <w:rsid w:val="158C3991"/>
    <w:rsid w:val="15FA1762"/>
    <w:rsid w:val="1697741D"/>
    <w:rsid w:val="1929359D"/>
    <w:rsid w:val="19A215AC"/>
    <w:rsid w:val="1A132B78"/>
    <w:rsid w:val="1A740CA5"/>
    <w:rsid w:val="1AA43FC8"/>
    <w:rsid w:val="1AC437A4"/>
    <w:rsid w:val="1B153D26"/>
    <w:rsid w:val="1BEB54C3"/>
    <w:rsid w:val="1C3C6084"/>
    <w:rsid w:val="1C8C02F2"/>
    <w:rsid w:val="1CA73AE4"/>
    <w:rsid w:val="1CE65F0A"/>
    <w:rsid w:val="1D3E1AFE"/>
    <w:rsid w:val="1E6432D4"/>
    <w:rsid w:val="1E89232D"/>
    <w:rsid w:val="1EB61656"/>
    <w:rsid w:val="1F634346"/>
    <w:rsid w:val="20407429"/>
    <w:rsid w:val="20CF3CE4"/>
    <w:rsid w:val="20DD55C0"/>
    <w:rsid w:val="21A57DB5"/>
    <w:rsid w:val="21BF1163"/>
    <w:rsid w:val="221F5B28"/>
    <w:rsid w:val="224A5D17"/>
    <w:rsid w:val="22922CB8"/>
    <w:rsid w:val="22DB78DD"/>
    <w:rsid w:val="22FD2C88"/>
    <w:rsid w:val="244D65B8"/>
    <w:rsid w:val="2492221D"/>
    <w:rsid w:val="24B42D8E"/>
    <w:rsid w:val="250855AF"/>
    <w:rsid w:val="25291474"/>
    <w:rsid w:val="258B383C"/>
    <w:rsid w:val="263B7010"/>
    <w:rsid w:val="265342DE"/>
    <w:rsid w:val="26756E67"/>
    <w:rsid w:val="26B4291F"/>
    <w:rsid w:val="26BD282A"/>
    <w:rsid w:val="26E769FA"/>
    <w:rsid w:val="274E16A2"/>
    <w:rsid w:val="27C03F8F"/>
    <w:rsid w:val="27D1326D"/>
    <w:rsid w:val="27D7683A"/>
    <w:rsid w:val="28657610"/>
    <w:rsid w:val="286D65BC"/>
    <w:rsid w:val="28D9041B"/>
    <w:rsid w:val="293B2E83"/>
    <w:rsid w:val="29F02766"/>
    <w:rsid w:val="29FE0BC7"/>
    <w:rsid w:val="2A147884"/>
    <w:rsid w:val="2A6D16BD"/>
    <w:rsid w:val="2A8C69F9"/>
    <w:rsid w:val="2AFC4894"/>
    <w:rsid w:val="2B0F140D"/>
    <w:rsid w:val="2B3A05DE"/>
    <w:rsid w:val="2B6901C6"/>
    <w:rsid w:val="2C73023A"/>
    <w:rsid w:val="2D480265"/>
    <w:rsid w:val="2D977453"/>
    <w:rsid w:val="2DCC7165"/>
    <w:rsid w:val="2DF36F3C"/>
    <w:rsid w:val="2E216FBC"/>
    <w:rsid w:val="2E2943BA"/>
    <w:rsid w:val="2E420637"/>
    <w:rsid w:val="2EF148C9"/>
    <w:rsid w:val="2EF22236"/>
    <w:rsid w:val="2F25563A"/>
    <w:rsid w:val="2FEC51AE"/>
    <w:rsid w:val="2FED29FE"/>
    <w:rsid w:val="300E1D4A"/>
    <w:rsid w:val="30B05F05"/>
    <w:rsid w:val="310F3573"/>
    <w:rsid w:val="32D560F7"/>
    <w:rsid w:val="33A76F60"/>
    <w:rsid w:val="341E7629"/>
    <w:rsid w:val="35F117C8"/>
    <w:rsid w:val="360626D9"/>
    <w:rsid w:val="363A281C"/>
    <w:rsid w:val="38284F1B"/>
    <w:rsid w:val="393D1C22"/>
    <w:rsid w:val="39B0409D"/>
    <w:rsid w:val="3AAE3718"/>
    <w:rsid w:val="3AF6657F"/>
    <w:rsid w:val="3BE45FB7"/>
    <w:rsid w:val="3BF21AC7"/>
    <w:rsid w:val="3C013037"/>
    <w:rsid w:val="3C3F6D2B"/>
    <w:rsid w:val="3D821840"/>
    <w:rsid w:val="3DE15672"/>
    <w:rsid w:val="3DFB7018"/>
    <w:rsid w:val="3F8C4C9F"/>
    <w:rsid w:val="3FDF4D23"/>
    <w:rsid w:val="40C05B62"/>
    <w:rsid w:val="41083B3B"/>
    <w:rsid w:val="41270465"/>
    <w:rsid w:val="41DB2FFE"/>
    <w:rsid w:val="427F2B20"/>
    <w:rsid w:val="42F779C3"/>
    <w:rsid w:val="43502DA9"/>
    <w:rsid w:val="43C26223"/>
    <w:rsid w:val="43D8307E"/>
    <w:rsid w:val="44507CD3"/>
    <w:rsid w:val="44AF5181"/>
    <w:rsid w:val="45100899"/>
    <w:rsid w:val="455A018C"/>
    <w:rsid w:val="45C238C0"/>
    <w:rsid w:val="461C5174"/>
    <w:rsid w:val="462B087B"/>
    <w:rsid w:val="46B02CAB"/>
    <w:rsid w:val="46CE3131"/>
    <w:rsid w:val="47092D79"/>
    <w:rsid w:val="47BE0CF6"/>
    <w:rsid w:val="493059DD"/>
    <w:rsid w:val="493F2589"/>
    <w:rsid w:val="494F7907"/>
    <w:rsid w:val="49520162"/>
    <w:rsid w:val="496A1F74"/>
    <w:rsid w:val="4A981A3E"/>
    <w:rsid w:val="4ADF73DC"/>
    <w:rsid w:val="4B1B26BD"/>
    <w:rsid w:val="4B315A3D"/>
    <w:rsid w:val="4B5F3CD8"/>
    <w:rsid w:val="4BA844A7"/>
    <w:rsid w:val="4BE60691"/>
    <w:rsid w:val="4C0055E5"/>
    <w:rsid w:val="4C2000FA"/>
    <w:rsid w:val="4C3677AE"/>
    <w:rsid w:val="4C706B3A"/>
    <w:rsid w:val="4CDC3A6E"/>
    <w:rsid w:val="4F3B332E"/>
    <w:rsid w:val="4F4F1577"/>
    <w:rsid w:val="4FA57764"/>
    <w:rsid w:val="51586F9D"/>
    <w:rsid w:val="51B36EA4"/>
    <w:rsid w:val="51C15CED"/>
    <w:rsid w:val="52285DEB"/>
    <w:rsid w:val="52AD62F0"/>
    <w:rsid w:val="52CE513F"/>
    <w:rsid w:val="52F328C0"/>
    <w:rsid w:val="532B1EEB"/>
    <w:rsid w:val="53415884"/>
    <w:rsid w:val="536A5DDE"/>
    <w:rsid w:val="53A94D0A"/>
    <w:rsid w:val="546308FE"/>
    <w:rsid w:val="547D1722"/>
    <w:rsid w:val="54FC0BB3"/>
    <w:rsid w:val="551932B0"/>
    <w:rsid w:val="56FE59C9"/>
    <w:rsid w:val="570D735E"/>
    <w:rsid w:val="571B2674"/>
    <w:rsid w:val="589917F1"/>
    <w:rsid w:val="58A52B43"/>
    <w:rsid w:val="58B94F39"/>
    <w:rsid w:val="59B241EC"/>
    <w:rsid w:val="59C573FE"/>
    <w:rsid w:val="5A5E27F6"/>
    <w:rsid w:val="5A704801"/>
    <w:rsid w:val="5A8C5E4D"/>
    <w:rsid w:val="5AED2A9A"/>
    <w:rsid w:val="5BA44784"/>
    <w:rsid w:val="5C0514CA"/>
    <w:rsid w:val="5C567704"/>
    <w:rsid w:val="5D1671FB"/>
    <w:rsid w:val="5D3A29E9"/>
    <w:rsid w:val="5D9E1657"/>
    <w:rsid w:val="5DB85D3B"/>
    <w:rsid w:val="5E225DE5"/>
    <w:rsid w:val="5E257683"/>
    <w:rsid w:val="5E7802BC"/>
    <w:rsid w:val="5EE078B0"/>
    <w:rsid w:val="5F0D5523"/>
    <w:rsid w:val="5F2346ED"/>
    <w:rsid w:val="61086613"/>
    <w:rsid w:val="615B2249"/>
    <w:rsid w:val="61686204"/>
    <w:rsid w:val="6208276C"/>
    <w:rsid w:val="62636358"/>
    <w:rsid w:val="62917095"/>
    <w:rsid w:val="62A36819"/>
    <w:rsid w:val="630E06E5"/>
    <w:rsid w:val="6408782B"/>
    <w:rsid w:val="64EF4C48"/>
    <w:rsid w:val="65322CBF"/>
    <w:rsid w:val="65710A1C"/>
    <w:rsid w:val="65B35574"/>
    <w:rsid w:val="65C658ED"/>
    <w:rsid w:val="673C0E0A"/>
    <w:rsid w:val="68CC52CB"/>
    <w:rsid w:val="68DE4FFE"/>
    <w:rsid w:val="691B0000"/>
    <w:rsid w:val="694B58D7"/>
    <w:rsid w:val="69CE4E15"/>
    <w:rsid w:val="6A8232BF"/>
    <w:rsid w:val="6B3E7E06"/>
    <w:rsid w:val="6B7F3246"/>
    <w:rsid w:val="6BBE3934"/>
    <w:rsid w:val="6BE62F83"/>
    <w:rsid w:val="6BF904A6"/>
    <w:rsid w:val="6CA653FF"/>
    <w:rsid w:val="6CB5251A"/>
    <w:rsid w:val="6CD429A0"/>
    <w:rsid w:val="6E915473"/>
    <w:rsid w:val="6EF07839"/>
    <w:rsid w:val="6EF36998"/>
    <w:rsid w:val="6F63000B"/>
    <w:rsid w:val="6FCF0C72"/>
    <w:rsid w:val="6FF36F16"/>
    <w:rsid w:val="6FF877BF"/>
    <w:rsid w:val="707637F4"/>
    <w:rsid w:val="711E2B50"/>
    <w:rsid w:val="71500A63"/>
    <w:rsid w:val="717C1858"/>
    <w:rsid w:val="71AB404A"/>
    <w:rsid w:val="72495E0D"/>
    <w:rsid w:val="72B56DCF"/>
    <w:rsid w:val="72E964BC"/>
    <w:rsid w:val="735246A6"/>
    <w:rsid w:val="735C7C42"/>
    <w:rsid w:val="74027B12"/>
    <w:rsid w:val="74D07EF1"/>
    <w:rsid w:val="7507425C"/>
    <w:rsid w:val="75B00DE3"/>
    <w:rsid w:val="75B570E6"/>
    <w:rsid w:val="75BF3AC1"/>
    <w:rsid w:val="76510710"/>
    <w:rsid w:val="76E109A6"/>
    <w:rsid w:val="7706409E"/>
    <w:rsid w:val="7757596E"/>
    <w:rsid w:val="7797777E"/>
    <w:rsid w:val="77C35AA9"/>
    <w:rsid w:val="780A1873"/>
    <w:rsid w:val="783978AD"/>
    <w:rsid w:val="787D11B8"/>
    <w:rsid w:val="78A771BA"/>
    <w:rsid w:val="78AC6820"/>
    <w:rsid w:val="792C5912"/>
    <w:rsid w:val="7AB8083C"/>
    <w:rsid w:val="7CBA4FE2"/>
    <w:rsid w:val="7D06612B"/>
    <w:rsid w:val="7D2C22A3"/>
    <w:rsid w:val="7E880152"/>
    <w:rsid w:val="7E8B30D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4">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1">
    <w:name w:val="Default Paragraph Font"/>
    <w:semiHidden/>
    <w:qFormat/>
    <w:uiPriority w:val="0"/>
  </w:style>
  <w:style w:type="table" w:default="1" w:styleId="9">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footnote text"/>
    <w:basedOn w:val="1"/>
    <w:link w:val="14"/>
    <w:qFormat/>
    <w:uiPriority w:val="0"/>
    <w:pPr>
      <w:snapToGrid w:val="0"/>
      <w:jc w:val="left"/>
    </w:pPr>
    <w:rPr>
      <w:sz w:val="18"/>
    </w:rPr>
  </w:style>
  <w:style w:type="paragraph" w:styleId="5">
    <w:name w:val="annotation text"/>
    <w:basedOn w:val="1"/>
    <w:qFormat/>
    <w:uiPriority w:val="0"/>
    <w:pPr>
      <w:jc w:val="left"/>
    </w:pPr>
  </w:style>
  <w:style w:type="paragraph" w:styleId="6">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font11"/>
    <w:basedOn w:val="11"/>
    <w:qFormat/>
    <w:uiPriority w:val="0"/>
    <w:rPr>
      <w:rFonts w:hint="eastAsia" w:ascii="宋体" w:hAnsi="宋体" w:eastAsia="宋体" w:cs="宋体"/>
      <w:color w:val="000000"/>
      <w:sz w:val="24"/>
      <w:szCs w:val="24"/>
      <w:u w:val="none"/>
    </w:rPr>
  </w:style>
  <w:style w:type="character" w:customStyle="1" w:styleId="13">
    <w:name w:val="font51"/>
    <w:basedOn w:val="11"/>
    <w:qFormat/>
    <w:uiPriority w:val="0"/>
    <w:rPr>
      <w:rFonts w:hint="default" w:ascii="Times New Roman" w:hAnsi="Times New Roman" w:cs="Times New Roman"/>
      <w:color w:val="000000"/>
      <w:sz w:val="24"/>
      <w:szCs w:val="24"/>
      <w:u w:val="none"/>
    </w:rPr>
  </w:style>
  <w:style w:type="character" w:customStyle="1" w:styleId="14">
    <w:name w:val="脚注文本 字符"/>
    <w:basedOn w:val="11"/>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26</Pages>
  <Words>6415</Words>
  <Characters>7519</Characters>
  <Lines>0</Lines>
  <Paragraphs>0</Paragraphs>
  <TotalTime>5</TotalTime>
  <ScaleCrop>false</ScaleCrop>
  <LinksUpToDate>false</LinksUpToDate>
  <CharactersWithSpaces>8729</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2024-01-09T13:20:00Z</dcterms:created>
  <dc:creator>审核人</dc:creator>
  <cp:lastModifiedBy>htbczj</cp:lastModifiedBy>
  <dcterms:modified xsi:type="dcterms:W3CDTF">2025-10-28T09:31:52Z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26EF80DDF83249758FBE57B6CC817EFD_13</vt:lpwstr>
  </property>
  <property fmtid="{D5CDD505-2E9C-101B-9397-08002B2CF9AE}" pid="4" name="KSOTemplateDocerSaveRecord">
    <vt:lpwstr>eyJoZGlkIjoiNjY2NzEwZWVhMWZlNDZlMTE3NDBlNzBjOTU5NDMxNTEiLCJ1c2VySWQiOiI2NTM1MTIyMzEifQ==</vt:lpwstr>
  </property>
</Properties>
</file>