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1" w:name="_GoBack"/>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000000" w:themeColor="text1"/>
          <w:kern w:val="0"/>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kern w:val="0"/>
          <w:sz w:val="44"/>
          <w:szCs w:val="44"/>
          <w:highlight w:val="none"/>
          <w:lang w:val="en-US" w:eastAsia="zh-CN"/>
          <w14:textFill>
            <w14:solidFill>
              <w14:schemeClr w14:val="tx1"/>
            </w14:solidFill>
          </w14:textFill>
        </w:rPr>
        <w:t>中共呼图壁县委员会办公室</w:t>
      </w:r>
    </w:p>
    <w:p>
      <w:pPr>
        <w:widowControl/>
        <w:spacing w:before="100" w:beforeAutospacing="1" w:after="100" w:afterAutospacing="1"/>
        <w:jc w:val="center"/>
        <w:outlineLvl w:val="1"/>
        <w:rPr>
          <w:rFonts w:hint="default" w:ascii="方正小标宋_GBK" w:hAnsi="宋体" w:eastAsia="方正小标宋_GBK"/>
          <w:color w:val="000000" w:themeColor="text1"/>
          <w:kern w:val="0"/>
          <w:sz w:val="44"/>
          <w:szCs w:val="44"/>
          <w:highlight w:val="none"/>
          <w14:textFill>
            <w14:solidFill>
              <w14:schemeClr w14:val="tx1"/>
            </w14:solidFill>
          </w14:textFill>
        </w:rPr>
      </w:pPr>
      <w:r>
        <w:rPr>
          <w:rFonts w:hint="eastAsia" w:ascii="方正小标宋_GBK" w:hAnsi="宋体" w:eastAsia="方正小标宋_GBK"/>
          <w:color w:val="000000" w:themeColor="text1"/>
          <w:kern w:val="0"/>
          <w:sz w:val="44"/>
          <w:szCs w:val="44"/>
          <w:highlight w:val="none"/>
          <w:lang w:val="en-US" w:eastAsia="zh-CN"/>
          <w14:textFill>
            <w14:solidFill>
              <w14:schemeClr w14:val="tx1"/>
            </w14:solidFill>
          </w14:textFill>
        </w:rPr>
        <w:t>2025年</w:t>
      </w:r>
      <w:r>
        <w:rPr>
          <w:rFonts w:hint="eastAsia" w:ascii="方正小标宋_GBK" w:hAnsi="宋体" w:eastAsia="方正小标宋_GBK"/>
          <w:color w:val="000000" w:themeColor="text1"/>
          <w:kern w:val="0"/>
          <w:sz w:val="44"/>
          <w:szCs w:val="44"/>
          <w:highlight w:val="none"/>
          <w:lang w:eastAsia="zh-CN"/>
          <w14:textFill>
            <w14:solidFill>
              <w14:schemeClr w14:val="tx1"/>
            </w14:solidFill>
          </w14:textFill>
        </w:rPr>
        <w:t>部门</w:t>
      </w:r>
      <w:r>
        <w:rPr>
          <w:rFonts w:hint="eastAsia" w:ascii="方正小标宋_GBK" w:hAnsi="宋体" w:eastAsia="方正小标宋_GBK"/>
          <w:color w:val="000000" w:themeColor="text1"/>
          <w:kern w:val="0"/>
          <w:sz w:val="44"/>
          <w:szCs w:val="44"/>
          <w:highlight w:val="none"/>
          <w14:textFill>
            <w14:solidFill>
              <w14:schemeClr w14:val="tx1"/>
            </w14:solidFill>
          </w14:textFill>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2025年中共呼图壁县委员会办公室部门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2025年中共呼图壁县委员会办公室部门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2"/>
        <w:spacing w:line="560" w:lineRule="exact"/>
        <w:ind w:left="0" w:leftChars="0"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中共呼图壁县委员会办公室的主要职能是：负责推动以习近平同志为核心的党中央治疆方略、自治区、自治州党委和县党委决策部署的贯彻落实，按照县党委要求协调有关方面开展工作，承担县党委运行保障具体事务，在履行职责过程中坚持和加强党的集中统一领导。为正科级，对外加挂县党委政策研究室、县档案局牌子。负责县党委日常工作的综合协调，承担与县党委各议事协调机构办公室的协调工作。负责县党委日常文电的处理工作，承担县党委和县党委办公室文件文稿的起草、修改、审核和制发、立卷、归档工作。负责上级及县党委重大决策和重要工作部署落实情况的督促检查和县党委文件、县党委领导同志指示批示的催办落实工作。负责全面了解全县经济与社会发展情况，及时掌握各地各部门重大动态，为县党委科学决策发挥参谋助手作用。围绕县党委总体工作部署，负责全县重要信息的收集处理，及时向自治州党委办公室报送信息；负责接收、传达中央、自治区、自治州和县党委、县人民政府有关部门的专件等。负责县党委各种会议的会务工作和县党委领导同志参加重大活动的组织安排；负责县党委领导进行督促检查的服务工作和组织协调工作；负责中央、自治区、自治州党委系统领导和区内外县（市）党委系统领导来我县接待服务工作。负责县人大、县人民政府报县党委的规范性文件的政策性研究审核及县党委和县党委办公室公文的核文把关。负责县党委系统信息化的统一规划、协调和建设管理工作。根据县党委的意图和部署，围绕县党委、县人民政府中心工作，统筹协调各乡镇、各部门，对全县重大问题进行调查研究，提出意见和建议，供县党委、县人民政府决策参考。承担县党委全面深化改革规划和年度重点任务的制定并实施；负责统筹和组织实施各乡镇、各牵头部门重大改革任务成效评估和绩效考核。研究党的路线方针政策和自治区、自治州党委、人民政府重大决策和举措，对重大问题进行调查研究，收集研究疆内外各地先进经验和创新举措，提出意见和建议，组织和参与经济社会发展的重大政策研究和制定。负责全县档案事业行政管理，负责县档案馆重要档案提供利用的审批工作。承办县党委交办的其它工作。</w:t>
      </w: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pStyle w:val="12"/>
        <w:spacing w:line="560" w:lineRule="exact"/>
        <w:ind w:firstLine="560"/>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中共呼图壁县委员会办公室无下属预算单位，下设9个处室，分别是：秘书室、文书室、信息调研室、督查督办室、行政办、档案管理室、改革联络室、财经联络室、国安联络室。</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中共呼图壁县委员会办公室编</w:t>
      </w:r>
      <w:r>
        <w:rPr>
          <w:rFonts w:hint="eastAsia" w:ascii="仿宋_GB2312" w:hAnsi="宋体" w:eastAsia="仿宋_GB2312" w:cs="宋体"/>
          <w:color w:val="auto"/>
          <w:kern w:val="0"/>
          <w:sz w:val="32"/>
          <w:szCs w:val="32"/>
          <w:highlight w:val="none"/>
        </w:rPr>
        <w:t>制数</w:t>
      </w:r>
      <w:r>
        <w:rPr>
          <w:rFonts w:hint="eastAsia" w:ascii="仿宋_GB2312" w:hAnsi="宋体" w:eastAsia="仿宋_GB2312" w:cs="宋体"/>
          <w:color w:val="auto"/>
          <w:kern w:val="0"/>
          <w:sz w:val="32"/>
          <w:szCs w:val="32"/>
          <w:highlight w:val="none"/>
          <w:lang w:val="en-US" w:eastAsia="zh-CN"/>
        </w:rPr>
        <w:t>44</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44</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pStyle w:val="5"/>
        <w:rPr>
          <w:rFonts w:hint="eastAsia" w:ascii="黑体" w:hAnsi="黑体" w:eastAsia="黑体"/>
          <w:color w:val="auto"/>
          <w:kern w:val="0"/>
          <w:sz w:val="32"/>
          <w:szCs w:val="32"/>
          <w:highlight w:val="none"/>
        </w:rPr>
      </w:pPr>
    </w:p>
    <w:p>
      <w:pPr>
        <w:pStyle w:val="5"/>
        <w:rPr>
          <w:rFonts w:hint="eastAsia" w:ascii="黑体" w:hAnsi="黑体" w:eastAsia="黑体"/>
          <w:color w:val="auto"/>
          <w:kern w:val="0"/>
          <w:sz w:val="32"/>
          <w:szCs w:val="32"/>
          <w:highlight w:val="none"/>
        </w:rPr>
      </w:pPr>
    </w:p>
    <w:p>
      <w:pPr>
        <w:pStyle w:val="5"/>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_GB2312" w:hAnsi="宋体" w:eastAsia="仿宋_GB2312" w:cs="宋体"/>
          <w:color w:val="auto"/>
          <w:kern w:val="0"/>
          <w:sz w:val="18"/>
          <w:szCs w:val="18"/>
          <w:highlight w:val="none"/>
        </w:rPr>
      </w:pPr>
    </w:p>
    <w:p>
      <w:pPr>
        <w:widowControl/>
        <w:spacing w:line="280" w:lineRule="exact"/>
        <w:jc w:val="left"/>
        <w:rPr>
          <w:rFonts w:hint="eastAsia" w:ascii="仿宋_GB2312" w:hAnsi="宋体" w:eastAsia="仿宋_GB2312"/>
          <w:color w:val="auto"/>
          <w:kern w:val="0"/>
          <w:sz w:val="24"/>
          <w:highlight w:val="none"/>
        </w:rPr>
      </w:pPr>
      <w:r>
        <w:rPr>
          <w:rFonts w:hint="eastAsia" w:ascii="仿宋_GB2312" w:hAnsi="宋体" w:eastAsia="仿宋_GB2312" w:cs="宋体"/>
          <w:color w:val="auto"/>
          <w:kern w:val="0"/>
          <w:sz w:val="24"/>
          <w:szCs w:val="24"/>
          <w:highlight w:val="none"/>
        </w:rPr>
        <w:t>编制</w:t>
      </w:r>
      <w:r>
        <w:rPr>
          <w:rFonts w:hint="eastAsia" w:ascii="仿宋_GB2312" w:hAnsi="宋体" w:eastAsia="仿宋_GB2312" w:cs="宋体"/>
          <w:color w:val="auto"/>
          <w:kern w:val="0"/>
          <w:sz w:val="24"/>
          <w:szCs w:val="24"/>
          <w:highlight w:val="none"/>
          <w:lang w:eastAsia="zh-CN"/>
        </w:rPr>
        <w:t>部门</w:t>
      </w:r>
      <w:r>
        <w:rPr>
          <w:rFonts w:hint="eastAsia" w:ascii="仿宋_GB2312" w:hAnsi="宋体" w:eastAsia="仿宋_GB2312" w:cs="宋体"/>
          <w:color w:val="auto"/>
          <w:kern w:val="0"/>
          <w:sz w:val="24"/>
          <w:szCs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31"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283"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882.26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681.62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799.16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799.16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63.55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43.83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83.10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83.10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97.05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886.05</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886.05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10828" w:type="dxa"/>
        <w:tblInd w:w="-795" w:type="dxa"/>
        <w:tblLayout w:type="fixed"/>
        <w:tblCellMar>
          <w:top w:w="0" w:type="dxa"/>
          <w:left w:w="108" w:type="dxa"/>
          <w:bottom w:w="0" w:type="dxa"/>
          <w:right w:w="108" w:type="dxa"/>
        </w:tblCellMar>
      </w:tblPr>
      <w:tblGrid>
        <w:gridCol w:w="600"/>
        <w:gridCol w:w="450"/>
        <w:gridCol w:w="546"/>
        <w:gridCol w:w="1584"/>
        <w:gridCol w:w="810"/>
        <w:gridCol w:w="825"/>
        <w:gridCol w:w="795"/>
        <w:gridCol w:w="645"/>
        <w:gridCol w:w="510"/>
        <w:gridCol w:w="705"/>
        <w:gridCol w:w="420"/>
        <w:gridCol w:w="630"/>
        <w:gridCol w:w="360"/>
        <w:gridCol w:w="930"/>
        <w:gridCol w:w="587"/>
        <w:gridCol w:w="431"/>
      </w:tblGrid>
      <w:tr>
        <w:tblPrEx>
          <w:tblCellMar>
            <w:top w:w="0" w:type="dxa"/>
            <w:left w:w="108" w:type="dxa"/>
            <w:bottom w:w="0" w:type="dxa"/>
            <w:right w:w="108" w:type="dxa"/>
          </w:tblCellMar>
        </w:tblPrEx>
        <w:trPr>
          <w:trHeight w:val="697" w:hRule="atLeast"/>
        </w:trPr>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58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8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  计</w:t>
            </w:r>
          </w:p>
        </w:tc>
        <w:tc>
          <w:tcPr>
            <w:tcW w:w="453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  政  拨  款  (  补  助  )</w:t>
            </w:r>
          </w:p>
        </w:tc>
        <w:tc>
          <w:tcPr>
            <w:tcW w:w="3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58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4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60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546"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58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5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3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58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一般公共服务</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681.62</w:t>
            </w:r>
          </w:p>
        </w:tc>
        <w:tc>
          <w:tcPr>
            <w:tcW w:w="82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643.73</w:t>
            </w: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643.73</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34.1</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党委办公厅（室）及相关机构事务支出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681.62</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643.73</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643.73</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34.1</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行政运行</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387.82</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368.72</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368.72</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19.10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31</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一般行政管理事务</w:t>
            </w:r>
          </w:p>
        </w:tc>
        <w:tc>
          <w:tcPr>
            <w:tcW w:w="810"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3.79</w:t>
            </w:r>
          </w:p>
        </w:tc>
        <w:tc>
          <w:tcPr>
            <w:tcW w:w="825"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31</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50</w:t>
            </w:r>
          </w:p>
        </w:tc>
        <w:tc>
          <w:tcPr>
            <w:tcW w:w="158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事业运行</w:t>
            </w:r>
          </w:p>
        </w:tc>
        <w:tc>
          <w:tcPr>
            <w:tcW w:w="810"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155.01</w:t>
            </w:r>
          </w:p>
        </w:tc>
        <w:tc>
          <w:tcPr>
            <w:tcW w:w="825"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155.01</w:t>
            </w:r>
          </w:p>
        </w:tc>
        <w:tc>
          <w:tcPr>
            <w:tcW w:w="795"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155.01</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31</w:t>
            </w:r>
          </w:p>
        </w:tc>
        <w:tc>
          <w:tcPr>
            <w:tcW w:w="546"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99</w:t>
            </w:r>
          </w:p>
        </w:tc>
        <w:tc>
          <w:tcPr>
            <w:tcW w:w="15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kern w:val="2"/>
                <w:sz w:val="21"/>
                <w:szCs w:val="24"/>
                <w:highlight w:val="none"/>
                <w:lang w:val="en-US" w:eastAsia="zh-CN" w:bidi="ar-SA"/>
              </w:rPr>
            </w:pPr>
            <w:r>
              <w:rPr>
                <w:rFonts w:hint="eastAsia"/>
                <w:highlight w:val="none"/>
                <w:lang w:val="en-US" w:eastAsia="zh-CN"/>
              </w:rPr>
              <w:t>其他党委办公厅（室）及相关机构事务支出</w:t>
            </w:r>
          </w:p>
        </w:tc>
        <w:tc>
          <w:tcPr>
            <w:tcW w:w="810"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135.00</w:t>
            </w:r>
          </w:p>
        </w:tc>
        <w:tc>
          <w:tcPr>
            <w:tcW w:w="825"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120.00</w:t>
            </w:r>
          </w:p>
        </w:tc>
        <w:tc>
          <w:tcPr>
            <w:tcW w:w="795"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120.00</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15.00</w:t>
            </w:r>
          </w:p>
        </w:tc>
        <w:tc>
          <w:tcPr>
            <w:tcW w:w="587" w:type="dxa"/>
            <w:tcBorders>
              <w:top w:val="nil"/>
              <w:left w:val="single" w:color="auto" w:sz="4" w:space="0"/>
              <w:bottom w:val="single" w:color="auto" w:sz="4" w:space="0"/>
              <w:right w:val="single" w:color="auto" w:sz="4" w:space="0"/>
            </w:tcBorders>
            <w:noWrap w:val="0"/>
            <w:vAlign w:val="center"/>
          </w:tcPr>
          <w:p>
            <w:pPr>
              <w:jc w:val="both"/>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社会保障和就业支出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63.55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63.55</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63.55</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行政事业单位养老支出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63.55</w:t>
            </w:r>
          </w:p>
        </w:tc>
        <w:tc>
          <w:tcPr>
            <w:tcW w:w="82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63.55</w:t>
            </w: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63.55</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05</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w:t>
            </w:r>
          </w:p>
        </w:tc>
        <w:tc>
          <w:tcPr>
            <w:tcW w:w="158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行政单位离退休</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r>
              <w:rPr>
                <w:rFonts w:hint="eastAsia"/>
                <w:highlight w:val="none"/>
                <w:lang w:val="en-US" w:eastAsia="zh-CN"/>
              </w:rPr>
              <w:t>5.60</w:t>
            </w:r>
          </w:p>
        </w:tc>
        <w:tc>
          <w:tcPr>
            <w:tcW w:w="825"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r>
              <w:rPr>
                <w:rFonts w:hint="eastAsia"/>
                <w:highlight w:val="none"/>
                <w:lang w:val="en-US" w:eastAsia="zh-CN"/>
              </w:rPr>
              <w:t>5.60</w:t>
            </w: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r>
              <w:rPr>
                <w:rFonts w:hint="eastAsia"/>
                <w:highlight w:val="none"/>
                <w:lang w:val="en-US" w:eastAsia="zh-CN"/>
              </w:rPr>
              <w:t>5.60</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机关事业单位基本养老保险费支出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57.95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57.95</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57.95</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卫生健康支出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43.83</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43.83</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43.83</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w:t>
            </w:r>
            <w:r>
              <w:rPr>
                <w:rFonts w:hint="eastAsia"/>
                <w:highlight w:val="none"/>
                <w:lang w:val="en-US" w:eastAsia="zh-CN"/>
              </w:rPr>
              <w:t>政事业</w:t>
            </w:r>
            <w:r>
              <w:rPr>
                <w:rFonts w:hint="eastAsia"/>
                <w:highlight w:val="none"/>
              </w:rPr>
              <w:t>单位医疗</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82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行政单位医疗</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17.99</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17.99</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17.99</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11</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事业</w:t>
            </w:r>
            <w:r>
              <w:rPr>
                <w:rFonts w:hint="eastAsia"/>
                <w:highlight w:val="none"/>
              </w:rPr>
              <w:t>单位医疗</w:t>
            </w:r>
          </w:p>
        </w:tc>
        <w:tc>
          <w:tcPr>
            <w:tcW w:w="810"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10.99</w:t>
            </w:r>
          </w:p>
        </w:tc>
        <w:tc>
          <w:tcPr>
            <w:tcW w:w="825"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10.99</w:t>
            </w:r>
          </w:p>
        </w:tc>
        <w:tc>
          <w:tcPr>
            <w:tcW w:w="795" w:type="dxa"/>
            <w:tcBorders>
              <w:top w:val="nil"/>
              <w:left w:val="nil"/>
              <w:bottom w:val="single" w:color="auto" w:sz="4" w:space="0"/>
              <w:right w:val="single" w:color="auto" w:sz="4" w:space="0"/>
            </w:tcBorders>
            <w:noWrap w:val="0"/>
            <w:vAlign w:val="center"/>
          </w:tcPr>
          <w:p>
            <w:pPr>
              <w:jc w:val="both"/>
              <w:rPr>
                <w:rFonts w:hint="default"/>
                <w:highlight w:val="none"/>
                <w:lang w:val="en-US" w:eastAsia="zh-CN"/>
              </w:rPr>
            </w:pPr>
            <w:r>
              <w:rPr>
                <w:rFonts w:hint="default"/>
                <w:highlight w:val="none"/>
                <w:lang w:val="en-US" w:eastAsia="zh-CN"/>
              </w:rPr>
              <w:t>10.99</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03</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公务员医疗补助</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14.49</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14.49</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14.49</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99</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其他行政事业单位医疗支出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0.36</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0.36</w:t>
            </w:r>
          </w:p>
        </w:tc>
        <w:tc>
          <w:tcPr>
            <w:tcW w:w="795" w:type="dxa"/>
            <w:tcBorders>
              <w:top w:val="nil"/>
              <w:left w:val="nil"/>
              <w:bottom w:val="single" w:color="auto" w:sz="4" w:space="0"/>
              <w:right w:val="single" w:color="auto" w:sz="4" w:space="0"/>
            </w:tcBorders>
            <w:noWrap w:val="0"/>
            <w:vAlign w:val="center"/>
          </w:tcPr>
          <w:p>
            <w:pPr>
              <w:jc w:val="both"/>
              <w:rPr>
                <w:rFonts w:hint="default" w:eastAsia="宋体"/>
                <w:highlight w:val="none"/>
                <w:lang w:val="en-US" w:eastAsia="zh-CN"/>
              </w:rPr>
            </w:pPr>
            <w:r>
              <w:rPr>
                <w:rFonts w:hint="default" w:eastAsia="宋体"/>
                <w:highlight w:val="none"/>
                <w:lang w:val="en-US" w:eastAsia="zh-CN"/>
              </w:rPr>
              <w:t>0.36</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住房保障支出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97.05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48.05</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48.05</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49.00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住房改革支出</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97.05</w:t>
            </w:r>
          </w:p>
        </w:tc>
        <w:tc>
          <w:tcPr>
            <w:tcW w:w="82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48.05</w:t>
            </w: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48.05</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49.00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58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住房公积金</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97.05</w:t>
            </w:r>
          </w:p>
        </w:tc>
        <w:tc>
          <w:tcPr>
            <w:tcW w:w="82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48.05</w:t>
            </w:r>
          </w:p>
        </w:tc>
        <w:tc>
          <w:tcPr>
            <w:tcW w:w="79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48.05</w:t>
            </w:r>
          </w:p>
        </w:tc>
        <w:tc>
          <w:tcPr>
            <w:tcW w:w="64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49.00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46"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584" w:type="dxa"/>
            <w:tcBorders>
              <w:top w:val="nil"/>
              <w:left w:val="nil"/>
              <w:bottom w:val="single" w:color="auto" w:sz="4" w:space="0"/>
              <w:right w:val="single" w:color="auto" w:sz="4" w:space="0"/>
            </w:tcBorders>
            <w:noWrap w:val="0"/>
            <w:vAlign w:val="center"/>
          </w:tcPr>
          <w:p>
            <w:pPr>
              <w:jc w:val="center"/>
              <w:rPr>
                <w:rFonts w:hint="eastAsia"/>
                <w:b/>
                <w:bCs/>
                <w:highlight w:val="none"/>
              </w:rPr>
            </w:pPr>
            <w:r>
              <w:rPr>
                <w:rFonts w:hint="eastAsia"/>
                <w:b/>
                <w:bCs/>
                <w:highlight w:val="none"/>
              </w:rPr>
              <w:t>合 计</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886.05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799.16</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799.16</w:t>
            </w:r>
          </w:p>
        </w:tc>
        <w:tc>
          <w:tcPr>
            <w:tcW w:w="645"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b/>
                <w:bCs/>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83.1</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9915" w:type="dxa"/>
        <w:tblInd w:w="-735" w:type="dxa"/>
        <w:tblLayout w:type="fixed"/>
        <w:tblCellMar>
          <w:top w:w="0" w:type="dxa"/>
          <w:left w:w="108" w:type="dxa"/>
          <w:bottom w:w="0" w:type="dxa"/>
          <w:right w:w="108" w:type="dxa"/>
        </w:tblCellMar>
      </w:tblPr>
      <w:tblGrid>
        <w:gridCol w:w="600"/>
        <w:gridCol w:w="660"/>
        <w:gridCol w:w="618"/>
        <w:gridCol w:w="2455"/>
        <w:gridCol w:w="1844"/>
        <w:gridCol w:w="1845"/>
        <w:gridCol w:w="1893"/>
      </w:tblGrid>
      <w:tr>
        <w:tblPrEx>
          <w:tblCellMar>
            <w:top w:w="0" w:type="dxa"/>
            <w:left w:w="108" w:type="dxa"/>
            <w:bottom w:w="0" w:type="dxa"/>
            <w:right w:w="108" w:type="dxa"/>
          </w:tblCellMar>
        </w:tblPrEx>
        <w:trPr>
          <w:trHeight w:val="345" w:hRule="atLeast"/>
        </w:trPr>
        <w:tc>
          <w:tcPr>
            <w:tcW w:w="433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tblPrEx>
          <w:tblCellMar>
            <w:top w:w="0" w:type="dxa"/>
            <w:left w:w="108" w:type="dxa"/>
            <w:bottom w:w="0" w:type="dxa"/>
            <w:right w:w="108" w:type="dxa"/>
          </w:tblCellMar>
        </w:tblPrEx>
        <w:trPr>
          <w:trHeight w:val="480" w:hRule="atLeast"/>
        </w:trPr>
        <w:tc>
          <w:tcPr>
            <w:tcW w:w="187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45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6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4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r>
      <w:tr>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一般公共服务</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681.62</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542.83</w:t>
            </w:r>
          </w:p>
        </w:tc>
        <w:tc>
          <w:tcPr>
            <w:tcW w:w="18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138.79</w:t>
            </w:r>
          </w:p>
        </w:tc>
      </w:tr>
      <w:tr>
        <w:tblPrEx>
          <w:tblCellMar>
            <w:top w:w="0" w:type="dxa"/>
            <w:left w:w="108" w:type="dxa"/>
            <w:bottom w:w="0" w:type="dxa"/>
            <w:right w:w="108" w:type="dxa"/>
          </w:tblCellMar>
        </w:tblPrEx>
        <w:trPr>
          <w:trHeight w:val="484"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党委办公厅（室）及相关机构事务支出</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681.62</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542.83</w:t>
            </w:r>
          </w:p>
        </w:tc>
        <w:tc>
          <w:tcPr>
            <w:tcW w:w="18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138.79</w:t>
            </w: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行政运行</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387.82</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387.82</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201</w:t>
            </w:r>
          </w:p>
        </w:tc>
        <w:tc>
          <w:tcPr>
            <w:tcW w:w="66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31</w:t>
            </w:r>
          </w:p>
        </w:tc>
        <w:tc>
          <w:tcPr>
            <w:tcW w:w="618"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一般行政管理事务</w:t>
            </w:r>
          </w:p>
        </w:tc>
        <w:tc>
          <w:tcPr>
            <w:tcW w:w="1844"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3.79</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3.79</w:t>
            </w: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201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50</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事业运行</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155.01</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155.01</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201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99</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其他党委办公厅（室）及相关机构事务支出</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135.00</w:t>
            </w:r>
          </w:p>
        </w:tc>
        <w:tc>
          <w:tcPr>
            <w:tcW w:w="1845" w:type="dxa"/>
            <w:tcBorders>
              <w:top w:val="nil"/>
              <w:left w:val="nil"/>
              <w:bottom w:val="single" w:color="auto" w:sz="4" w:space="0"/>
              <w:right w:val="single" w:color="auto" w:sz="4" w:space="0"/>
            </w:tcBorders>
            <w:noWrap w:val="0"/>
            <w:vAlign w:val="center"/>
          </w:tcPr>
          <w:p>
            <w:pPr>
              <w:rPr>
                <w:rFonts w:hint="eastAsia"/>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135.00</w:t>
            </w: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63.55</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63.55</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63.55</w:t>
            </w:r>
          </w:p>
        </w:tc>
        <w:tc>
          <w:tcPr>
            <w:tcW w:w="1845"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63.55</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208</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05</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01</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5.60</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5.60</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机关事业单位基本养老保险费支出</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57.95</w:t>
            </w:r>
          </w:p>
        </w:tc>
        <w:tc>
          <w:tcPr>
            <w:tcW w:w="1845"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57.95</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卫生健康支出</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w:t>
            </w:r>
            <w:r>
              <w:rPr>
                <w:rFonts w:hint="eastAsia"/>
                <w:highlight w:val="none"/>
                <w:lang w:val="en-US" w:eastAsia="zh-CN"/>
              </w:rPr>
              <w:t>政事业</w:t>
            </w:r>
            <w:r>
              <w:rPr>
                <w:rFonts w:hint="eastAsia"/>
                <w:highlight w:val="none"/>
              </w:rPr>
              <w:t>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43.83</w:t>
            </w:r>
          </w:p>
        </w:tc>
        <w:tc>
          <w:tcPr>
            <w:tcW w:w="18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17.99</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17.99</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210</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02</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事业</w:t>
            </w:r>
            <w:r>
              <w:rPr>
                <w:rFonts w:hint="eastAsia"/>
                <w:highlight w:val="none"/>
              </w:rPr>
              <w:t>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lang w:val="en-US" w:eastAsia="zh-CN"/>
              </w:rPr>
              <w:t>10.99</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10.99</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03</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公务员医疗补助</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14.49</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14.49</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99</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0.36</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0.36</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住房保障支出</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97.05</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97.05</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住房改革支出</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lang w:val="en-US" w:eastAsia="zh-CN"/>
              </w:rPr>
              <w:t>97.05</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97.05</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45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住房公积金</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lang w:val="en-US" w:eastAsia="zh-CN"/>
              </w:rPr>
              <w:t>97.05</w:t>
            </w:r>
          </w:p>
        </w:tc>
        <w:tc>
          <w:tcPr>
            <w:tcW w:w="184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97.05</w:t>
            </w:r>
          </w:p>
        </w:tc>
        <w:tc>
          <w:tcPr>
            <w:tcW w:w="18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18"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55" w:type="dxa"/>
            <w:tcBorders>
              <w:top w:val="nil"/>
              <w:left w:val="nil"/>
              <w:bottom w:val="single" w:color="auto" w:sz="4" w:space="0"/>
              <w:right w:val="single" w:color="auto" w:sz="4" w:space="0"/>
            </w:tcBorders>
            <w:noWrap w:val="0"/>
            <w:vAlign w:val="center"/>
          </w:tcPr>
          <w:p>
            <w:pPr>
              <w:jc w:val="center"/>
              <w:rPr>
                <w:rFonts w:hint="eastAsia"/>
                <w:b/>
                <w:bCs/>
                <w:highlight w:val="none"/>
              </w:rPr>
            </w:pPr>
            <w:r>
              <w:rPr>
                <w:rFonts w:hint="eastAsia"/>
                <w:b/>
                <w:bCs/>
                <w:highlight w:val="none"/>
              </w:rPr>
              <w:t>合  计</w:t>
            </w:r>
          </w:p>
        </w:tc>
        <w:tc>
          <w:tcPr>
            <w:tcW w:w="1844" w:type="dxa"/>
            <w:tcBorders>
              <w:top w:val="nil"/>
              <w:left w:val="nil"/>
              <w:bottom w:val="single" w:color="auto" w:sz="4" w:space="0"/>
              <w:right w:val="single" w:color="auto" w:sz="4" w:space="0"/>
            </w:tcBorders>
            <w:noWrap w:val="0"/>
            <w:vAlign w:val="center"/>
          </w:tcPr>
          <w:p>
            <w:pPr>
              <w:jc w:val="center"/>
              <w:rPr>
                <w:rFonts w:hint="eastAsia"/>
                <w:b/>
                <w:bCs/>
                <w:highlight w:val="none"/>
              </w:rPr>
            </w:pPr>
            <w:r>
              <w:rPr>
                <w:rFonts w:hint="eastAsia"/>
                <w:b/>
                <w:bCs/>
                <w:highlight w:val="none"/>
                <w:lang w:val="en-US" w:eastAsia="zh-CN"/>
              </w:rPr>
              <w:t>886.05</w:t>
            </w:r>
          </w:p>
        </w:tc>
        <w:tc>
          <w:tcPr>
            <w:tcW w:w="1845" w:type="dxa"/>
            <w:tcBorders>
              <w:top w:val="nil"/>
              <w:left w:val="nil"/>
              <w:bottom w:val="single" w:color="auto" w:sz="4" w:space="0"/>
              <w:right w:val="single" w:color="auto" w:sz="4" w:space="0"/>
            </w:tcBorders>
            <w:noWrap w:val="0"/>
            <w:vAlign w:val="center"/>
          </w:tcPr>
          <w:p>
            <w:pPr>
              <w:jc w:val="center"/>
              <w:rPr>
                <w:rFonts w:hint="eastAsia"/>
                <w:b/>
                <w:bCs/>
                <w:highlight w:val="none"/>
              </w:rPr>
            </w:pPr>
            <w:r>
              <w:rPr>
                <w:rFonts w:hint="eastAsia"/>
                <w:b/>
                <w:bCs/>
                <w:highlight w:val="none"/>
                <w:lang w:val="en-US" w:eastAsia="zh-CN"/>
              </w:rPr>
              <w:t>747.26</w:t>
            </w:r>
          </w:p>
        </w:tc>
        <w:tc>
          <w:tcPr>
            <w:tcW w:w="1893"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138.79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color w:val="auto"/>
          <w:kern w:val="0"/>
          <w:sz w:val="24"/>
          <w:highlight w:val="none"/>
        </w:rPr>
      </w:pPr>
      <w:r>
        <w:rPr>
          <w:rFonts w:hint="eastAsia" w:ascii="仿宋_GB2312" w:hAnsi="宋体" w:eastAsia="仿宋_GB2312"/>
          <w:b/>
          <w:color w:val="auto"/>
          <w:kern w:val="0"/>
          <w:sz w:val="32"/>
          <w:szCs w:val="32"/>
          <w:highlight w:val="none"/>
        </w:rPr>
        <w:t>财政拨款收支预算总体情况表</w:t>
      </w:r>
      <w:r>
        <w:rPr>
          <w:rFonts w:hint="eastAsia" w:ascii="仿宋_GB2312" w:hAnsi="宋体" w:eastAsia="仿宋_GB2312"/>
          <w:color w:val="auto"/>
          <w:kern w:val="0"/>
          <w:sz w:val="24"/>
          <w:highlight w:val="none"/>
        </w:rPr>
        <w:t xml:space="preserve"> </w:t>
      </w:r>
    </w:p>
    <w:p>
      <w:pPr>
        <w:widowControl/>
        <w:spacing w:line="280" w:lineRule="exact"/>
        <w:jc w:val="left"/>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编制</w:t>
      </w:r>
      <w:r>
        <w:rPr>
          <w:rFonts w:hint="eastAsia" w:ascii="仿宋_GB2312" w:hAnsi="宋体" w:eastAsia="仿宋_GB2312" w:cs="宋体"/>
          <w:color w:val="auto"/>
          <w:kern w:val="0"/>
          <w:sz w:val="24"/>
          <w:szCs w:val="24"/>
          <w:highlight w:val="none"/>
          <w:lang w:eastAsia="zh-CN"/>
        </w:rPr>
        <w:t>部门</w:t>
      </w:r>
      <w:r>
        <w:rPr>
          <w:rFonts w:hint="eastAsia" w:ascii="仿宋_GB2312" w:hAnsi="宋体" w:eastAsia="仿宋_GB2312" w:cs="宋体"/>
          <w:color w:val="auto"/>
          <w:kern w:val="0"/>
          <w:sz w:val="24"/>
          <w:szCs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s="宋体"/>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643.73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643.73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63.55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63.55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43.83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43.83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48.05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48.05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7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799.16</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585" w:type="dxa"/>
        <w:tblInd w:w="-405" w:type="dxa"/>
        <w:tblLayout w:type="fixed"/>
        <w:tblCellMar>
          <w:top w:w="0" w:type="dxa"/>
          <w:left w:w="108" w:type="dxa"/>
          <w:bottom w:w="0" w:type="dxa"/>
          <w:right w:w="108" w:type="dxa"/>
        </w:tblCellMar>
      </w:tblPr>
      <w:tblGrid>
        <w:gridCol w:w="615"/>
        <w:gridCol w:w="771"/>
        <w:gridCol w:w="502"/>
        <w:gridCol w:w="2493"/>
        <w:gridCol w:w="1677"/>
        <w:gridCol w:w="1834"/>
        <w:gridCol w:w="1693"/>
      </w:tblGrid>
      <w:tr>
        <w:tblPrEx>
          <w:tblCellMar>
            <w:top w:w="0" w:type="dxa"/>
            <w:left w:w="108" w:type="dxa"/>
            <w:bottom w:w="0" w:type="dxa"/>
            <w:right w:w="108" w:type="dxa"/>
          </w:tblCellMar>
        </w:tblPrEx>
        <w:trPr>
          <w:trHeight w:val="450" w:hRule="atLeast"/>
        </w:trPr>
        <w:tc>
          <w:tcPr>
            <w:tcW w:w="9585"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444" w:hRule="atLeast"/>
        </w:trPr>
        <w:tc>
          <w:tcPr>
            <w:tcW w:w="9585" w:type="dxa"/>
            <w:gridSpan w:val="7"/>
            <w:tcBorders>
              <w:top w:val="nil"/>
              <w:left w:val="nil"/>
              <w:bottom w:val="single" w:color="auto" w:sz="4" w:space="0"/>
              <w:right w:val="nil"/>
            </w:tcBorders>
            <w:noWrap w:val="0"/>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w:t>
            </w:r>
            <w:r>
              <w:rPr>
                <w:rFonts w:hint="eastAsia"/>
                <w:highlight w:val="none"/>
                <w:lang w:val="en-US" w:eastAsia="zh-CN"/>
              </w:rPr>
              <w:t>部门</w:t>
            </w:r>
            <w:r>
              <w:rPr>
                <w:rFonts w:hint="eastAsia" w:ascii="仿宋_GB2312" w:hAnsi="宋体" w:eastAsia="仿宋_GB2312" w:cs="宋体"/>
                <w:color w:val="000000"/>
                <w:kern w:val="0"/>
                <w:sz w:val="24"/>
                <w:highlight w:val="none"/>
              </w:rPr>
              <w:t>：</w:t>
            </w:r>
            <w:r>
              <w:rPr>
                <w:rFonts w:hint="eastAsia" w:ascii="仿宋_GB2312" w:hAnsi="宋体" w:eastAsia="仿宋_GB2312"/>
                <w:kern w:val="0"/>
                <w:sz w:val="24"/>
                <w:highlight w:val="none"/>
              </w:rPr>
              <w:t xml:space="preserve">中共呼图壁县委员会办公室                             </w:t>
            </w:r>
            <w:r>
              <w:rPr>
                <w:rFonts w:hint="eastAsia" w:ascii="仿宋_GB2312" w:hAnsi="宋体" w:eastAsia="仿宋_GB2312" w:cs="宋体"/>
                <w:color w:val="000000"/>
                <w:kern w:val="0"/>
                <w:sz w:val="24"/>
                <w:highlight w:val="none"/>
              </w:rPr>
              <w:t>单位：万元</w:t>
            </w:r>
          </w:p>
        </w:tc>
      </w:tr>
      <w:tr>
        <w:tblPrEx>
          <w:tblCellMar>
            <w:top w:w="0" w:type="dxa"/>
            <w:left w:w="108" w:type="dxa"/>
            <w:bottom w:w="0" w:type="dxa"/>
            <w:right w:w="108" w:type="dxa"/>
          </w:tblCellMar>
        </w:tblPrEx>
        <w:trPr>
          <w:trHeight w:val="405" w:hRule="atLeast"/>
        </w:trPr>
        <w:tc>
          <w:tcPr>
            <w:tcW w:w="438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   目</w:t>
            </w:r>
          </w:p>
        </w:tc>
        <w:tc>
          <w:tcPr>
            <w:tcW w:w="5204"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88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493"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677"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  计</w:t>
            </w:r>
          </w:p>
        </w:tc>
        <w:tc>
          <w:tcPr>
            <w:tcW w:w="183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693"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1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77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4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highlight w:val="none"/>
              </w:rPr>
            </w:pPr>
          </w:p>
        </w:tc>
        <w:tc>
          <w:tcPr>
            <w:tcW w:w="167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highlight w:val="none"/>
              </w:rPr>
            </w:pPr>
          </w:p>
        </w:tc>
        <w:tc>
          <w:tcPr>
            <w:tcW w:w="183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一般公共服务</w:t>
            </w:r>
          </w:p>
        </w:tc>
        <w:tc>
          <w:tcPr>
            <w:tcW w:w="1677"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643.73</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523.73</w:t>
            </w:r>
          </w:p>
        </w:tc>
        <w:tc>
          <w:tcPr>
            <w:tcW w:w="1693" w:type="dxa"/>
            <w:tcBorders>
              <w:top w:val="nil"/>
              <w:left w:val="nil"/>
              <w:bottom w:val="single" w:color="auto" w:sz="4" w:space="0"/>
              <w:right w:val="single" w:color="auto" w:sz="4" w:space="0"/>
            </w:tcBorders>
            <w:noWrap w:val="0"/>
            <w:vAlign w:val="center"/>
          </w:tcPr>
          <w:p>
            <w:pPr>
              <w:jc w:val="center"/>
              <w:rPr>
                <w:rFonts w:hint="eastAsia" w:eastAsia="宋体"/>
                <w:highlight w:val="none"/>
                <w:lang w:eastAsia="zh-CN"/>
              </w:rPr>
            </w:pPr>
            <w:r>
              <w:rPr>
                <w:rFonts w:hint="eastAsia"/>
                <w:highlight w:val="none"/>
              </w:rPr>
              <w:t>12</w:t>
            </w:r>
            <w:r>
              <w:rPr>
                <w:rFonts w:hint="eastAsia"/>
                <w:highlight w:val="none"/>
                <w:lang w:val="en-US" w:eastAsia="zh-CN"/>
              </w:rPr>
              <w:t>0</w:t>
            </w:r>
          </w:p>
        </w:tc>
      </w:tr>
      <w:tr>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党委办公厅（室）及相关机构事务支出</w:t>
            </w:r>
          </w:p>
        </w:tc>
        <w:tc>
          <w:tcPr>
            <w:tcW w:w="1677"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643.73</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523.73</w:t>
            </w:r>
          </w:p>
        </w:tc>
        <w:tc>
          <w:tcPr>
            <w:tcW w:w="1693" w:type="dxa"/>
            <w:tcBorders>
              <w:top w:val="nil"/>
              <w:left w:val="nil"/>
              <w:bottom w:val="single" w:color="auto" w:sz="4" w:space="0"/>
              <w:right w:val="single" w:color="auto" w:sz="4" w:space="0"/>
            </w:tcBorders>
            <w:noWrap w:val="0"/>
            <w:vAlign w:val="center"/>
          </w:tcPr>
          <w:p>
            <w:pPr>
              <w:jc w:val="center"/>
              <w:rPr>
                <w:rFonts w:hint="eastAsia" w:eastAsia="宋体"/>
                <w:highlight w:val="none"/>
                <w:lang w:eastAsia="zh-CN"/>
              </w:rPr>
            </w:pPr>
            <w:r>
              <w:rPr>
                <w:rFonts w:hint="eastAsia"/>
                <w:highlight w:val="none"/>
              </w:rPr>
              <w:t>12</w:t>
            </w:r>
            <w:r>
              <w:rPr>
                <w:rFonts w:hint="eastAsia"/>
                <w:highlight w:val="none"/>
                <w:lang w:val="en-US" w:eastAsia="zh-CN"/>
              </w:rPr>
              <w:t>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行政运行</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368.72</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368.72</w:t>
            </w:r>
          </w:p>
        </w:tc>
        <w:tc>
          <w:tcPr>
            <w:tcW w:w="16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201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50</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事业运行</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155.01</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155.01</w:t>
            </w:r>
          </w:p>
        </w:tc>
        <w:tc>
          <w:tcPr>
            <w:tcW w:w="16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201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99</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其他党委办公厅（室）及相关机构事务支出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120</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6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120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社会保障和就业支出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63.55</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63.55</w:t>
            </w:r>
          </w:p>
        </w:tc>
        <w:tc>
          <w:tcPr>
            <w:tcW w:w="1693"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行政事业单位养老支出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63.55</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63.55</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208</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01</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行政单位离退休</w:t>
            </w:r>
          </w:p>
        </w:tc>
        <w:tc>
          <w:tcPr>
            <w:tcW w:w="1677"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5.60</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5.60</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机关事业单位基本养老保险费支出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57.95</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57.95</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卫生健康支出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43.83</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43.83</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w:t>
            </w:r>
            <w:r>
              <w:rPr>
                <w:rFonts w:hint="eastAsia"/>
                <w:highlight w:val="none"/>
                <w:lang w:val="en-US" w:eastAsia="zh-CN"/>
              </w:rPr>
              <w:t>政事业</w:t>
            </w:r>
            <w:r>
              <w:rPr>
                <w:rFonts w:hint="eastAsia"/>
                <w:highlight w:val="none"/>
              </w:rPr>
              <w:t>单位医疗</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43.83</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43.83</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行政单位医疗</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17.99</w:t>
            </w:r>
          </w:p>
        </w:tc>
        <w:tc>
          <w:tcPr>
            <w:tcW w:w="1834"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17.99</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210</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事业</w:t>
            </w:r>
            <w:r>
              <w:rPr>
                <w:rFonts w:hint="eastAsia"/>
                <w:highlight w:val="none"/>
              </w:rPr>
              <w:t>单位医疗</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10.99</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lang w:val="en-US" w:eastAsia="zh-CN"/>
              </w:rPr>
              <w:t>10.99</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03</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公务员医疗补助</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14.49</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ascii="Times New Roman" w:hAnsi="Times New Roman"/>
                <w:kern w:val="2"/>
                <w:sz w:val="21"/>
                <w:szCs w:val="24"/>
                <w:highlight w:val="none"/>
                <w:lang w:val="en-US" w:eastAsia="zh-CN" w:bidi="ar-SA"/>
              </w:rPr>
              <w:t>14.49</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99</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其他行政事业单位医疗支出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0.36</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lang w:val="en-US" w:eastAsia="zh-CN"/>
              </w:rPr>
              <w:t>0.36</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住房保障支出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48.05</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48.05</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住房改革支出</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48.05</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48.05</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77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502"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住房公积金</w:t>
            </w:r>
          </w:p>
        </w:tc>
        <w:tc>
          <w:tcPr>
            <w:tcW w:w="16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48.05</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48.05</w:t>
            </w:r>
          </w:p>
        </w:tc>
        <w:tc>
          <w:tcPr>
            <w:tcW w:w="1693"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rPr>
                <w:rFonts w:hint="eastAsia"/>
                <w:highlight w:val="none"/>
              </w:rPr>
            </w:pPr>
          </w:p>
        </w:tc>
        <w:tc>
          <w:tcPr>
            <w:tcW w:w="771" w:type="dxa"/>
            <w:tcBorders>
              <w:top w:val="nil"/>
              <w:left w:val="nil"/>
              <w:bottom w:val="single" w:color="auto" w:sz="4" w:space="0"/>
              <w:right w:val="single" w:color="auto" w:sz="4" w:space="0"/>
            </w:tcBorders>
            <w:noWrap w:val="0"/>
            <w:vAlign w:val="center"/>
          </w:tcPr>
          <w:p>
            <w:pPr>
              <w:rPr>
                <w:rFonts w:hint="eastAsia"/>
                <w:highlight w:val="none"/>
              </w:rPr>
            </w:pPr>
          </w:p>
        </w:tc>
        <w:tc>
          <w:tcPr>
            <w:tcW w:w="502" w:type="dxa"/>
            <w:tcBorders>
              <w:top w:val="nil"/>
              <w:left w:val="nil"/>
              <w:bottom w:val="single" w:color="auto" w:sz="4" w:space="0"/>
              <w:right w:val="single" w:color="auto" w:sz="4" w:space="0"/>
            </w:tcBorders>
            <w:noWrap w:val="0"/>
            <w:vAlign w:val="center"/>
          </w:tcPr>
          <w:p>
            <w:pPr>
              <w:rPr>
                <w:rFonts w:hint="eastAsia"/>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合  计</w:t>
            </w:r>
          </w:p>
        </w:tc>
        <w:tc>
          <w:tcPr>
            <w:tcW w:w="16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799.16</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679.16</w:t>
            </w:r>
          </w:p>
        </w:tc>
        <w:tc>
          <w:tcPr>
            <w:tcW w:w="16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120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11"/>
        <w:gridCol w:w="107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w:t>
            </w:r>
            <w:r>
              <w:rPr>
                <w:rFonts w:hint="eastAsia"/>
                <w:highlight w:val="none"/>
                <w:lang w:val="en-US" w:eastAsia="zh-CN"/>
              </w:rPr>
              <w:t>部门</w:t>
            </w:r>
            <w:r>
              <w:rPr>
                <w:rFonts w:hint="eastAsia" w:ascii="仿宋_GB2312" w:hAnsi="宋体" w:eastAsia="仿宋_GB2312" w:cs="宋体"/>
                <w:color w:val="000000"/>
                <w:kern w:val="0"/>
                <w:sz w:val="24"/>
                <w:highlight w:val="none"/>
              </w:rPr>
              <w:t>：</w:t>
            </w:r>
            <w:r>
              <w:rPr>
                <w:rFonts w:hint="eastAsia" w:ascii="仿宋_GB2312" w:hAnsi="宋体" w:eastAsia="仿宋_GB2312"/>
                <w:kern w:val="0"/>
                <w:sz w:val="24"/>
                <w:highlight w:val="none"/>
              </w:rPr>
              <w:t>中共呼图壁县委员会办公室</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单位：万元</w:t>
            </w:r>
          </w:p>
        </w:tc>
      </w:tr>
      <w:tr>
        <w:tblPrEx>
          <w:tblCellMar>
            <w:top w:w="0" w:type="dxa"/>
            <w:left w:w="108" w:type="dxa"/>
            <w:bottom w:w="0" w:type="dxa"/>
            <w:right w:w="108" w:type="dxa"/>
          </w:tblCellMar>
        </w:tblPrEx>
        <w:trPr>
          <w:trHeight w:val="390" w:hRule="atLeast"/>
        </w:trPr>
        <w:tc>
          <w:tcPr>
            <w:tcW w:w="414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8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tblPrEx>
          <w:tblCellMar>
            <w:top w:w="0" w:type="dxa"/>
            <w:left w:w="108" w:type="dxa"/>
            <w:bottom w:w="0" w:type="dxa"/>
            <w:right w:w="108" w:type="dxa"/>
          </w:tblCellMar>
        </w:tblPrEx>
        <w:trPr>
          <w:trHeight w:val="443"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81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78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CellMar>
            <w:top w:w="0" w:type="dxa"/>
            <w:left w:w="108" w:type="dxa"/>
            <w:bottom w:w="0" w:type="dxa"/>
            <w:right w:w="108" w:type="dxa"/>
          </w:tblCellMar>
        </w:tblPrEx>
        <w:trPr>
          <w:trHeight w:val="13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81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highlight w:val="none"/>
              </w:rPr>
            </w:pPr>
          </w:p>
        </w:tc>
        <w:tc>
          <w:tcPr>
            <w:tcW w:w="178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000000"/>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000000"/>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工资福利支出</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552.41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552.41</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01</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基本工资</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140.39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140.39</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02</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津贴补贴</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105.68</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105.68</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03</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奖金</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115.93</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115.93</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07</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绩效工资</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38.45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38.45</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75"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08</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机关事业单位基本养老保险</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57.95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57.95</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10</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职工基本医疗保险缴费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28.98</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28.98</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09"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11</w:t>
            </w:r>
          </w:p>
        </w:tc>
        <w:tc>
          <w:tcPr>
            <w:tcW w:w="2811" w:type="dxa"/>
            <w:tcBorders>
              <w:top w:val="nil"/>
              <w:left w:val="nil"/>
              <w:bottom w:val="single" w:color="auto" w:sz="4" w:space="0"/>
              <w:right w:val="single" w:color="auto" w:sz="4" w:space="0"/>
            </w:tcBorders>
            <w:noWrap w:val="0"/>
            <w:vAlign w:val="center"/>
          </w:tcPr>
          <w:p>
            <w:pPr>
              <w:rPr>
                <w:rFonts w:hint="eastAsia"/>
                <w:highlight w:val="none"/>
              </w:rPr>
            </w:pPr>
            <w:r>
              <w:rPr>
                <w:rFonts w:hint="eastAsia"/>
                <w:highlight w:val="none"/>
              </w:rPr>
              <w:t>公务员医疗补助缴费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14.49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14.49</w:t>
            </w:r>
          </w:p>
        </w:tc>
        <w:tc>
          <w:tcPr>
            <w:tcW w:w="1701" w:type="dxa"/>
            <w:tcBorders>
              <w:top w:val="nil"/>
              <w:left w:val="nil"/>
              <w:bottom w:val="single" w:color="auto" w:sz="4" w:space="0"/>
              <w:right w:val="single" w:color="auto" w:sz="4" w:space="0"/>
            </w:tcBorders>
            <w:noWrap w:val="0"/>
            <w:vAlign w:val="center"/>
          </w:tcPr>
          <w:p>
            <w:pPr>
              <w:rPr>
                <w:rFonts w:hint="eastAsia"/>
                <w:highlight w:val="none"/>
              </w:rPr>
            </w:pP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12</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其他社会保障缴费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2.50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2.50</w:t>
            </w: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301</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13</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住房公积金</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48.05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48.05</w:t>
            </w: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商品和服务支出</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116.75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116.75</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办公费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3.07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3.07</w:t>
            </w:r>
          </w:p>
        </w:tc>
      </w:tr>
      <w:tr>
        <w:tblPrEx>
          <w:tblCellMar>
            <w:top w:w="0" w:type="dxa"/>
            <w:left w:w="108" w:type="dxa"/>
            <w:bottom w:w="0" w:type="dxa"/>
            <w:right w:w="108" w:type="dxa"/>
          </w:tblCellMar>
        </w:tblPrEx>
        <w:trPr>
          <w:trHeight w:val="290"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印刷费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0.35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0.35</w:t>
            </w: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07</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邮电费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1.19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1.19</w:t>
            </w: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09</w:t>
            </w:r>
          </w:p>
        </w:tc>
        <w:tc>
          <w:tcPr>
            <w:tcW w:w="2811"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lang w:val="en-US" w:eastAsia="zh-CN"/>
              </w:rPr>
              <w:t>物业管理费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lang w:val="en-US" w:eastAsia="zh-CN"/>
              </w:rPr>
              <w:t>0.06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r>
              <w:rPr>
                <w:rFonts w:hint="eastAsia"/>
                <w:highlight w:val="none"/>
                <w:lang w:val="en-US" w:eastAsia="zh-CN"/>
              </w:rPr>
              <w:t>0.06</w:t>
            </w:r>
          </w:p>
        </w:tc>
      </w:tr>
      <w:tr>
        <w:tblPrEx>
          <w:tblCellMar>
            <w:top w:w="0" w:type="dxa"/>
            <w:left w:w="108" w:type="dxa"/>
            <w:bottom w:w="0" w:type="dxa"/>
            <w:right w:w="108" w:type="dxa"/>
          </w:tblCellMar>
        </w:tblPrEx>
        <w:trPr>
          <w:trHeight w:val="271"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eastAsia="宋体"/>
                <w:highlight w:val="none"/>
                <w:lang w:eastAsia="zh-CN"/>
              </w:rPr>
            </w:pPr>
            <w:r>
              <w:rPr>
                <w:rFonts w:hint="eastAsia"/>
                <w:highlight w:val="none"/>
              </w:rPr>
              <w:t>1</w:t>
            </w:r>
            <w:r>
              <w:rPr>
                <w:rFonts w:hint="eastAsia"/>
                <w:highlight w:val="none"/>
                <w:lang w:val="en-US" w:eastAsia="zh-CN"/>
              </w:rPr>
              <w:t>1</w:t>
            </w:r>
          </w:p>
        </w:tc>
        <w:tc>
          <w:tcPr>
            <w:tcW w:w="2811"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差旅费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1.26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1.26</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14</w:t>
            </w:r>
          </w:p>
        </w:tc>
        <w:tc>
          <w:tcPr>
            <w:tcW w:w="2811" w:type="dxa"/>
            <w:tcBorders>
              <w:top w:val="nil"/>
              <w:left w:val="nil"/>
              <w:bottom w:val="single" w:color="auto" w:sz="4" w:space="0"/>
              <w:right w:val="single" w:color="auto" w:sz="4" w:space="0"/>
            </w:tcBorders>
            <w:noWrap w:val="0"/>
            <w:vAlign w:val="center"/>
          </w:tcPr>
          <w:p>
            <w:pPr>
              <w:jc w:val="center"/>
              <w:rPr>
                <w:rFonts w:hint="default"/>
                <w:highlight w:val="none"/>
                <w:lang w:val="en-US" w:eastAsia="zh-CN"/>
              </w:rPr>
            </w:pPr>
            <w:r>
              <w:rPr>
                <w:rFonts w:hint="eastAsia"/>
                <w:highlight w:val="none"/>
                <w:lang w:val="en-US" w:eastAsia="zh-CN"/>
              </w:rPr>
              <w:t>租赁费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r>
              <w:rPr>
                <w:rFonts w:hint="eastAsia"/>
                <w:highlight w:val="none"/>
                <w:lang w:val="en-US" w:eastAsia="zh-CN"/>
              </w:rPr>
              <w:t>0.72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lang w:val="en-US" w:eastAsia="zh-CN"/>
              </w:rPr>
            </w:pPr>
            <w:r>
              <w:rPr>
                <w:rFonts w:hint="eastAsia"/>
                <w:highlight w:val="none"/>
                <w:lang w:val="en-US" w:eastAsia="zh-CN"/>
              </w:rPr>
              <w:t>0.72</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17</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公务接待费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eastAsia="宋体"/>
                <w:highlight w:val="none"/>
                <w:lang w:eastAsia="zh-CN"/>
              </w:rPr>
            </w:pPr>
            <w:r>
              <w:rPr>
                <w:rFonts w:hint="eastAsia"/>
                <w:highlight w:val="none"/>
              </w:rPr>
              <w:t>0.</w:t>
            </w:r>
            <w:r>
              <w:rPr>
                <w:rFonts w:hint="eastAsia"/>
                <w:highlight w:val="none"/>
                <w:lang w:val="en-US" w:eastAsia="zh-CN"/>
              </w:rPr>
              <w:t>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w:t>
            </w:r>
            <w:r>
              <w:rPr>
                <w:rFonts w:hint="eastAsia"/>
                <w:highlight w:val="none"/>
                <w:lang w:val="en-US" w:eastAsia="zh-CN"/>
              </w:rPr>
              <w:t>2</w:t>
            </w:r>
          </w:p>
        </w:tc>
      </w:tr>
      <w:tr>
        <w:tblPrEx>
          <w:tblCellMar>
            <w:top w:w="0" w:type="dxa"/>
            <w:left w:w="108" w:type="dxa"/>
            <w:bottom w:w="0" w:type="dxa"/>
            <w:right w:w="108" w:type="dxa"/>
          </w:tblCellMar>
        </w:tblPrEx>
        <w:trPr>
          <w:trHeight w:val="309"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26</w:t>
            </w:r>
          </w:p>
        </w:tc>
        <w:tc>
          <w:tcPr>
            <w:tcW w:w="2811" w:type="dxa"/>
            <w:tcBorders>
              <w:top w:val="nil"/>
              <w:left w:val="nil"/>
              <w:bottom w:val="single" w:color="auto" w:sz="4" w:space="0"/>
              <w:right w:val="single" w:color="auto" w:sz="4" w:space="0"/>
            </w:tcBorders>
            <w:noWrap w:val="0"/>
            <w:vAlign w:val="center"/>
          </w:tcPr>
          <w:p>
            <w:pPr>
              <w:jc w:val="center"/>
              <w:rPr>
                <w:rFonts w:hint="eastAsia" w:eastAsia="宋体"/>
                <w:highlight w:val="none"/>
                <w:lang w:val="en-US" w:eastAsia="zh-CN"/>
              </w:rPr>
            </w:pPr>
            <w:r>
              <w:rPr>
                <w:rFonts w:hint="eastAsia"/>
                <w:highlight w:val="none"/>
                <w:lang w:val="en-US" w:eastAsia="zh-CN"/>
              </w:rPr>
              <w:t>劳务费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86.09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86.09</w:t>
            </w:r>
          </w:p>
        </w:tc>
      </w:tr>
      <w:tr>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28</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工会经费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7.01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7.01</w:t>
            </w: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302</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公务用车运行维护费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eastAsia="宋体"/>
                <w:highlight w:val="none"/>
                <w:lang w:val="en-US" w:eastAsia="zh-CN"/>
              </w:rPr>
            </w:pPr>
            <w:r>
              <w:rPr>
                <w:rFonts w:hint="eastAsia"/>
                <w:highlight w:val="none"/>
              </w:rPr>
              <w:t>16.00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16.00</w:t>
            </w:r>
          </w:p>
        </w:tc>
      </w:tr>
      <w:tr>
        <w:tblPrEx>
          <w:tblCellMar>
            <w:top w:w="0" w:type="dxa"/>
            <w:left w:w="108" w:type="dxa"/>
            <w:bottom w:w="0" w:type="dxa"/>
            <w:right w:w="108" w:type="dxa"/>
          </w:tblCellMar>
        </w:tblPrEx>
        <w:trPr>
          <w:trHeight w:val="290"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39</w:t>
            </w:r>
          </w:p>
        </w:tc>
        <w:tc>
          <w:tcPr>
            <w:tcW w:w="2811"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其他交通费用</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eastAsia="宋体"/>
                <w:highlight w:val="none"/>
                <w:lang w:val="en-US" w:eastAsia="zh-CN"/>
              </w:rPr>
            </w:pPr>
            <w:r>
              <w:rPr>
                <w:rFonts w:hint="eastAsia"/>
                <w:highlight w:val="none"/>
                <w:lang w:val="en-US" w:eastAsia="zh-CN"/>
              </w:rPr>
              <w:t>0.80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p>
        </w:tc>
        <w:tc>
          <w:tcPr>
            <w:tcW w:w="1701" w:type="dxa"/>
            <w:tcBorders>
              <w:top w:val="nil"/>
              <w:left w:val="nil"/>
              <w:bottom w:val="single" w:color="auto" w:sz="4" w:space="0"/>
              <w:right w:val="single" w:color="auto" w:sz="4" w:space="0"/>
            </w:tcBorders>
            <w:noWrap w:val="0"/>
            <w:vAlign w:val="center"/>
          </w:tcPr>
          <w:p>
            <w:pPr>
              <w:jc w:val="center"/>
              <w:rPr>
                <w:rFonts w:hint="eastAsia" w:eastAsia="宋体"/>
                <w:highlight w:val="none"/>
                <w:lang w:val="en-US" w:eastAsia="zh-CN"/>
              </w:rPr>
            </w:pPr>
            <w:r>
              <w:rPr>
                <w:rFonts w:hint="eastAsia"/>
                <w:highlight w:val="none"/>
                <w:lang w:val="en-US" w:eastAsia="zh-CN"/>
              </w:rPr>
              <w:t>0.80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303</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对个人和家庭的补助</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10.01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10.01</w:t>
            </w: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303</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退休费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rPr>
              <w:t>5.60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rPr>
              <w:t>5.60</w:t>
            </w: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383"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05</w:t>
            </w:r>
          </w:p>
        </w:tc>
        <w:tc>
          <w:tcPr>
            <w:tcW w:w="2811"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生活补助</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3.64</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3.64</w:t>
            </w: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364"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303</w:t>
            </w: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09</w:t>
            </w: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奖励金</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0.77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0.77</w:t>
            </w:r>
          </w:p>
        </w:tc>
        <w:tc>
          <w:tcPr>
            <w:tcW w:w="1701" w:type="dxa"/>
            <w:tcBorders>
              <w:top w:val="nil"/>
              <w:left w:val="nil"/>
              <w:bottom w:val="single" w:color="auto" w:sz="4" w:space="0"/>
              <w:right w:val="single" w:color="auto" w:sz="4" w:space="0"/>
            </w:tcBorders>
            <w:noWrap w:val="0"/>
            <w:vAlign w:val="center"/>
          </w:tcPr>
          <w:p>
            <w:pPr>
              <w:jc w:val="center"/>
              <w:rPr>
                <w:rFonts w:hint="eastAsia"/>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577"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811"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合  计</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679.16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562.42</w:t>
            </w:r>
          </w:p>
        </w:tc>
        <w:tc>
          <w:tcPr>
            <w:tcW w:w="1701"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116.75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765" w:type="dxa"/>
        <w:tblInd w:w="-585" w:type="dxa"/>
        <w:tblLayout w:type="fixed"/>
        <w:tblCellMar>
          <w:top w:w="0" w:type="dxa"/>
          <w:left w:w="108" w:type="dxa"/>
          <w:bottom w:w="0" w:type="dxa"/>
          <w:right w:w="108" w:type="dxa"/>
        </w:tblCellMar>
      </w:tblPr>
      <w:tblGrid>
        <w:gridCol w:w="9"/>
        <w:gridCol w:w="546"/>
        <w:gridCol w:w="420"/>
        <w:gridCol w:w="450"/>
        <w:gridCol w:w="1509"/>
        <w:gridCol w:w="1131"/>
        <w:gridCol w:w="872"/>
        <w:gridCol w:w="283"/>
        <w:gridCol w:w="861"/>
        <w:gridCol w:w="369"/>
        <w:gridCol w:w="356"/>
        <w:gridCol w:w="404"/>
        <w:gridCol w:w="110"/>
        <w:gridCol w:w="795"/>
        <w:gridCol w:w="346"/>
        <w:gridCol w:w="420"/>
        <w:gridCol w:w="420"/>
        <w:gridCol w:w="388"/>
        <w:gridCol w:w="76"/>
      </w:tblGrid>
      <w:tr>
        <w:tblPrEx>
          <w:tblCellMar>
            <w:top w:w="0" w:type="dxa"/>
            <w:left w:w="108" w:type="dxa"/>
            <w:bottom w:w="0" w:type="dxa"/>
            <w:right w:w="108" w:type="dxa"/>
          </w:tblCellMar>
        </w:tblPrEx>
        <w:trPr>
          <w:gridBefore w:val="1"/>
          <w:gridAfter w:val="1"/>
          <w:wBefore w:w="9" w:type="dxa"/>
          <w:wAfter w:w="76" w:type="dxa"/>
          <w:trHeight w:val="375" w:hRule="atLeast"/>
        </w:trPr>
        <w:tc>
          <w:tcPr>
            <w:tcW w:w="968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76" w:type="dxa"/>
          <w:trHeight w:val="405" w:hRule="atLeast"/>
        </w:trPr>
        <w:tc>
          <w:tcPr>
            <w:tcW w:w="6072" w:type="dxa"/>
            <w:gridSpan w:val="8"/>
            <w:tcBorders>
              <w:top w:val="nil"/>
              <w:left w:val="nil"/>
              <w:bottom w:val="nil"/>
              <w:right w:val="nil"/>
            </w:tcBorders>
            <w:noWrap w:val="0"/>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w:t>
            </w:r>
            <w:r>
              <w:rPr>
                <w:rFonts w:hint="eastAsia"/>
                <w:highlight w:val="none"/>
                <w:lang w:val="en-US" w:eastAsia="zh-CN"/>
              </w:rPr>
              <w:t>部门</w:t>
            </w:r>
            <w:r>
              <w:rPr>
                <w:rFonts w:hint="eastAsia" w:ascii="仿宋_GB2312" w:hAnsi="宋体" w:eastAsia="仿宋_GB2312" w:cs="宋体"/>
                <w:color w:val="000000"/>
                <w:kern w:val="0"/>
                <w:sz w:val="24"/>
                <w:highlight w:val="none"/>
              </w:rPr>
              <w:t>：</w:t>
            </w:r>
            <w:r>
              <w:rPr>
                <w:rFonts w:hint="eastAsia" w:ascii="仿宋_GB2312" w:hAnsi="宋体" w:eastAsia="仿宋_GB2312"/>
                <w:kern w:val="0"/>
                <w:sz w:val="24"/>
                <w:highlight w:val="none"/>
              </w:rPr>
              <w:t>中共呼图壁县委员会办公室</w:t>
            </w:r>
          </w:p>
        </w:tc>
        <w:tc>
          <w:tcPr>
            <w:tcW w:w="1129" w:type="dxa"/>
            <w:gridSpan w:val="3"/>
            <w:tcBorders>
              <w:top w:val="nil"/>
              <w:left w:val="nil"/>
              <w:bottom w:val="nil"/>
              <w:right w:val="nil"/>
            </w:tcBorders>
            <w:noWrap w:val="0"/>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25" w:type="dxa"/>
            <w:gridSpan w:val="4"/>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1509" w:type="dxa"/>
            <w:vMerge w:val="restart"/>
            <w:noWrap w:val="0"/>
            <w:vAlign w:val="center"/>
          </w:tcPr>
          <w:p>
            <w:pPr>
              <w:widowControl/>
              <w:jc w:val="center"/>
              <w:outlineLvl w:val="1"/>
              <w:rPr>
                <w:rFonts w:hint="eastAsia"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hint="eastAsia" w:ascii="仿宋_GB2312" w:hAnsi="宋体" w:eastAsia="仿宋_GB2312"/>
                <w:b/>
                <w:kern w:val="0"/>
                <w:sz w:val="20"/>
                <w:szCs w:val="20"/>
                <w:highlight w:val="none"/>
              </w:rPr>
            </w:pPr>
            <w:r>
              <w:rPr>
                <w:rFonts w:hint="eastAsia" w:ascii="仿宋_GB2312" w:hAnsi="宋体" w:eastAsia="仿宋_GB2312"/>
                <w:b/>
                <w:color w:val="000000"/>
                <w:kern w:val="0"/>
                <w:sz w:val="20"/>
                <w:szCs w:val="20"/>
                <w:highlight w:val="none"/>
              </w:rPr>
              <w:t>名称</w:t>
            </w:r>
          </w:p>
        </w:tc>
        <w:tc>
          <w:tcPr>
            <w:tcW w:w="1131" w:type="dxa"/>
            <w:vMerge w:val="restart"/>
            <w:noWrap w:val="0"/>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872"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283"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61"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369"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356"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514" w:type="dxa"/>
            <w:gridSpan w:val="2"/>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795"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346"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4" w:type="dxa"/>
            <w:gridSpan w:val="2"/>
            <w:vMerge w:val="restart"/>
            <w:noWrap w:val="0"/>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5" w:type="dxa"/>
            <w:gridSpan w:val="2"/>
            <w:tcBorders>
              <w:bottom w:val="single" w:color="auto" w:sz="4" w:space="0"/>
            </w:tcBorders>
            <w:noWrap w:val="0"/>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420" w:type="dxa"/>
            <w:tcBorders>
              <w:bottom w:val="single" w:color="auto" w:sz="4" w:space="0"/>
            </w:tcBorders>
            <w:noWrap w:val="0"/>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50" w:type="dxa"/>
            <w:tcBorders>
              <w:bottom w:val="single" w:color="auto" w:sz="4" w:space="0"/>
            </w:tcBorders>
            <w:noWrap w:val="0"/>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509" w:type="dxa"/>
            <w:vMerge w:val="continue"/>
            <w:tcBorders>
              <w:bottom w:val="single" w:color="auto" w:sz="4" w:space="0"/>
            </w:tcBorders>
            <w:noWrap w:val="0"/>
            <w:vAlign w:val="center"/>
          </w:tcPr>
          <w:p>
            <w:pPr>
              <w:widowControl/>
              <w:jc w:val="left"/>
              <w:outlineLvl w:val="1"/>
              <w:rPr>
                <w:rFonts w:ascii="仿宋_GB2312" w:hAnsi="宋体" w:eastAsia="仿宋_GB2312"/>
                <w:b/>
                <w:kern w:val="0"/>
                <w:sz w:val="20"/>
                <w:szCs w:val="20"/>
                <w:highlight w:val="none"/>
              </w:rPr>
            </w:pPr>
          </w:p>
        </w:tc>
        <w:tc>
          <w:tcPr>
            <w:tcW w:w="1131"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872"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283"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861"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369"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356"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514"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346"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c>
          <w:tcPr>
            <w:tcW w:w="464"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201</w:t>
            </w:r>
          </w:p>
        </w:tc>
        <w:tc>
          <w:tcPr>
            <w:tcW w:w="420" w:type="dxa"/>
            <w:noWrap w:val="0"/>
            <w:vAlign w:val="center"/>
          </w:tcPr>
          <w:p>
            <w:pPr>
              <w:jc w:val="center"/>
              <w:rPr>
                <w:rFonts w:hint="eastAsia" w:ascii="仿宋" w:hAnsi="仿宋" w:eastAsia="仿宋" w:cs="仿宋"/>
                <w:sz w:val="20"/>
                <w:szCs w:val="20"/>
                <w:highlight w:val="none"/>
              </w:rPr>
            </w:pPr>
          </w:p>
        </w:tc>
        <w:tc>
          <w:tcPr>
            <w:tcW w:w="450" w:type="dxa"/>
            <w:noWrap w:val="0"/>
            <w:vAlign w:val="center"/>
          </w:tcPr>
          <w:p>
            <w:pPr>
              <w:jc w:val="center"/>
              <w:rPr>
                <w:rFonts w:hint="eastAsia" w:ascii="仿宋" w:hAnsi="仿宋" w:eastAsia="仿宋" w:cs="仿宋"/>
                <w:sz w:val="20"/>
                <w:szCs w:val="20"/>
                <w:highlight w:val="none"/>
              </w:rPr>
            </w:pPr>
          </w:p>
        </w:tc>
        <w:tc>
          <w:tcPr>
            <w:tcW w:w="1509"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一般公共服务</w:t>
            </w:r>
          </w:p>
        </w:tc>
        <w:tc>
          <w:tcPr>
            <w:tcW w:w="1131" w:type="dxa"/>
            <w:noWrap w:val="0"/>
            <w:vAlign w:val="center"/>
          </w:tcPr>
          <w:p>
            <w:pPr>
              <w:jc w:val="center"/>
              <w:rPr>
                <w:rFonts w:hint="eastAsia" w:ascii="仿宋" w:hAnsi="仿宋" w:eastAsia="仿宋" w:cs="仿宋"/>
                <w:sz w:val="20"/>
                <w:szCs w:val="20"/>
                <w:highlight w:val="none"/>
              </w:rPr>
            </w:pPr>
          </w:p>
        </w:tc>
        <w:tc>
          <w:tcPr>
            <w:tcW w:w="872"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120</w:t>
            </w:r>
            <w:r>
              <w:rPr>
                <w:rFonts w:hint="eastAsia" w:ascii="仿宋" w:hAnsi="仿宋" w:eastAsia="仿宋" w:cs="仿宋"/>
                <w:sz w:val="20"/>
                <w:szCs w:val="20"/>
                <w:highlight w:val="none"/>
                <w:lang w:val="en-US" w:eastAsia="zh-CN"/>
              </w:rPr>
              <w:t>.00</w:t>
            </w:r>
          </w:p>
        </w:tc>
        <w:tc>
          <w:tcPr>
            <w:tcW w:w="283" w:type="dxa"/>
            <w:noWrap w:val="0"/>
            <w:vAlign w:val="center"/>
          </w:tcPr>
          <w:p>
            <w:pPr>
              <w:jc w:val="both"/>
              <w:rPr>
                <w:rFonts w:hint="default" w:ascii="仿宋" w:hAnsi="仿宋" w:eastAsia="仿宋" w:cs="仿宋"/>
                <w:sz w:val="20"/>
                <w:szCs w:val="20"/>
                <w:highlight w:val="none"/>
                <w:lang w:val="en-US" w:eastAsia="zh-CN"/>
              </w:rPr>
            </w:pPr>
          </w:p>
        </w:tc>
        <w:tc>
          <w:tcPr>
            <w:tcW w:w="861" w:type="dxa"/>
            <w:noWrap w:val="0"/>
            <w:vAlign w:val="center"/>
          </w:tcPr>
          <w:p>
            <w:pPr>
              <w:jc w:val="center"/>
              <w:rPr>
                <w:rFonts w:hint="default" w:ascii="仿宋" w:hAnsi="仿宋" w:eastAsia="仿宋" w:cs="仿宋"/>
                <w:sz w:val="20"/>
                <w:szCs w:val="20"/>
                <w:highlight w:val="none"/>
                <w:lang w:val="en-US" w:eastAsia="zh-CN"/>
              </w:rPr>
            </w:pPr>
            <w:r>
              <w:rPr>
                <w:rFonts w:hint="eastAsia" w:eastAsia="仿宋"/>
                <w:highlight w:val="none"/>
                <w:lang w:val="en-US" w:eastAsia="zh-CN"/>
              </w:rPr>
              <w:t>99.00</w:t>
            </w:r>
          </w:p>
        </w:tc>
        <w:tc>
          <w:tcPr>
            <w:tcW w:w="369" w:type="dxa"/>
            <w:noWrap w:val="0"/>
            <w:vAlign w:val="center"/>
          </w:tcPr>
          <w:p>
            <w:pPr>
              <w:jc w:val="center"/>
              <w:rPr>
                <w:rFonts w:hint="eastAsia" w:ascii="仿宋" w:hAnsi="仿宋" w:eastAsia="仿宋" w:cs="仿宋"/>
                <w:sz w:val="20"/>
                <w:szCs w:val="20"/>
                <w:highlight w:val="none"/>
              </w:rPr>
            </w:pPr>
          </w:p>
        </w:tc>
        <w:tc>
          <w:tcPr>
            <w:tcW w:w="356" w:type="dxa"/>
            <w:noWrap w:val="0"/>
            <w:vAlign w:val="center"/>
          </w:tcPr>
          <w:p>
            <w:pPr>
              <w:jc w:val="center"/>
              <w:rPr>
                <w:rFonts w:hint="eastAsia" w:ascii="仿宋" w:hAnsi="仿宋" w:eastAsia="仿宋" w:cs="仿宋"/>
                <w:sz w:val="20"/>
                <w:szCs w:val="20"/>
                <w:highlight w:val="none"/>
              </w:rPr>
            </w:pPr>
          </w:p>
        </w:tc>
        <w:tc>
          <w:tcPr>
            <w:tcW w:w="514" w:type="dxa"/>
            <w:gridSpan w:val="2"/>
            <w:noWrap w:val="0"/>
            <w:vAlign w:val="center"/>
          </w:tcPr>
          <w:p>
            <w:pPr>
              <w:jc w:val="center"/>
              <w:rPr>
                <w:rFonts w:hint="eastAsia" w:ascii="仿宋" w:hAnsi="仿宋" w:eastAsia="仿宋" w:cs="仿宋"/>
                <w:sz w:val="20"/>
                <w:szCs w:val="20"/>
                <w:highlight w:val="none"/>
              </w:rPr>
            </w:pPr>
          </w:p>
        </w:tc>
        <w:tc>
          <w:tcPr>
            <w:tcW w:w="795" w:type="dxa"/>
            <w:noWrap w:val="0"/>
            <w:vAlign w:val="center"/>
          </w:tcPr>
          <w:p>
            <w:pPr>
              <w:jc w:val="center"/>
              <w:rPr>
                <w:rFonts w:hint="default" w:ascii="仿宋" w:hAnsi="仿宋" w:eastAsia="仿宋" w:cs="仿宋"/>
                <w:sz w:val="20"/>
                <w:szCs w:val="20"/>
                <w:highlight w:val="none"/>
                <w:lang w:val="en-US" w:eastAsia="zh-CN"/>
              </w:rPr>
            </w:pPr>
            <w:r>
              <w:rPr>
                <w:rFonts w:hint="eastAsia"/>
                <w:highlight w:val="none"/>
              </w:rPr>
              <w:t>21.00</w:t>
            </w:r>
          </w:p>
        </w:tc>
        <w:tc>
          <w:tcPr>
            <w:tcW w:w="346"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64" w:type="dxa"/>
            <w:gridSpan w:val="2"/>
            <w:noWrap w:val="0"/>
            <w:vAlign w:val="top"/>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201</w:t>
            </w:r>
          </w:p>
        </w:tc>
        <w:tc>
          <w:tcPr>
            <w:tcW w:w="420"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31</w:t>
            </w:r>
          </w:p>
        </w:tc>
        <w:tc>
          <w:tcPr>
            <w:tcW w:w="450" w:type="dxa"/>
            <w:noWrap w:val="0"/>
            <w:vAlign w:val="center"/>
          </w:tcPr>
          <w:p>
            <w:pPr>
              <w:jc w:val="both"/>
              <w:rPr>
                <w:rFonts w:hint="default" w:ascii="仿宋" w:hAnsi="仿宋" w:eastAsia="仿宋" w:cs="仿宋"/>
                <w:sz w:val="20"/>
                <w:szCs w:val="20"/>
                <w:highlight w:val="none"/>
                <w:lang w:val="en-US" w:eastAsia="zh-CN"/>
              </w:rPr>
            </w:pPr>
          </w:p>
        </w:tc>
        <w:tc>
          <w:tcPr>
            <w:tcW w:w="1509"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党委办公厅（室）及相关机构事务支出</w:t>
            </w:r>
          </w:p>
        </w:tc>
        <w:tc>
          <w:tcPr>
            <w:tcW w:w="1131" w:type="dxa"/>
            <w:noWrap w:val="0"/>
            <w:vAlign w:val="center"/>
          </w:tcPr>
          <w:p>
            <w:pPr>
              <w:jc w:val="center"/>
              <w:rPr>
                <w:rFonts w:hint="eastAsia" w:ascii="仿宋" w:hAnsi="仿宋" w:eastAsia="仿宋" w:cs="仿宋"/>
                <w:sz w:val="20"/>
                <w:szCs w:val="20"/>
                <w:highlight w:val="none"/>
              </w:rPr>
            </w:pPr>
          </w:p>
        </w:tc>
        <w:tc>
          <w:tcPr>
            <w:tcW w:w="872"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120</w:t>
            </w:r>
            <w:r>
              <w:rPr>
                <w:rFonts w:hint="eastAsia" w:ascii="仿宋" w:hAnsi="仿宋" w:eastAsia="仿宋" w:cs="仿宋"/>
                <w:sz w:val="20"/>
                <w:szCs w:val="20"/>
                <w:highlight w:val="none"/>
                <w:lang w:val="en-US" w:eastAsia="zh-CN"/>
              </w:rPr>
              <w:t>.00</w:t>
            </w:r>
          </w:p>
        </w:tc>
        <w:tc>
          <w:tcPr>
            <w:tcW w:w="283" w:type="dxa"/>
            <w:noWrap w:val="0"/>
            <w:vAlign w:val="center"/>
          </w:tcPr>
          <w:p>
            <w:pPr>
              <w:jc w:val="center"/>
              <w:rPr>
                <w:rFonts w:hint="eastAsia" w:ascii="仿宋" w:hAnsi="仿宋" w:eastAsia="仿宋" w:cs="仿宋"/>
                <w:sz w:val="20"/>
                <w:szCs w:val="20"/>
                <w:highlight w:val="none"/>
              </w:rPr>
            </w:pPr>
          </w:p>
        </w:tc>
        <w:tc>
          <w:tcPr>
            <w:tcW w:w="861"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99.00</w:t>
            </w:r>
          </w:p>
        </w:tc>
        <w:tc>
          <w:tcPr>
            <w:tcW w:w="369" w:type="dxa"/>
            <w:noWrap w:val="0"/>
            <w:vAlign w:val="center"/>
          </w:tcPr>
          <w:p>
            <w:pPr>
              <w:jc w:val="center"/>
              <w:rPr>
                <w:rFonts w:hint="eastAsia" w:ascii="仿宋" w:hAnsi="仿宋" w:eastAsia="仿宋" w:cs="仿宋"/>
                <w:sz w:val="20"/>
                <w:szCs w:val="20"/>
                <w:highlight w:val="none"/>
              </w:rPr>
            </w:pPr>
          </w:p>
        </w:tc>
        <w:tc>
          <w:tcPr>
            <w:tcW w:w="356" w:type="dxa"/>
            <w:noWrap w:val="0"/>
            <w:vAlign w:val="center"/>
          </w:tcPr>
          <w:p>
            <w:pPr>
              <w:jc w:val="center"/>
              <w:rPr>
                <w:rFonts w:hint="eastAsia" w:ascii="仿宋" w:hAnsi="仿宋" w:eastAsia="仿宋" w:cs="仿宋"/>
                <w:sz w:val="20"/>
                <w:szCs w:val="20"/>
                <w:highlight w:val="none"/>
              </w:rPr>
            </w:pPr>
          </w:p>
        </w:tc>
        <w:tc>
          <w:tcPr>
            <w:tcW w:w="514" w:type="dxa"/>
            <w:gridSpan w:val="2"/>
            <w:noWrap w:val="0"/>
            <w:vAlign w:val="center"/>
          </w:tcPr>
          <w:p>
            <w:pPr>
              <w:jc w:val="center"/>
              <w:rPr>
                <w:rFonts w:hint="eastAsia" w:ascii="仿宋" w:hAnsi="仿宋" w:eastAsia="仿宋" w:cs="仿宋"/>
                <w:sz w:val="20"/>
                <w:szCs w:val="20"/>
                <w:highlight w:val="none"/>
              </w:rPr>
            </w:pPr>
          </w:p>
        </w:tc>
        <w:tc>
          <w:tcPr>
            <w:tcW w:w="795"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21.00</w:t>
            </w:r>
          </w:p>
        </w:tc>
        <w:tc>
          <w:tcPr>
            <w:tcW w:w="346"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64" w:type="dxa"/>
            <w:gridSpan w:val="2"/>
            <w:noWrap w:val="0"/>
            <w:vAlign w:val="top"/>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rPr>
              <w:t>201</w:t>
            </w:r>
          </w:p>
        </w:tc>
        <w:tc>
          <w:tcPr>
            <w:tcW w:w="420" w:type="dxa"/>
            <w:noWrap w:val="0"/>
            <w:vAlign w:val="center"/>
          </w:tcPr>
          <w:p>
            <w:pPr>
              <w:jc w:val="center"/>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rPr>
              <w:t>31</w:t>
            </w:r>
          </w:p>
        </w:tc>
        <w:tc>
          <w:tcPr>
            <w:tcW w:w="450" w:type="dxa"/>
            <w:noWrap w:val="0"/>
            <w:vAlign w:val="center"/>
          </w:tcPr>
          <w:p>
            <w:pPr>
              <w:jc w:val="center"/>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lang w:val="en-US" w:eastAsia="zh-CN"/>
              </w:rPr>
              <w:t>99</w:t>
            </w:r>
          </w:p>
        </w:tc>
        <w:tc>
          <w:tcPr>
            <w:tcW w:w="1509" w:type="dxa"/>
            <w:noWrap w:val="0"/>
            <w:vAlign w:val="center"/>
          </w:tcPr>
          <w:p>
            <w:pPr>
              <w:jc w:val="center"/>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rPr>
              <w:t>其他党委办公厅（室）及相关机构事务支出</w:t>
            </w:r>
          </w:p>
        </w:tc>
        <w:tc>
          <w:tcPr>
            <w:tcW w:w="1131" w:type="dxa"/>
            <w:noWrap w:val="0"/>
            <w:vAlign w:val="center"/>
          </w:tcPr>
          <w:p>
            <w:pPr>
              <w:jc w:val="center"/>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rPr>
              <w:t>运转经费（2025年非定额）</w:t>
            </w:r>
          </w:p>
        </w:tc>
        <w:tc>
          <w:tcPr>
            <w:tcW w:w="872"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120</w:t>
            </w:r>
            <w:r>
              <w:rPr>
                <w:rFonts w:hint="eastAsia" w:ascii="仿宋" w:hAnsi="仿宋" w:eastAsia="仿宋" w:cs="仿宋"/>
                <w:sz w:val="20"/>
                <w:szCs w:val="20"/>
                <w:highlight w:val="none"/>
                <w:lang w:val="en-US" w:eastAsia="zh-CN"/>
              </w:rPr>
              <w:t>.00</w:t>
            </w:r>
          </w:p>
        </w:tc>
        <w:tc>
          <w:tcPr>
            <w:tcW w:w="283" w:type="dxa"/>
            <w:noWrap w:val="0"/>
            <w:vAlign w:val="center"/>
          </w:tcPr>
          <w:p>
            <w:pPr>
              <w:jc w:val="center"/>
              <w:rPr>
                <w:rFonts w:hint="eastAsia" w:ascii="仿宋" w:hAnsi="仿宋" w:eastAsia="仿宋" w:cs="仿宋"/>
                <w:sz w:val="20"/>
                <w:szCs w:val="20"/>
                <w:highlight w:val="none"/>
              </w:rPr>
            </w:pPr>
          </w:p>
        </w:tc>
        <w:tc>
          <w:tcPr>
            <w:tcW w:w="861"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99.00</w:t>
            </w:r>
          </w:p>
        </w:tc>
        <w:tc>
          <w:tcPr>
            <w:tcW w:w="369" w:type="dxa"/>
            <w:noWrap w:val="0"/>
            <w:vAlign w:val="center"/>
          </w:tcPr>
          <w:p>
            <w:pPr>
              <w:jc w:val="center"/>
              <w:rPr>
                <w:rFonts w:hint="eastAsia" w:ascii="仿宋" w:hAnsi="仿宋" w:eastAsia="仿宋" w:cs="仿宋"/>
                <w:sz w:val="20"/>
                <w:szCs w:val="20"/>
                <w:highlight w:val="none"/>
              </w:rPr>
            </w:pPr>
          </w:p>
        </w:tc>
        <w:tc>
          <w:tcPr>
            <w:tcW w:w="356" w:type="dxa"/>
            <w:noWrap w:val="0"/>
            <w:vAlign w:val="center"/>
          </w:tcPr>
          <w:p>
            <w:pPr>
              <w:jc w:val="center"/>
              <w:rPr>
                <w:rFonts w:hint="eastAsia" w:ascii="仿宋" w:hAnsi="仿宋" w:eastAsia="仿宋" w:cs="仿宋"/>
                <w:sz w:val="20"/>
                <w:szCs w:val="20"/>
                <w:highlight w:val="none"/>
              </w:rPr>
            </w:pPr>
          </w:p>
        </w:tc>
        <w:tc>
          <w:tcPr>
            <w:tcW w:w="514" w:type="dxa"/>
            <w:gridSpan w:val="2"/>
            <w:noWrap w:val="0"/>
            <w:vAlign w:val="center"/>
          </w:tcPr>
          <w:p>
            <w:pPr>
              <w:jc w:val="center"/>
              <w:rPr>
                <w:rFonts w:hint="eastAsia" w:ascii="仿宋" w:hAnsi="仿宋" w:eastAsia="仿宋" w:cs="仿宋"/>
                <w:sz w:val="20"/>
                <w:szCs w:val="20"/>
                <w:highlight w:val="none"/>
              </w:rPr>
            </w:pPr>
          </w:p>
        </w:tc>
        <w:tc>
          <w:tcPr>
            <w:tcW w:w="795"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21.00</w:t>
            </w:r>
          </w:p>
        </w:tc>
        <w:tc>
          <w:tcPr>
            <w:tcW w:w="346"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64" w:type="dxa"/>
            <w:gridSpan w:val="2"/>
            <w:noWrap w:val="0"/>
            <w:vAlign w:val="top"/>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50" w:type="dxa"/>
            <w:noWrap w:val="0"/>
            <w:vAlign w:val="center"/>
          </w:tcPr>
          <w:p>
            <w:pPr>
              <w:jc w:val="center"/>
              <w:rPr>
                <w:rFonts w:hint="eastAsia" w:ascii="仿宋" w:hAnsi="仿宋" w:eastAsia="仿宋" w:cs="仿宋"/>
                <w:sz w:val="20"/>
                <w:szCs w:val="20"/>
                <w:highlight w:val="none"/>
              </w:rPr>
            </w:pPr>
          </w:p>
        </w:tc>
        <w:tc>
          <w:tcPr>
            <w:tcW w:w="1509" w:type="dxa"/>
            <w:noWrap w:val="0"/>
            <w:vAlign w:val="center"/>
          </w:tcPr>
          <w:p>
            <w:pPr>
              <w:jc w:val="center"/>
              <w:rPr>
                <w:rFonts w:hint="eastAsia" w:ascii="仿宋" w:hAnsi="仿宋" w:eastAsia="仿宋" w:cs="仿宋"/>
                <w:sz w:val="20"/>
                <w:szCs w:val="20"/>
                <w:highlight w:val="none"/>
              </w:rPr>
            </w:pPr>
          </w:p>
        </w:tc>
        <w:tc>
          <w:tcPr>
            <w:tcW w:w="1131" w:type="dxa"/>
            <w:noWrap w:val="0"/>
            <w:vAlign w:val="center"/>
          </w:tcPr>
          <w:p>
            <w:pPr>
              <w:jc w:val="center"/>
              <w:rPr>
                <w:rFonts w:hint="eastAsia" w:ascii="仿宋" w:hAnsi="仿宋" w:eastAsia="仿宋" w:cs="仿宋"/>
                <w:sz w:val="20"/>
                <w:szCs w:val="20"/>
                <w:highlight w:val="none"/>
              </w:rPr>
            </w:pPr>
          </w:p>
        </w:tc>
        <w:tc>
          <w:tcPr>
            <w:tcW w:w="872" w:type="dxa"/>
            <w:noWrap w:val="0"/>
            <w:vAlign w:val="center"/>
          </w:tcPr>
          <w:p>
            <w:pPr>
              <w:jc w:val="center"/>
              <w:rPr>
                <w:rFonts w:hint="eastAsia" w:ascii="仿宋" w:hAnsi="仿宋" w:eastAsia="仿宋" w:cs="仿宋"/>
                <w:sz w:val="20"/>
                <w:szCs w:val="20"/>
                <w:highlight w:val="none"/>
              </w:rPr>
            </w:pPr>
          </w:p>
        </w:tc>
        <w:tc>
          <w:tcPr>
            <w:tcW w:w="283" w:type="dxa"/>
            <w:noWrap w:val="0"/>
            <w:vAlign w:val="center"/>
          </w:tcPr>
          <w:p>
            <w:pPr>
              <w:jc w:val="center"/>
              <w:rPr>
                <w:rFonts w:hint="eastAsia" w:ascii="仿宋" w:hAnsi="仿宋" w:eastAsia="仿宋" w:cs="仿宋"/>
                <w:sz w:val="20"/>
                <w:szCs w:val="20"/>
                <w:highlight w:val="none"/>
              </w:rPr>
            </w:pPr>
          </w:p>
        </w:tc>
        <w:tc>
          <w:tcPr>
            <w:tcW w:w="861" w:type="dxa"/>
            <w:noWrap w:val="0"/>
            <w:vAlign w:val="center"/>
          </w:tcPr>
          <w:p>
            <w:pPr>
              <w:jc w:val="center"/>
              <w:rPr>
                <w:rFonts w:hint="eastAsia" w:ascii="仿宋" w:hAnsi="仿宋" w:eastAsia="仿宋" w:cs="仿宋"/>
                <w:sz w:val="20"/>
                <w:szCs w:val="20"/>
                <w:highlight w:val="none"/>
              </w:rPr>
            </w:pPr>
          </w:p>
        </w:tc>
        <w:tc>
          <w:tcPr>
            <w:tcW w:w="369" w:type="dxa"/>
            <w:noWrap w:val="0"/>
            <w:vAlign w:val="center"/>
          </w:tcPr>
          <w:p>
            <w:pPr>
              <w:jc w:val="center"/>
              <w:rPr>
                <w:rFonts w:hint="eastAsia" w:ascii="仿宋" w:hAnsi="仿宋" w:eastAsia="仿宋" w:cs="仿宋"/>
                <w:sz w:val="20"/>
                <w:szCs w:val="20"/>
                <w:highlight w:val="none"/>
              </w:rPr>
            </w:pPr>
          </w:p>
        </w:tc>
        <w:tc>
          <w:tcPr>
            <w:tcW w:w="356" w:type="dxa"/>
            <w:noWrap w:val="0"/>
            <w:vAlign w:val="center"/>
          </w:tcPr>
          <w:p>
            <w:pPr>
              <w:jc w:val="center"/>
              <w:rPr>
                <w:rFonts w:hint="eastAsia" w:ascii="仿宋" w:hAnsi="仿宋" w:eastAsia="仿宋" w:cs="仿宋"/>
                <w:sz w:val="20"/>
                <w:szCs w:val="20"/>
                <w:highlight w:val="none"/>
              </w:rPr>
            </w:pPr>
          </w:p>
        </w:tc>
        <w:tc>
          <w:tcPr>
            <w:tcW w:w="514" w:type="dxa"/>
            <w:gridSpan w:val="2"/>
            <w:noWrap w:val="0"/>
            <w:vAlign w:val="center"/>
          </w:tcPr>
          <w:p>
            <w:pPr>
              <w:jc w:val="center"/>
              <w:rPr>
                <w:rFonts w:hint="eastAsia" w:ascii="仿宋" w:hAnsi="仿宋" w:eastAsia="仿宋" w:cs="仿宋"/>
                <w:sz w:val="20"/>
                <w:szCs w:val="20"/>
                <w:highlight w:val="none"/>
              </w:rPr>
            </w:pPr>
          </w:p>
        </w:tc>
        <w:tc>
          <w:tcPr>
            <w:tcW w:w="795" w:type="dxa"/>
            <w:noWrap w:val="0"/>
            <w:vAlign w:val="center"/>
          </w:tcPr>
          <w:p>
            <w:pPr>
              <w:jc w:val="center"/>
              <w:rPr>
                <w:rFonts w:hint="eastAsia" w:ascii="仿宋" w:hAnsi="仿宋" w:eastAsia="仿宋" w:cs="仿宋"/>
                <w:sz w:val="20"/>
                <w:szCs w:val="20"/>
                <w:highlight w:val="none"/>
              </w:rPr>
            </w:pPr>
          </w:p>
        </w:tc>
        <w:tc>
          <w:tcPr>
            <w:tcW w:w="346"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64" w:type="dxa"/>
            <w:gridSpan w:val="2"/>
            <w:noWrap w:val="0"/>
            <w:vAlign w:val="top"/>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50" w:type="dxa"/>
            <w:noWrap w:val="0"/>
            <w:vAlign w:val="center"/>
          </w:tcPr>
          <w:p>
            <w:pPr>
              <w:jc w:val="center"/>
              <w:rPr>
                <w:rFonts w:hint="eastAsia" w:ascii="仿宋" w:hAnsi="仿宋" w:eastAsia="仿宋" w:cs="仿宋"/>
                <w:sz w:val="20"/>
                <w:szCs w:val="20"/>
                <w:highlight w:val="none"/>
              </w:rPr>
            </w:pPr>
          </w:p>
        </w:tc>
        <w:tc>
          <w:tcPr>
            <w:tcW w:w="1509" w:type="dxa"/>
            <w:noWrap w:val="0"/>
            <w:vAlign w:val="center"/>
          </w:tcPr>
          <w:p>
            <w:pPr>
              <w:jc w:val="center"/>
              <w:rPr>
                <w:rFonts w:hint="eastAsia" w:ascii="仿宋" w:hAnsi="仿宋" w:eastAsia="仿宋" w:cs="仿宋"/>
                <w:sz w:val="20"/>
                <w:szCs w:val="20"/>
                <w:highlight w:val="none"/>
              </w:rPr>
            </w:pPr>
          </w:p>
        </w:tc>
        <w:tc>
          <w:tcPr>
            <w:tcW w:w="1131" w:type="dxa"/>
            <w:noWrap w:val="0"/>
            <w:vAlign w:val="center"/>
          </w:tcPr>
          <w:p>
            <w:pPr>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合 计</w:t>
            </w:r>
          </w:p>
        </w:tc>
        <w:tc>
          <w:tcPr>
            <w:tcW w:w="872" w:type="dxa"/>
            <w:noWrap w:val="0"/>
            <w:vAlign w:val="center"/>
          </w:tcPr>
          <w:p>
            <w:pPr>
              <w:jc w:val="center"/>
              <w:rPr>
                <w:rFonts w:hint="default" w:ascii="仿宋" w:hAnsi="仿宋" w:eastAsia="仿宋" w:cs="仿宋"/>
                <w:b/>
                <w:bCs/>
                <w:sz w:val="20"/>
                <w:szCs w:val="20"/>
                <w:highlight w:val="none"/>
                <w:lang w:val="en-US" w:eastAsia="zh-CN"/>
              </w:rPr>
            </w:pPr>
            <w:r>
              <w:rPr>
                <w:rFonts w:hint="eastAsia" w:ascii="仿宋" w:hAnsi="仿宋" w:eastAsia="仿宋" w:cs="仿宋"/>
                <w:sz w:val="20"/>
                <w:szCs w:val="20"/>
                <w:highlight w:val="none"/>
              </w:rPr>
              <w:t>120</w:t>
            </w:r>
            <w:r>
              <w:rPr>
                <w:rFonts w:hint="eastAsia" w:ascii="仿宋" w:hAnsi="仿宋" w:eastAsia="仿宋" w:cs="仿宋"/>
                <w:sz w:val="20"/>
                <w:szCs w:val="20"/>
                <w:highlight w:val="none"/>
                <w:lang w:val="en-US" w:eastAsia="zh-CN"/>
              </w:rPr>
              <w:t>.00</w:t>
            </w:r>
          </w:p>
        </w:tc>
        <w:tc>
          <w:tcPr>
            <w:tcW w:w="283" w:type="dxa"/>
            <w:noWrap w:val="0"/>
            <w:vAlign w:val="center"/>
          </w:tcPr>
          <w:p>
            <w:pPr>
              <w:jc w:val="both"/>
              <w:rPr>
                <w:rFonts w:hint="eastAsia" w:ascii="仿宋" w:hAnsi="仿宋" w:eastAsia="仿宋" w:cs="仿宋"/>
                <w:b/>
                <w:bCs/>
                <w:sz w:val="20"/>
                <w:szCs w:val="20"/>
                <w:highlight w:val="none"/>
              </w:rPr>
            </w:pPr>
          </w:p>
        </w:tc>
        <w:tc>
          <w:tcPr>
            <w:tcW w:w="861" w:type="dxa"/>
            <w:noWrap w:val="0"/>
            <w:vAlign w:val="center"/>
          </w:tcPr>
          <w:p>
            <w:pPr>
              <w:jc w:val="center"/>
              <w:rPr>
                <w:rFonts w:hint="default" w:ascii="仿宋" w:hAnsi="仿宋" w:eastAsia="仿宋" w:cs="仿宋"/>
                <w:b/>
                <w:bCs/>
                <w:sz w:val="20"/>
                <w:szCs w:val="20"/>
                <w:highlight w:val="none"/>
                <w:lang w:val="en-US" w:eastAsia="zh-CN"/>
              </w:rPr>
            </w:pPr>
            <w:r>
              <w:rPr>
                <w:rFonts w:hint="eastAsia" w:eastAsia="仿宋"/>
                <w:highlight w:val="none"/>
                <w:lang w:val="en-US" w:eastAsia="zh-CN"/>
              </w:rPr>
              <w:t>99.00</w:t>
            </w:r>
          </w:p>
        </w:tc>
        <w:tc>
          <w:tcPr>
            <w:tcW w:w="369" w:type="dxa"/>
            <w:noWrap w:val="0"/>
            <w:vAlign w:val="center"/>
          </w:tcPr>
          <w:p>
            <w:pPr>
              <w:jc w:val="center"/>
              <w:rPr>
                <w:rFonts w:hint="eastAsia" w:ascii="仿宋" w:hAnsi="仿宋" w:eastAsia="仿宋" w:cs="仿宋"/>
                <w:b/>
                <w:bCs/>
                <w:sz w:val="20"/>
                <w:szCs w:val="20"/>
                <w:highlight w:val="none"/>
              </w:rPr>
            </w:pPr>
          </w:p>
        </w:tc>
        <w:tc>
          <w:tcPr>
            <w:tcW w:w="356" w:type="dxa"/>
            <w:noWrap w:val="0"/>
            <w:vAlign w:val="center"/>
          </w:tcPr>
          <w:p>
            <w:pPr>
              <w:jc w:val="center"/>
              <w:rPr>
                <w:rFonts w:hint="eastAsia" w:ascii="仿宋" w:hAnsi="仿宋" w:eastAsia="仿宋" w:cs="仿宋"/>
                <w:sz w:val="20"/>
                <w:szCs w:val="20"/>
                <w:highlight w:val="none"/>
              </w:rPr>
            </w:pPr>
          </w:p>
        </w:tc>
        <w:tc>
          <w:tcPr>
            <w:tcW w:w="514" w:type="dxa"/>
            <w:gridSpan w:val="2"/>
            <w:noWrap w:val="0"/>
            <w:vAlign w:val="center"/>
          </w:tcPr>
          <w:p>
            <w:pPr>
              <w:jc w:val="center"/>
              <w:rPr>
                <w:rFonts w:hint="eastAsia" w:ascii="仿宋" w:hAnsi="仿宋" w:eastAsia="仿宋" w:cs="仿宋"/>
                <w:sz w:val="20"/>
                <w:szCs w:val="20"/>
                <w:highlight w:val="none"/>
              </w:rPr>
            </w:pPr>
          </w:p>
        </w:tc>
        <w:tc>
          <w:tcPr>
            <w:tcW w:w="795" w:type="dxa"/>
            <w:noWrap w:val="0"/>
            <w:vAlign w:val="center"/>
          </w:tcPr>
          <w:p>
            <w:pPr>
              <w:jc w:val="center"/>
              <w:rPr>
                <w:rFonts w:hint="eastAsia" w:ascii="仿宋" w:hAnsi="仿宋" w:eastAsia="仿宋" w:cs="仿宋"/>
                <w:sz w:val="20"/>
                <w:szCs w:val="20"/>
                <w:highlight w:val="none"/>
              </w:rPr>
            </w:pPr>
            <w:r>
              <w:rPr>
                <w:rFonts w:hint="eastAsia"/>
                <w:highlight w:val="none"/>
              </w:rPr>
              <w:t>21.00</w:t>
            </w:r>
          </w:p>
        </w:tc>
        <w:tc>
          <w:tcPr>
            <w:tcW w:w="346"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20" w:type="dxa"/>
            <w:noWrap w:val="0"/>
            <w:vAlign w:val="center"/>
          </w:tcPr>
          <w:p>
            <w:pPr>
              <w:jc w:val="center"/>
              <w:rPr>
                <w:rFonts w:hint="eastAsia" w:ascii="仿宋" w:hAnsi="仿宋" w:eastAsia="仿宋" w:cs="仿宋"/>
                <w:sz w:val="20"/>
                <w:szCs w:val="20"/>
                <w:highlight w:val="none"/>
              </w:rPr>
            </w:pPr>
          </w:p>
        </w:tc>
        <w:tc>
          <w:tcPr>
            <w:tcW w:w="464" w:type="dxa"/>
            <w:gridSpan w:val="2"/>
            <w:noWrap w:val="0"/>
            <w:vAlign w:val="top"/>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s="宋体"/>
          <w:color w:val="auto"/>
          <w:kern w:val="0"/>
          <w:sz w:val="24"/>
          <w:szCs w:val="24"/>
          <w:highlight w:val="none"/>
        </w:rPr>
        <w:t xml:space="preserve">           </w:t>
      </w:r>
      <w:r>
        <w:rPr>
          <w:rFonts w:hint="eastAsia" w:ascii="仿宋_GB2312" w:hAnsi="宋体" w:eastAsia="仿宋_GB2312" w:cs="宋体"/>
          <w:color w:val="auto"/>
          <w:kern w:val="0"/>
          <w:sz w:val="24"/>
          <w:szCs w:val="24"/>
          <w:highlight w:val="none"/>
          <w:lang w:val="en-US" w:eastAsia="zh-CN"/>
        </w:rPr>
        <w:t xml:space="preserve">     </w:t>
      </w:r>
      <w:r>
        <w:rPr>
          <w:rFonts w:hint="eastAsia" w:ascii="仿宋_GB2312" w:hAnsi="宋体" w:eastAsia="仿宋_GB2312" w:cs="宋体"/>
          <w:color w:val="auto"/>
          <w:kern w:val="0"/>
          <w:sz w:val="24"/>
          <w:szCs w:val="24"/>
          <w:highlight w:val="none"/>
        </w:rPr>
        <w:t xml:space="preserve">         单位：万元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highlight w:val="none"/>
                <w:lang w:val="en-US" w:eastAsia="zh-CN" w:bidi="ar-SA"/>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中共呼图壁县委员会办公室2025年没有使用政府性基金预算拨款安排的支出，政府性基金预算支出情况表为空表。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lang w:val="en-US" w:eastAsia="zh-CN"/>
        </w:rPr>
        <w:t>中共呼图壁县委员会办公室</w:t>
      </w:r>
      <w:r>
        <w:rPr>
          <w:rFonts w:hint="eastAsia" w:ascii="仿宋_GB2312" w:hAnsi="宋体" w:eastAsia="仿宋_GB2312"/>
          <w:color w:val="auto"/>
          <w:kern w:val="0"/>
          <w:sz w:val="24"/>
          <w:highlight w:val="none"/>
          <w:lang w:eastAsia="zh-CN"/>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中共呼图壁县委员会办公室2025年没有使用国有资本经营预算拨款安排的支出，国有资本经营预算拨款支出情况表为空表。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lang w:val="en-US" w:eastAsia="zh-CN"/>
        </w:rPr>
        <w:t>“三公”经费支出情况表</w:t>
      </w:r>
    </w:p>
    <w:p>
      <w:pPr>
        <w:widowControl/>
        <w:spacing w:line="280" w:lineRule="exact"/>
        <w:jc w:val="left"/>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 xml:space="preserve">编制部门： </w:t>
      </w:r>
      <w:r>
        <w:rPr>
          <w:rFonts w:hint="eastAsia" w:ascii="仿宋_GB2312" w:hAnsi="宋体" w:eastAsia="仿宋_GB2312"/>
          <w:color w:val="auto"/>
          <w:kern w:val="0"/>
          <w:sz w:val="24"/>
          <w:highlight w:val="none"/>
          <w:lang w:val="en-US" w:eastAsia="zh-CN"/>
        </w:rPr>
        <w:t>中共呼图壁县委员会办公室</w:t>
      </w:r>
      <w:r>
        <w:rPr>
          <w:rFonts w:hint="eastAsia" w:ascii="仿宋_GB2312" w:hAnsi="宋体" w:eastAsia="仿宋_GB2312"/>
          <w:color w:val="auto"/>
          <w:kern w:val="0"/>
          <w:sz w:val="24"/>
          <w:highlight w:val="none"/>
          <w:lang w:eastAsia="zh-CN"/>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highlight w:val="none"/>
              </w:rPr>
              <w:t>16.20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highlight w:val="none"/>
              </w:rPr>
              <w:t>16.20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highlight w:val="none"/>
              </w:rPr>
              <w:t>0.20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highlight w:val="none"/>
              </w:rPr>
              <w:t>0.20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highlight w:val="none"/>
              </w:rPr>
              <w:t>16.00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highlight w:val="none"/>
              </w:rPr>
              <w:t>16.00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highlight w:val="none"/>
              </w:rPr>
              <w:t>16.00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highlight w:val="none"/>
              </w:rPr>
              <w:t>16.00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spacing w:line="280" w:lineRule="exact"/>
        <w:jc w:val="left"/>
        <w:rPr>
          <w:rFonts w:hint="eastAsia" w:ascii="仿宋_GB2312" w:hAnsi="宋体" w:eastAsia="仿宋_GB2312"/>
          <w:color w:val="auto"/>
          <w:kern w:val="0"/>
          <w:sz w:val="24"/>
          <w:highlight w:val="none"/>
          <w:lang w:val="en-US" w:eastAsia="zh-Hans"/>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lang w:val="en-US" w:eastAsia="zh-CN"/>
        </w:rPr>
        <w:t>中共呼图壁县委员会办公室</w:t>
      </w:r>
      <w:r>
        <w:rPr>
          <w:rFonts w:hint="eastAsia" w:ascii="仿宋_GB2312" w:hAnsi="宋体" w:eastAsia="仿宋_GB2312"/>
          <w:color w:val="auto"/>
          <w:kern w:val="0"/>
          <w:sz w:val="24"/>
          <w:highlight w:val="none"/>
          <w:lang w:eastAsia="zh-CN"/>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743"/>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9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43"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94"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4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9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94" w:type="dxa"/>
            <w:noWrap w:val="0"/>
            <w:vAlign w:val="center"/>
          </w:tcPr>
          <w:p>
            <w:pPr>
              <w:widowControl/>
              <w:outlineLvl w:val="1"/>
              <w:rPr>
                <w:rFonts w:hint="eastAsia"/>
                <w:highlight w:val="none"/>
                <w:lang w:val="en-US" w:eastAsia="zh-CN"/>
              </w:rPr>
            </w:pPr>
            <w:r>
              <w:rPr>
                <w:rFonts w:hint="eastAsia"/>
                <w:highlight w:val="none"/>
                <w:lang w:val="en-US" w:eastAsia="zh-CN"/>
              </w:rPr>
              <w:t>2024年为民办实事经费</w:t>
            </w:r>
          </w:p>
        </w:tc>
        <w:tc>
          <w:tcPr>
            <w:tcW w:w="743" w:type="dxa"/>
            <w:noWrap w:val="0"/>
            <w:vAlign w:val="center"/>
          </w:tcPr>
          <w:p>
            <w:pPr>
              <w:widowControl/>
              <w:outlineLvl w:val="1"/>
              <w:rPr>
                <w:rFonts w:hint="default"/>
                <w:b w:val="0"/>
                <w:bCs w:val="0"/>
                <w:highlight w:val="none"/>
                <w:lang w:val="en-US" w:eastAsia="zh-CN"/>
              </w:rPr>
            </w:pPr>
            <w:r>
              <w:rPr>
                <w:rFonts w:hint="eastAsia"/>
                <w:b w:val="0"/>
                <w:bCs w:val="0"/>
                <w:highlight w:val="none"/>
                <w:lang w:val="en-US" w:eastAsia="zh-CN"/>
              </w:rPr>
              <w:t>3.79</w:t>
            </w:r>
          </w:p>
        </w:tc>
        <w:tc>
          <w:tcPr>
            <w:tcW w:w="1054" w:type="dxa"/>
            <w:noWrap w:val="0"/>
            <w:vAlign w:val="center"/>
          </w:tcPr>
          <w:p>
            <w:pPr>
              <w:widowControl/>
              <w:outlineLvl w:val="1"/>
              <w:rPr>
                <w:rFonts w:hint="default"/>
                <w:b w:val="0"/>
                <w:bCs w:val="0"/>
                <w:highlight w:val="none"/>
                <w:lang w:val="en-US" w:eastAsia="zh-CN"/>
              </w:rPr>
            </w:pPr>
            <w:r>
              <w:rPr>
                <w:rFonts w:hint="eastAsia"/>
                <w:b w:val="0"/>
                <w:bCs w:val="0"/>
                <w:highlight w:val="none"/>
                <w:lang w:val="en-US" w:eastAsia="zh-CN"/>
              </w:rPr>
              <w:t>3.79</w:t>
            </w:r>
          </w:p>
        </w:tc>
        <w:tc>
          <w:tcPr>
            <w:tcW w:w="890" w:type="dxa"/>
            <w:noWrap w:val="0"/>
            <w:vAlign w:val="center"/>
          </w:tcPr>
          <w:p>
            <w:pPr>
              <w:widowControl/>
              <w:outlineLvl w:val="1"/>
              <w:rPr>
                <w:rFonts w:hint="eastAsia"/>
                <w:b w:val="0"/>
                <w:bCs w:val="0"/>
                <w:highlight w:val="none"/>
                <w:lang w:val="en-US" w:eastAsia="zh-CN"/>
              </w:rPr>
            </w:pPr>
          </w:p>
        </w:tc>
        <w:tc>
          <w:tcPr>
            <w:tcW w:w="714" w:type="dxa"/>
            <w:noWrap w:val="0"/>
            <w:vAlign w:val="center"/>
          </w:tcPr>
          <w:p>
            <w:pPr>
              <w:widowControl/>
              <w:outlineLvl w:val="1"/>
              <w:rPr>
                <w:rFonts w:hint="eastAsia"/>
                <w:b w:val="0"/>
                <w:bCs w:val="0"/>
                <w:highlight w:val="none"/>
                <w:lang w:val="en-US" w:eastAsia="zh-CN"/>
              </w:rPr>
            </w:pPr>
          </w:p>
        </w:tc>
        <w:tc>
          <w:tcPr>
            <w:tcW w:w="1211" w:type="dxa"/>
            <w:noWrap w:val="0"/>
            <w:vAlign w:val="center"/>
          </w:tcPr>
          <w:p>
            <w:pPr>
              <w:widowControl/>
              <w:outlineLvl w:val="1"/>
              <w:rPr>
                <w:rFonts w:hint="default"/>
                <w:b w:val="0"/>
                <w:bCs w:val="0"/>
                <w:highlight w:val="none"/>
                <w:lang w:val="en-US" w:eastAsia="zh-CN"/>
              </w:rPr>
            </w:pPr>
            <w:r>
              <w:rPr>
                <w:rFonts w:hint="eastAsia"/>
                <w:b w:val="0"/>
                <w:bCs w:val="0"/>
                <w:highlight w:val="none"/>
                <w:lang w:val="en-US" w:eastAsia="zh-CN"/>
              </w:rPr>
              <w:t>3.79</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9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9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94"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743" w:type="dxa"/>
            <w:noWrap w:val="0"/>
            <w:vAlign w:val="center"/>
          </w:tcPr>
          <w:p>
            <w:pPr>
              <w:widowControl/>
              <w:outlineLvl w:val="1"/>
              <w:rPr>
                <w:rFonts w:hint="default" w:ascii="仿宋" w:hAnsi="仿宋" w:eastAsia="仿宋" w:cs="仿宋_GB2312"/>
                <w:b w:val="0"/>
                <w:bCs w:val="0"/>
                <w:color w:val="auto"/>
                <w:kern w:val="0"/>
                <w:sz w:val="28"/>
                <w:szCs w:val="28"/>
                <w:highlight w:val="none"/>
                <w:lang w:val="en-US" w:eastAsia="zh-CN"/>
              </w:rPr>
            </w:pPr>
            <w:r>
              <w:rPr>
                <w:rFonts w:hint="eastAsia"/>
                <w:b w:val="0"/>
                <w:bCs w:val="0"/>
                <w:highlight w:val="none"/>
                <w:lang w:val="en-US" w:eastAsia="zh-CN"/>
              </w:rPr>
              <w:t>3.79</w:t>
            </w:r>
          </w:p>
        </w:tc>
        <w:tc>
          <w:tcPr>
            <w:tcW w:w="1054" w:type="dxa"/>
            <w:noWrap w:val="0"/>
            <w:vAlign w:val="center"/>
          </w:tcPr>
          <w:p>
            <w:pPr>
              <w:widowControl/>
              <w:outlineLvl w:val="1"/>
              <w:rPr>
                <w:rFonts w:hint="default" w:ascii="仿宋" w:hAnsi="仿宋" w:eastAsia="仿宋" w:cs="仿宋_GB2312"/>
                <w:b w:val="0"/>
                <w:bCs w:val="0"/>
                <w:color w:val="auto"/>
                <w:kern w:val="0"/>
                <w:sz w:val="28"/>
                <w:szCs w:val="28"/>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3.79</w:t>
            </w:r>
          </w:p>
        </w:tc>
        <w:tc>
          <w:tcPr>
            <w:tcW w:w="890" w:type="dxa"/>
            <w:noWrap w:val="0"/>
            <w:vAlign w:val="center"/>
          </w:tcPr>
          <w:p>
            <w:pPr>
              <w:widowControl/>
              <w:outlineLvl w:val="1"/>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outlineLvl w:val="1"/>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outlineLvl w:val="1"/>
              <w:rPr>
                <w:rFonts w:ascii="仿宋" w:hAnsi="仿宋" w:eastAsia="仿宋" w:cs="仿宋_GB2312"/>
                <w:b w:val="0"/>
                <w:bCs w:val="0"/>
                <w:color w:val="auto"/>
                <w:kern w:val="0"/>
                <w:sz w:val="28"/>
                <w:szCs w:val="28"/>
                <w:highlight w:val="none"/>
              </w:rPr>
            </w:pPr>
            <w:r>
              <w:rPr>
                <w:rFonts w:hint="eastAsia"/>
                <w:b w:val="0"/>
                <w:bCs w:val="0"/>
                <w:highlight w:val="none"/>
                <w:lang w:val="en-US" w:eastAsia="zh-CN"/>
              </w:rPr>
              <w:t>3.79</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中共呼图壁县委员会办公室2025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预算管理。收支总预算886.05万元。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中共呼图壁县委员会办公室</w:t>
      </w:r>
      <w:r>
        <w:rPr>
          <w:rFonts w:hint="eastAsia" w:ascii="仿宋_GB2312" w:hAnsi="宋体" w:eastAsia="仿宋_GB2312" w:cs="宋体"/>
          <w:color w:val="auto"/>
          <w:kern w:val="0"/>
          <w:sz w:val="32"/>
          <w:szCs w:val="32"/>
          <w:highlight w:val="none"/>
        </w:rPr>
        <w:t>收入预算886.05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 xml:space="preserve">一般公共预算799.16万元，占 </w:t>
      </w:r>
      <w:r>
        <w:rPr>
          <w:rFonts w:hint="eastAsia" w:ascii="仿宋_GB2312" w:hAnsi="宋体" w:eastAsia="仿宋_GB2312" w:cs="宋体"/>
          <w:color w:val="auto"/>
          <w:kern w:val="0"/>
          <w:sz w:val="32"/>
          <w:szCs w:val="32"/>
          <w:highlight w:val="none"/>
          <w:lang w:val="en-US" w:eastAsia="zh-CN"/>
        </w:rPr>
        <w:t>90.19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30.59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3.98%，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本年度新增2人。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政府性基金预算0.00万元，占0.00%，比上年预算增加0.00万元，增长0.00%，主要原因是202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年中共</w:t>
      </w:r>
      <w:r>
        <w:rPr>
          <w:rFonts w:hint="eastAsia" w:ascii="仿宋_GB2312" w:hAnsi="宋体" w:eastAsia="仿宋_GB2312" w:cs="宋体"/>
          <w:color w:val="auto"/>
          <w:kern w:val="0"/>
          <w:sz w:val="32"/>
          <w:szCs w:val="32"/>
          <w:highlight w:val="none"/>
          <w:lang w:val="en-US" w:eastAsia="zh-CN"/>
        </w:rPr>
        <w:t>呼图壁</w:t>
      </w:r>
      <w:r>
        <w:rPr>
          <w:rFonts w:hint="eastAsia" w:ascii="仿宋_GB2312" w:hAnsi="宋体" w:eastAsia="仿宋_GB2312" w:cs="宋体"/>
          <w:color w:val="auto"/>
          <w:kern w:val="0"/>
          <w:sz w:val="32"/>
          <w:szCs w:val="32"/>
          <w:highlight w:val="none"/>
        </w:rPr>
        <w:t>县委员会办公室政府性基金预算未安排。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国有资本经营预算0.00万元，占0.00%，比上年预算增加0.00万元，增长0.00%，主要原因是202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年中共</w:t>
      </w:r>
      <w:r>
        <w:rPr>
          <w:rFonts w:hint="eastAsia" w:ascii="仿宋_GB2312" w:hAnsi="宋体" w:eastAsia="仿宋_GB2312" w:cs="宋体"/>
          <w:color w:val="auto"/>
          <w:kern w:val="0"/>
          <w:sz w:val="32"/>
          <w:szCs w:val="32"/>
          <w:highlight w:val="none"/>
          <w:lang w:val="en-US" w:eastAsia="zh-CN"/>
        </w:rPr>
        <w:t>呼图壁</w:t>
      </w:r>
      <w:r>
        <w:rPr>
          <w:rFonts w:hint="eastAsia" w:ascii="仿宋_GB2312" w:hAnsi="宋体" w:eastAsia="仿宋_GB2312" w:cs="宋体"/>
          <w:color w:val="auto"/>
          <w:kern w:val="0"/>
          <w:sz w:val="32"/>
          <w:szCs w:val="32"/>
          <w:highlight w:val="none"/>
        </w:rPr>
        <w:t>县委员会办公室国有资本经营预算未安排。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83.1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9.38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137.67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上年度将工资扣款社保及财政拨入社保纳入预算，本年度只将工资扣款公积金部分纳入预算。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3.79</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0.43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2024年为民办实事专项工作经费因未支付完毕结转到2025年，上年度无该工作经费无结转。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中共呼图壁县委员会办公室2025年</w:t>
      </w:r>
      <w:r>
        <w:rPr>
          <w:rFonts w:hint="eastAsia" w:ascii="仿宋_GB2312" w:hAnsi="宋体" w:eastAsia="仿宋_GB2312" w:cs="宋体"/>
          <w:color w:val="auto"/>
          <w:kern w:val="0"/>
          <w:sz w:val="32"/>
          <w:szCs w:val="32"/>
          <w:highlight w:val="none"/>
        </w:rPr>
        <w:t>支出预算    886.05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747.26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84.34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122.08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14.04%，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2024年将人员工资扣款部分社保公积金纳入单位资金预算，2025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未</w:t>
      </w:r>
      <w:r>
        <w:rPr>
          <w:rFonts w:hint="eastAsia" w:ascii="仿宋_GB2312" w:hAnsi="宋体" w:eastAsia="仿宋_GB2312" w:cs="宋体"/>
          <w:color w:val="auto"/>
          <w:kern w:val="0"/>
          <w:sz w:val="32"/>
          <w:szCs w:val="32"/>
          <w:highlight w:val="none"/>
          <w:lang w:val="en-US" w:eastAsia="zh-CN"/>
        </w:rPr>
        <w:t>将人员工资扣款部分社保纳入单位资金预算，单位资金基本支出预算较上年减少，因此基本支出</w:t>
      </w:r>
      <w:r>
        <w:rPr>
          <w:rFonts w:hint="eastAsia" w:ascii="仿宋_GB2312" w:hAnsi="宋体" w:eastAsia="仿宋_GB2312" w:cs="宋体"/>
          <w:kern w:val="0"/>
          <w:sz w:val="32"/>
          <w:szCs w:val="32"/>
          <w:highlight w:val="none"/>
        </w:rPr>
        <w:t>预算</w:t>
      </w:r>
      <w:r>
        <w:rPr>
          <w:rFonts w:hint="eastAsia" w:ascii="仿宋_GB2312" w:hAnsi="宋体" w:eastAsia="仿宋_GB2312" w:cs="宋体"/>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138.79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15.66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18.79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15.66 %，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本年度单位资金预计申请援疆资金，并将该资金纳入预算，结转上年度为民办实事工作经费纳入预算，因此项目支出增加。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中共呼图壁县委员会办公室2025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799.16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799.16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643.73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rPr>
        <w:t>人员工资、津贴补贴、工作经费</w:t>
      </w:r>
      <w:r>
        <w:rPr>
          <w:rFonts w:hint="eastAsia" w:ascii="仿宋_GB2312" w:hAnsi="宋体" w:eastAsia="仿宋_GB2312" w:cs="宋体"/>
          <w:kern w:val="0"/>
          <w:sz w:val="32"/>
          <w:szCs w:val="32"/>
          <w:highlight w:val="none"/>
          <w:lang w:eastAsia="zh-CN"/>
        </w:rPr>
        <w:t>；</w:t>
      </w:r>
      <w:r>
        <w:rPr>
          <w:rFonts w:hint="eastAsia" w:ascii="仿宋" w:hAnsi="仿宋" w:eastAsia="仿宋" w:cs="仿宋"/>
          <w:sz w:val="32"/>
          <w:szCs w:val="32"/>
          <w:highlight w:val="none"/>
        </w:rPr>
        <w:t>社会保障和就业支出</w:t>
      </w:r>
      <w:r>
        <w:rPr>
          <w:rFonts w:hint="eastAsia" w:ascii="仿宋" w:hAnsi="仿宋" w:eastAsia="仿宋" w:cs="仿宋"/>
          <w:sz w:val="32"/>
          <w:szCs w:val="32"/>
          <w:highlight w:val="none"/>
          <w:lang w:val="en-US" w:eastAsia="zh-CN"/>
        </w:rPr>
        <w:t>63.55</w:t>
      </w:r>
      <w:r>
        <w:rPr>
          <w:rFonts w:hint="eastAsia" w:ascii="仿宋_GB2312" w:hAnsi="宋体" w:eastAsia="仿宋_GB2312" w:cs="宋体"/>
          <w:kern w:val="0"/>
          <w:sz w:val="32"/>
          <w:szCs w:val="32"/>
          <w:highlight w:val="none"/>
        </w:rPr>
        <w:t>万元，主要用于在职人员养老保险</w:t>
      </w:r>
      <w:r>
        <w:rPr>
          <w:rFonts w:hint="eastAsia" w:ascii="仿宋_GB2312" w:hAnsi="宋体" w:eastAsia="仿宋_GB2312" w:cs="宋体"/>
          <w:kern w:val="0"/>
          <w:sz w:val="32"/>
          <w:szCs w:val="32"/>
          <w:highlight w:val="none"/>
          <w:lang w:val="en-US" w:eastAsia="zh-CN"/>
        </w:rPr>
        <w:t>费</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43.83</w:t>
      </w:r>
      <w:r>
        <w:rPr>
          <w:rFonts w:hint="eastAsia" w:ascii="仿宋_GB2312" w:hAnsi="宋体" w:eastAsia="仿宋_GB2312" w:cs="宋体"/>
          <w:kern w:val="0"/>
          <w:sz w:val="32"/>
          <w:szCs w:val="32"/>
          <w:highlight w:val="none"/>
        </w:rPr>
        <w:t>万元，主要用于在职医疗保险；住房保障支出</w:t>
      </w:r>
      <w:r>
        <w:rPr>
          <w:rFonts w:hint="eastAsia" w:ascii="仿宋_GB2312" w:hAnsi="宋体" w:eastAsia="仿宋_GB2312" w:cs="宋体"/>
          <w:kern w:val="0"/>
          <w:sz w:val="32"/>
          <w:szCs w:val="32"/>
          <w:highlight w:val="none"/>
          <w:lang w:val="en-US" w:eastAsia="zh-CN"/>
        </w:rPr>
        <w:t>48.05</w:t>
      </w:r>
      <w:r>
        <w:rPr>
          <w:rFonts w:hint="eastAsia" w:ascii="仿宋_GB2312" w:hAnsi="宋体" w:eastAsia="仿宋_GB2312" w:cs="宋体"/>
          <w:kern w:val="0"/>
          <w:sz w:val="32"/>
          <w:szCs w:val="32"/>
          <w:highlight w:val="none"/>
        </w:rPr>
        <w:t>万元，主要用于缴纳在职住房公积金。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799.16</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基本支出679.16万元，比上年预算增加</w:t>
      </w:r>
      <w:r>
        <w:rPr>
          <w:rFonts w:hint="eastAsia" w:ascii="仿宋_GB2312" w:hAnsi="仿宋_GB2312" w:eastAsia="仿宋_GB2312" w:cs="仿宋_GB2312"/>
          <w:color w:val="auto"/>
          <w:kern w:val="0"/>
          <w:sz w:val="32"/>
          <w:szCs w:val="32"/>
          <w:highlight w:val="none"/>
          <w:lang w:val="en-US" w:eastAsia="zh-CN"/>
        </w:rPr>
        <w:t>30.59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4.72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本年度新增2人，工资社保增加，公用经费增加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120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2024年和2025年安排的当年项目支出均为</w:t>
      </w:r>
      <w:r>
        <w:rPr>
          <w:rFonts w:hint="eastAsia" w:ascii="仿宋_GB2312" w:hAnsi="宋体" w:eastAsia="仿宋_GB2312" w:cs="宋体"/>
          <w:color w:val="auto"/>
          <w:kern w:val="0"/>
          <w:sz w:val="32"/>
          <w:szCs w:val="32"/>
          <w:highlight w:val="none"/>
          <w:lang w:val="en-US" w:eastAsia="zh-CN"/>
        </w:rPr>
        <w:t>运转经费，预算金额相同</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1.一般公共服务</w:t>
      </w:r>
      <w:r>
        <w:rPr>
          <w:rFonts w:hint="eastAsia" w:ascii="仿宋_GB2312" w:eastAsia="仿宋_GB2312"/>
          <w:sz w:val="32"/>
          <w:szCs w:val="32"/>
          <w:highlight w:val="none"/>
          <w:lang w:val="en-US" w:eastAsia="zh-CN"/>
        </w:rPr>
        <w:t>支出</w:t>
      </w:r>
      <w:r>
        <w:rPr>
          <w:rFonts w:hint="eastAsia" w:ascii="仿宋_GB2312" w:eastAsia="仿宋_GB2312"/>
          <w:sz w:val="32"/>
          <w:szCs w:val="32"/>
          <w:highlight w:val="none"/>
        </w:rPr>
        <w:t>（类）</w:t>
      </w:r>
      <w:r>
        <w:rPr>
          <w:rFonts w:hint="eastAsia" w:ascii="仿宋" w:hAnsi="仿宋" w:eastAsia="仿宋" w:cs="仿宋"/>
          <w:sz w:val="32"/>
          <w:szCs w:val="32"/>
          <w:highlight w:val="none"/>
          <w:lang w:val="en-US" w:eastAsia="zh-CN"/>
        </w:rPr>
        <w:t>643.73</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80.55</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hAnsi="宋体" w:eastAsia="仿宋_GB2312" w:cs="宋体"/>
          <w:kern w:val="0"/>
          <w:sz w:val="32"/>
          <w:szCs w:val="32"/>
          <w:highlight w:val="none"/>
        </w:rPr>
        <w:t>2.</w:t>
      </w:r>
      <w:r>
        <w:rPr>
          <w:rFonts w:hint="eastAsia" w:ascii="仿宋" w:hAnsi="仿宋" w:eastAsia="仿宋" w:cs="仿宋"/>
          <w:sz w:val="32"/>
          <w:szCs w:val="32"/>
          <w:highlight w:val="none"/>
        </w:rPr>
        <w:t>社会保障和就业支出</w:t>
      </w:r>
      <w:r>
        <w:rPr>
          <w:rFonts w:hint="eastAsia" w:ascii="仿宋_GB2312" w:eastAsia="仿宋_GB2312"/>
          <w:sz w:val="32"/>
          <w:szCs w:val="32"/>
          <w:highlight w:val="none"/>
        </w:rPr>
        <w:t>（类）</w:t>
      </w:r>
      <w:r>
        <w:rPr>
          <w:rFonts w:hint="eastAsia" w:ascii="仿宋_GB2312" w:eastAsia="仿宋_GB2312"/>
          <w:sz w:val="32"/>
          <w:szCs w:val="32"/>
          <w:highlight w:val="none"/>
          <w:lang w:val="en-US" w:eastAsia="zh-CN"/>
        </w:rPr>
        <w:t>63.55</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7.95</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w:t>
      </w:r>
      <w:r>
        <w:rPr>
          <w:rFonts w:hint="eastAsia" w:ascii="仿宋_GB2312" w:hAnsi="宋体" w:eastAsia="仿宋_GB2312" w:cs="宋体"/>
          <w:kern w:val="0"/>
          <w:sz w:val="32"/>
          <w:szCs w:val="32"/>
          <w:highlight w:val="none"/>
        </w:rPr>
        <w:t>卫生健康支出（类）</w:t>
      </w:r>
      <w:r>
        <w:rPr>
          <w:rFonts w:hint="eastAsia" w:ascii="仿宋_GB2312" w:hAnsi="宋体" w:eastAsia="仿宋_GB2312" w:cs="宋体"/>
          <w:kern w:val="0"/>
          <w:sz w:val="32"/>
          <w:szCs w:val="32"/>
          <w:highlight w:val="none"/>
          <w:lang w:val="en-US" w:eastAsia="zh-CN"/>
        </w:rPr>
        <w:t>43.83</w:t>
      </w:r>
      <w:r>
        <w:rPr>
          <w:rFonts w:hint="eastAsia" w:ascii="仿宋_GB2312" w:hAnsi="宋体" w:eastAsia="仿宋_GB2312" w:cs="宋体"/>
          <w:kern w:val="0"/>
          <w:sz w:val="32"/>
          <w:szCs w:val="32"/>
          <w:highlight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5.48</w:t>
      </w:r>
      <w:r>
        <w:rPr>
          <w:rFonts w:hint="eastAsia" w:ascii="仿宋_GB2312" w:eastAsia="仿宋_GB2312"/>
          <w:sz w:val="32"/>
          <w:szCs w:val="32"/>
          <w:highlight w:val="none"/>
        </w:rPr>
        <w:t>%。</w:t>
      </w:r>
    </w:p>
    <w:p>
      <w:pPr>
        <w:spacing w:line="560" w:lineRule="exact"/>
        <w:ind w:firstLine="640" w:firstLineChars="200"/>
        <w:rPr>
          <w:rFonts w:ascii="仿宋_GB2312" w:eastAsia="仿宋_GB2312"/>
          <w:sz w:val="32"/>
          <w:szCs w:val="32"/>
          <w:highlight w:val="none"/>
        </w:rPr>
      </w:pPr>
      <w:r>
        <w:rPr>
          <w:rFonts w:hint="eastAsia" w:ascii="仿宋_GB2312" w:hAnsi="宋体" w:eastAsia="仿宋_GB2312" w:cs="宋体"/>
          <w:kern w:val="0"/>
          <w:sz w:val="32"/>
          <w:szCs w:val="32"/>
          <w:highlight w:val="none"/>
        </w:rPr>
        <w:t>4.住房保障支出（类）</w:t>
      </w:r>
      <w:r>
        <w:rPr>
          <w:rFonts w:hint="eastAsia" w:ascii="仿宋_GB2312" w:hAnsi="宋体" w:eastAsia="仿宋_GB2312" w:cs="宋体"/>
          <w:kern w:val="0"/>
          <w:sz w:val="32"/>
          <w:szCs w:val="32"/>
          <w:highlight w:val="none"/>
          <w:lang w:val="en-US" w:eastAsia="zh-CN"/>
        </w:rPr>
        <w:t>48.05</w:t>
      </w:r>
      <w:r>
        <w:rPr>
          <w:rFonts w:hint="eastAsia" w:ascii="仿宋_GB2312" w:hAnsi="宋体" w:eastAsia="仿宋_GB2312" w:cs="宋体"/>
          <w:kern w:val="0"/>
          <w:sz w:val="32"/>
          <w:szCs w:val="32"/>
          <w:highlight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6.01</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w:t>
      </w:r>
      <w:r>
        <w:rPr>
          <w:rFonts w:hint="eastAsia" w:ascii="仿宋_GB2312" w:hAnsi="仿宋_GB2312" w:eastAsia="仿宋_GB2312" w:cs="仿宋_GB2312"/>
          <w:kern w:val="0"/>
          <w:sz w:val="32"/>
          <w:szCs w:val="32"/>
          <w:highlight w:val="none"/>
          <w:lang w:val="en-US" w:eastAsia="zh-CN"/>
        </w:rPr>
        <w:t>支出</w:t>
      </w:r>
      <w:r>
        <w:rPr>
          <w:rFonts w:hint="eastAsia" w:ascii="仿宋_GB2312" w:hAnsi="仿宋_GB2312" w:eastAsia="仿宋_GB2312" w:cs="仿宋_GB2312"/>
          <w:kern w:val="0"/>
          <w:sz w:val="32"/>
          <w:szCs w:val="32"/>
          <w:highlight w:val="none"/>
        </w:rPr>
        <w:t>（类）党委办公厅（室）及相关机构事务（款）行政运行（项）:202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368.72</w:t>
      </w:r>
      <w:r>
        <w:rPr>
          <w:rFonts w:hint="eastAsia" w:ascii="仿宋_GB2312" w:hAnsi="仿宋_GB2312" w:eastAsia="仿宋_GB2312" w:cs="仿宋_GB2312"/>
          <w:kern w:val="0"/>
          <w:sz w:val="32"/>
          <w:szCs w:val="32"/>
          <w:highlight w:val="none"/>
        </w:rPr>
        <w:t>万元，比上年预算减少</w:t>
      </w:r>
      <w:r>
        <w:rPr>
          <w:rFonts w:hint="eastAsia" w:ascii="仿宋_GB2312" w:hAnsi="仿宋_GB2312" w:eastAsia="仿宋_GB2312" w:cs="仿宋_GB2312"/>
          <w:kern w:val="0"/>
          <w:sz w:val="32"/>
          <w:szCs w:val="32"/>
          <w:highlight w:val="none"/>
          <w:lang w:val="en-US" w:eastAsia="zh-CN"/>
        </w:rPr>
        <w:t>15.14</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3.94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本年度长聘人员减少1人及退休人员采暖费、基础性绩效奖列入行政单位离退休</w:t>
      </w:r>
      <w:r>
        <w:rPr>
          <w:rFonts w:hint="eastAsia" w:ascii="仿宋_GB2312" w:hAnsi="仿宋_GB2312" w:eastAsia="仿宋_GB2312" w:cs="仿宋_GB2312"/>
          <w:kern w:val="0"/>
          <w:sz w:val="32"/>
          <w:szCs w:val="32"/>
          <w:highlight w:val="none"/>
        </w:rPr>
        <w:t>。</w:t>
      </w:r>
    </w:p>
    <w:p>
      <w:pPr>
        <w:widowControl/>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一般公共服务（类）党委办公厅（室）及相关机构事务（款）</w:t>
      </w:r>
      <w:r>
        <w:rPr>
          <w:rFonts w:hint="eastAsia" w:ascii="仿宋_GB2312" w:hAnsi="仿宋_GB2312" w:eastAsia="仿宋_GB2312" w:cs="仿宋_GB2312"/>
          <w:kern w:val="0"/>
          <w:sz w:val="32"/>
          <w:szCs w:val="32"/>
          <w:highlight w:val="none"/>
          <w:lang w:val="en-US" w:eastAsia="zh-CN"/>
        </w:rPr>
        <w:t>事业</w:t>
      </w:r>
      <w:r>
        <w:rPr>
          <w:rFonts w:hint="eastAsia" w:ascii="仿宋_GB2312" w:hAnsi="仿宋_GB2312" w:eastAsia="仿宋_GB2312" w:cs="仿宋_GB2312"/>
          <w:kern w:val="0"/>
          <w:sz w:val="32"/>
          <w:szCs w:val="32"/>
          <w:highlight w:val="none"/>
        </w:rPr>
        <w:t>运行（项）:202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155.01</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增加31.95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增长25.96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本年度新增3人</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一般公共服务（类）党委办公厅（室）及相关机构事务（款）</w:t>
      </w:r>
      <w:r>
        <w:rPr>
          <w:rFonts w:hint="eastAsia" w:ascii="仿宋_GB2312" w:hAnsi="仿宋_GB2312" w:eastAsia="仿宋_GB2312" w:cs="仿宋_GB2312"/>
          <w:kern w:val="0"/>
          <w:sz w:val="32"/>
          <w:szCs w:val="32"/>
          <w:highlight w:val="none"/>
          <w:lang w:val="en-US" w:eastAsia="zh-CN"/>
        </w:rPr>
        <w:t>其他党委办公厅（室）及相关机构事务支出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120</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增加0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无变化</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社会保障和就业支出（类）行政事业单位养老支出（款）行政单位离退休（项）：202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5.60</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减少0.65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下降10.4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上年度退休人员1人医保列入该科目，本年度退休人员医保未预算</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ascii="仿宋_GB2312" w:hAnsi="仿宋_GB2312" w:eastAsia="仿宋_GB2312" w:cs="仿宋_GB2312"/>
          <w:color w:val="FF0000"/>
          <w:kern w:val="0"/>
          <w:sz w:val="32"/>
          <w:szCs w:val="32"/>
          <w:highlight w:val="none"/>
        </w:rPr>
      </w:pPr>
      <w:r>
        <w:rPr>
          <w:rFonts w:hint="eastAsia" w:ascii="仿宋_GB2312" w:hAnsi="仿宋_GB2312" w:eastAsia="仿宋_GB2312" w:cs="仿宋_GB2312"/>
          <w:kern w:val="0"/>
          <w:sz w:val="32"/>
          <w:szCs w:val="32"/>
          <w:highlight w:val="none"/>
          <w:lang w:val="en-US" w:eastAsia="zh-CN"/>
        </w:rPr>
        <w:t xml:space="preserve">  5</w:t>
      </w:r>
      <w:r>
        <w:rPr>
          <w:rFonts w:hint="eastAsia" w:ascii="仿宋_GB2312" w:hAnsi="仿宋_GB2312" w:eastAsia="仿宋_GB2312" w:cs="仿宋_GB2312"/>
          <w:kern w:val="0"/>
          <w:sz w:val="32"/>
          <w:szCs w:val="32"/>
          <w:highlight w:val="none"/>
        </w:rPr>
        <w:t>.社会保障和就业支出（类）行政事业单位养老支出（款）机关事业单位基本养老保险费费支出（项）：202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57.95</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增加3.13</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增长5.71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仿宋_GB2312" w:eastAsia="仿宋_GB2312" w:cs="仿宋_GB2312"/>
          <w:kern w:val="0"/>
          <w:sz w:val="32"/>
          <w:szCs w:val="32"/>
          <w:highlight w:val="none"/>
        </w:rPr>
        <w:t>养老保险费费缴费</w:t>
      </w:r>
      <w:r>
        <w:rPr>
          <w:rFonts w:hint="eastAsia" w:ascii="仿宋_GB2312" w:hAnsi="仿宋_GB2312" w:eastAsia="仿宋_GB2312" w:cs="仿宋_GB2312"/>
          <w:kern w:val="0"/>
          <w:sz w:val="32"/>
          <w:szCs w:val="32"/>
          <w:highlight w:val="none"/>
          <w:lang w:val="en-US" w:eastAsia="zh-CN"/>
        </w:rPr>
        <w:t>基数增加、人数增加费率增加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.卫生健康支出（类）行政事业单位医疗（款）行政单位医疗（项）：202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17.99</w:t>
      </w:r>
      <w:r>
        <w:rPr>
          <w:rFonts w:hint="eastAsia" w:ascii="仿宋_GB2312" w:hAnsi="仿宋_GB2312" w:eastAsia="仿宋_GB2312" w:cs="仿宋_GB2312"/>
          <w:kern w:val="0"/>
          <w:sz w:val="32"/>
          <w:szCs w:val="32"/>
          <w:highlight w:val="none"/>
        </w:rPr>
        <w:t>万元，比上年预算数减少</w:t>
      </w:r>
      <w:r>
        <w:rPr>
          <w:rFonts w:hint="eastAsia" w:ascii="仿宋_GB2312" w:hAnsi="仿宋_GB2312" w:eastAsia="仿宋_GB2312" w:cs="仿宋_GB2312"/>
          <w:kern w:val="0"/>
          <w:sz w:val="32"/>
          <w:szCs w:val="32"/>
          <w:highlight w:val="none"/>
          <w:lang w:val="en-US" w:eastAsia="zh-CN"/>
        </w:rPr>
        <w:t>0.7</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3.75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上年度大病保险列入本款项，本年度列入</w:t>
      </w:r>
      <w:r>
        <w:rPr>
          <w:rFonts w:hint="eastAsia" w:ascii="仿宋_GB2312" w:hAnsi="仿宋_GB2312" w:eastAsia="仿宋_GB2312" w:cs="仿宋_GB2312"/>
          <w:kern w:val="0"/>
          <w:sz w:val="32"/>
          <w:szCs w:val="32"/>
          <w:highlight w:val="none"/>
        </w:rPr>
        <w:t>其他行政事业单位医疗支出</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卫生健康支出（类）行政事业单位医疗（款）</w:t>
      </w:r>
      <w:r>
        <w:rPr>
          <w:rFonts w:hint="eastAsia" w:ascii="仿宋_GB2312" w:hAnsi="仿宋_GB2312" w:eastAsia="仿宋_GB2312" w:cs="仿宋_GB2312"/>
          <w:kern w:val="0"/>
          <w:sz w:val="32"/>
          <w:szCs w:val="32"/>
          <w:highlight w:val="none"/>
          <w:lang w:val="en-US" w:eastAsia="zh-CN"/>
        </w:rPr>
        <w:t>事业</w:t>
      </w:r>
      <w:r>
        <w:rPr>
          <w:rFonts w:hint="eastAsia" w:ascii="仿宋_GB2312" w:hAnsi="仿宋_GB2312" w:eastAsia="仿宋_GB2312" w:cs="仿宋_GB2312"/>
          <w:kern w:val="0"/>
          <w:sz w:val="32"/>
          <w:szCs w:val="32"/>
          <w:highlight w:val="none"/>
        </w:rPr>
        <w:t>单位医疗（项）：202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10.99</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增加2.27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增长26.03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基数增加、人数增加费率增加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.卫生健康支出（类）行政事业单位医疗（款）公务员医疗补助缴费（项）：202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14.49</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6.95</w:t>
      </w:r>
      <w:r>
        <w:rPr>
          <w:rFonts w:hint="eastAsia" w:ascii="仿宋_GB2312" w:hAnsi="仿宋_GB2312" w:eastAsia="仿宋_GB2312" w:cs="仿宋_GB2312"/>
          <w:kern w:val="0"/>
          <w:sz w:val="32"/>
          <w:szCs w:val="32"/>
          <w:highlight w:val="none"/>
        </w:rPr>
        <w:t>万元，增加</w:t>
      </w:r>
      <w:r>
        <w:rPr>
          <w:rFonts w:hint="eastAsia" w:ascii="仿宋_GB2312" w:hAnsi="仿宋_GB2312" w:eastAsia="仿宋_GB2312" w:cs="仿宋_GB2312"/>
          <w:kern w:val="0"/>
          <w:sz w:val="32"/>
          <w:szCs w:val="32"/>
          <w:highlight w:val="none"/>
          <w:lang w:val="en-US" w:eastAsia="zh-CN"/>
        </w:rPr>
        <w:t>92.18</w:t>
      </w:r>
      <w:r>
        <w:rPr>
          <w:rFonts w:hint="eastAsia" w:ascii="仿宋_GB2312" w:hAnsi="仿宋_GB2312" w:eastAsia="仿宋_GB2312" w:cs="仿宋_GB2312"/>
          <w:kern w:val="0"/>
          <w:sz w:val="32"/>
          <w:szCs w:val="32"/>
          <w:highlight w:val="none"/>
        </w:rPr>
        <w:t>%，主要原因是202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年公务员医疗补助缴费</w:t>
      </w:r>
      <w:r>
        <w:rPr>
          <w:rFonts w:hint="eastAsia" w:ascii="仿宋_GB2312" w:hAnsi="仿宋_GB2312" w:eastAsia="仿宋_GB2312" w:cs="仿宋_GB2312"/>
          <w:kern w:val="0"/>
          <w:sz w:val="32"/>
          <w:szCs w:val="32"/>
          <w:highlight w:val="none"/>
          <w:lang w:val="en-US" w:eastAsia="zh-CN"/>
        </w:rPr>
        <w:t>基数增加、人数增加费率增加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.卫生健康支出（类）行政事业单位医疗（款）其他行政事业单位医疗支出（项）：202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0.36</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0.16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80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2025年将在职大病保险基数增加、人数增加费率增加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.住房保障支出（类）住房改革支出（款）住房公积金（项）：202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48.05</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增加2.61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增长5.74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在职新增2人及年度基数调整</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中共呼图壁县委员会办公室2025年</w:t>
      </w:r>
      <w:r>
        <w:rPr>
          <w:rFonts w:hint="eastAsia" w:ascii="仿宋_GB2312" w:hAnsi="仿宋_GB2312" w:eastAsia="仿宋_GB2312" w:cs="仿宋_GB2312"/>
          <w:kern w:val="0"/>
          <w:sz w:val="32"/>
          <w:szCs w:val="32"/>
          <w:highlight w:val="none"/>
        </w:rPr>
        <w:t>一般公共预算基本支出679.16万元， 其中：</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人员经费562.42万元，主要包括：基本工资、津贴补贴、奖金、绩效工资、机关事业单位基本养老保险缴费、职工基本医疗保险缴费、公务员医疗补助缴费、其他社会保障缴费、住房公积金、退休费、退职（役）费、抚恤金、生活补助、奖励金。</w:t>
      </w:r>
    </w:p>
    <w:p>
      <w:pPr>
        <w:spacing w:line="560" w:lineRule="exact"/>
        <w:ind w:firstLine="640" w:firstLineChars="200"/>
        <w:rPr>
          <w:rFonts w:ascii="仿宋_GB2312" w:hAnsi="宋体" w:eastAsia="仿宋_GB2312" w:cs="宋体"/>
          <w:color w:val="FF0000"/>
          <w:kern w:val="0"/>
          <w:sz w:val="32"/>
          <w:szCs w:val="32"/>
          <w:highlight w:val="none"/>
        </w:rPr>
      </w:pPr>
      <w:r>
        <w:rPr>
          <w:rFonts w:hint="eastAsia" w:ascii="仿宋_GB2312" w:hAnsi="仿宋_GB2312" w:eastAsia="仿宋_GB2312" w:cs="仿宋_GB2312"/>
          <w:kern w:val="0"/>
          <w:sz w:val="32"/>
          <w:szCs w:val="32"/>
          <w:highlight w:val="none"/>
        </w:rPr>
        <w:t>公用经费116.75万元，主要包括：办公费、印刷费、邮电费、物业管理费、差旅费、租赁费</w:t>
      </w:r>
      <w:r>
        <w:rPr>
          <w:rFonts w:hint="eastAsia" w:ascii="仿宋_GB2312" w:hAnsi="宋体" w:eastAsia="仿宋_GB2312" w:cs="宋体"/>
          <w:color w:val="auto"/>
          <w:kern w:val="0"/>
          <w:sz w:val="32"/>
          <w:szCs w:val="32"/>
          <w:highlight w:val="none"/>
        </w:rPr>
        <w:t>、公务接待费、劳务费、工会经费、公务用车运行维护费、其他交通费用。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宋体" w:eastAsia="仿宋_GB2312" w:cs="宋体"/>
          <w:color w:val="auto"/>
          <w:kern w:val="0"/>
          <w:sz w:val="32"/>
          <w:szCs w:val="32"/>
          <w:highlight w:val="none"/>
          <w:lang w:val="en-US" w:eastAsia="zh-CN"/>
        </w:rPr>
        <w:t>：运转经费（2025年非定额）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呼</w:t>
      </w:r>
      <w:r>
        <w:rPr>
          <w:rFonts w:hint="eastAsia" w:ascii="仿宋_GB2312" w:hAnsi="宋体" w:eastAsia="仿宋_GB2312" w:cs="宋体"/>
          <w:color w:val="auto"/>
          <w:kern w:val="0"/>
          <w:sz w:val="32"/>
          <w:szCs w:val="32"/>
          <w:highlight w:val="none"/>
        </w:rPr>
        <w:t>财预【202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号《2025年呼图壁县财经委员会第一次会议纪要》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中共呼图壁县委员会办公室</w:t>
      </w:r>
    </w:p>
    <w:p>
      <w:pPr>
        <w:keepNext w:val="0"/>
        <w:keepLines w:val="0"/>
        <w:widowControl/>
        <w:numPr>
          <w:ilvl w:val="0"/>
          <w:numId w:val="0"/>
        </w:numPr>
        <w:suppressLineNumbers w:val="0"/>
        <w:ind w:firstLine="640" w:firstLineChars="200"/>
        <w:jc w:val="left"/>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办公费37.98万元、劳务费6万元、各类维修维护费14.72万元、办公设备购置21万元、其他交通费用17.5万元、水电暖物业费0.8万元、租赁费8万元、差旅费5万元、会议费2万元、工会经费7万元，共计120万元。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中共呼图壁县委员会办公室2025年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中共呼图壁县委员会办公室2025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16.2</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1.22%，</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2024年和2025年均未</w:t>
      </w:r>
      <w:r>
        <w:rPr>
          <w:rFonts w:hint="eastAsia" w:ascii="仿宋_GB2312" w:hAnsi="宋体" w:eastAsia="仿宋_GB2312" w:cs="宋体"/>
          <w:color w:val="auto"/>
          <w:kern w:val="0"/>
          <w:sz w:val="32"/>
          <w:szCs w:val="32"/>
          <w:highlight w:val="none"/>
        </w:rPr>
        <w:t>安排</w:t>
      </w:r>
      <w:r>
        <w:rPr>
          <w:rFonts w:hint="eastAsia" w:ascii="仿宋_GB2312" w:hAnsi="宋体" w:eastAsia="仿宋_GB2312" w:cs="宋体"/>
          <w:color w:val="auto"/>
          <w:kern w:val="0"/>
          <w:sz w:val="32"/>
          <w:szCs w:val="32"/>
          <w:highlight w:val="none"/>
          <w:lang w:eastAsia="zh-CN"/>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0%，主要原因是2024年和2025年均未安排公务用车购置费；公务用车运行费</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减少公务用车1辆</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比上年减少0万元，下降0%，</w:t>
      </w:r>
      <w:r>
        <w:rPr>
          <w:rFonts w:hint="eastAsia" w:ascii="仿宋_GB2312" w:hAnsi="宋体" w:eastAsia="仿宋_GB2312" w:cs="宋体"/>
          <w:color w:val="auto"/>
          <w:kern w:val="0"/>
          <w:sz w:val="32"/>
          <w:szCs w:val="32"/>
          <w:highlight w:val="none"/>
        </w:rPr>
        <w:t>主要原因是我</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lang w:eastAsia="zh-CN"/>
        </w:rPr>
        <w:t>严格执行中央八项规定</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厉行节约，三公经费只减不增</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一、关于中共呼图壁县委员会办公室2025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上年结转结余3.79万元，包括：财政拨款3.79万元，非财政拨款0万元，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1.2024年为民办实事经费3.79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宋体" w:eastAsia="仿宋_GB2312" w:cs="宋体"/>
          <w:color w:val="auto"/>
          <w:kern w:val="0"/>
          <w:sz w:val="32"/>
          <w:szCs w:val="32"/>
          <w:highlight w:val="none"/>
          <w:lang w:val="en-US" w:eastAsia="zh-CN"/>
        </w:rPr>
        <w:t>石梯子乡东沟村天然气入户补助1.2万，补助4户，每户3000元；白杨河村访贫问苦资金2.59万元</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116.75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83.3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249.03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上年度长聘人员工资列入其他工资福利支出款，本年度列入商品服务支出劳务费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中共呼图壁县委员会办公室</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149.98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99.34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49.44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中共呼图壁县委员会办公室</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79.70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79.70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中共呼图壁县委员会办公室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辆，价值86</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69 万元；其中：一般公务用车</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辆，价值   86</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69 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52.01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167.76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整体预算绩效目标1个，涉及预算金额886.05万元；当年预算安排项目共2个，其中: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涉及预算金额120万元；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pStyle w:val="5"/>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br w:type="page"/>
      </w:r>
    </w:p>
    <w:bookmarkEnd w:id="0"/>
    <w:tbl>
      <w:tblPr>
        <w:tblStyle w:val="7"/>
        <w:tblW w:w="9413" w:type="dxa"/>
        <w:tblInd w:w="-4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7"/>
        <w:gridCol w:w="585"/>
        <w:gridCol w:w="1005"/>
        <w:gridCol w:w="2191"/>
        <w:gridCol w:w="974"/>
        <w:gridCol w:w="2570"/>
        <w:gridCol w:w="8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4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4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部门名称（盖章）</w:t>
            </w:r>
          </w:p>
        </w:tc>
        <w:tc>
          <w:tcPr>
            <w:tcW w:w="76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中共呼图壁县委员会办公室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部门联系人</w:t>
            </w:r>
          </w:p>
        </w:tc>
        <w:tc>
          <w:tcPr>
            <w:tcW w:w="3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张小丽</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联系电话：</w:t>
            </w:r>
          </w:p>
        </w:tc>
        <w:tc>
          <w:tcPr>
            <w:tcW w:w="34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18096815059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年度绩效目标</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组织专业队伍对视频会议系统和设备进行运行调节、巡视检查和维护保养。推进“节约型机关”建设，督办各部门及乡镇基层减负工作、承担县委文件、文稿的起草、修改，校核和签清；承办各级、各部门向县委的请示、报告；负责县委各种会议的组织、安排和会务工作；党政领导机关的文件、电报、信函的传递工作；协助县委领导组织处理需由县委直接处理的突发事件和重大事故；接待各级领导人、县委重要客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年度预算（万元）</w:t>
            </w:r>
          </w:p>
        </w:tc>
        <w:tc>
          <w:tcPr>
            <w:tcW w:w="76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财政资金（万元）</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上级资金</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本级资金</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799.16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其他资金（万元）</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其他</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83.1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3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合计：</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886.05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指标值设定依据</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8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组织举办会议次数</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&gt;=270场次</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信息上报篇数</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&gt;=410篇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基层减负督查检查次数</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&gt;=2次</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质量指标</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文件起草及修改质量达标率</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&gt;=95%</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时效指标</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文件起草及修改及时率</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&gt;=98%</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10</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tbl>
      <w:tblPr>
        <w:tblStyle w:val="7"/>
        <w:tblW w:w="10071" w:type="dxa"/>
        <w:tblInd w:w="-8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0"/>
        <w:gridCol w:w="1065"/>
        <w:gridCol w:w="2220"/>
        <w:gridCol w:w="989"/>
        <w:gridCol w:w="1050"/>
        <w:gridCol w:w="614"/>
        <w:gridCol w:w="722"/>
        <w:gridCol w:w="1120"/>
        <w:gridCol w:w="11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07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7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9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中共呼图壁县委员会办公室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2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运转经费（2025年非定额）</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董容瑜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120</w:t>
            </w:r>
          </w:p>
        </w:tc>
        <w:tc>
          <w:tcPr>
            <w:tcW w:w="10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9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项目拟投入120万元用于办公费、劳务费、维修费、办公设备购置、其他交通费用、志愿者生活补助、租赁费、差旅费等内容，通过项目的实施，推进公共机构节能改造，推进绿色机关日常监管，组织专业队伍对用能系统和设备进行运行调节、巡视检查和维护保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2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8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组织举办各类会议场次</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&gt;=270场次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上报信息数量</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&gt;=410条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6</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基层减负督查</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&gt;=2次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0"/>
                <w:szCs w:val="20"/>
                <w:highlight w:val="none"/>
                <w:u w:val="none"/>
                <w:lang w:val="en-US" w:eastAsia="zh-CN"/>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9</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文件起草及修改质量达标率</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文件起草及修改及时率</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项目办公费用</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&lt;=34.42万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办公设备购置费用</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21</w:t>
            </w:r>
            <w:r>
              <w:rPr>
                <w:rFonts w:hint="eastAsia" w:ascii="宋体" w:hAnsi="宋体" w:eastAsia="宋体" w:cs="宋体"/>
                <w:i w:val="0"/>
                <w:iCs w:val="0"/>
                <w:color w:val="000000"/>
                <w:kern w:val="0"/>
                <w:sz w:val="20"/>
                <w:szCs w:val="20"/>
                <w:highlight w:val="none"/>
                <w:u w:val="none"/>
                <w:lang w:val="en-US" w:eastAsia="zh-CN" w:bidi="ar"/>
              </w:rPr>
              <w:t>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其他运转经费</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64.58</w:t>
            </w:r>
            <w:r>
              <w:rPr>
                <w:rFonts w:hint="eastAsia" w:ascii="宋体" w:hAnsi="宋体" w:eastAsia="宋体" w:cs="宋体"/>
                <w:i w:val="0"/>
                <w:iCs w:val="0"/>
                <w:color w:val="000000"/>
                <w:kern w:val="0"/>
                <w:sz w:val="20"/>
                <w:szCs w:val="20"/>
                <w:highlight w:val="none"/>
                <w:u w:val="none"/>
                <w:lang w:val="en-US" w:eastAsia="zh-CN" w:bidi="ar"/>
              </w:rPr>
              <w:t>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保障核心业务持续运转</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县委机关人员满意度</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r>
        <w:rPr>
          <w:rFonts w:hint="eastAsia" w:ascii="楷体_GB2312" w:hAnsi="宋体" w:eastAsia="楷体_GB2312" w:cs="宋体"/>
          <w:b/>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lang w:val="en-US"/>
        </w:rPr>
      </w:pPr>
      <w:r>
        <w:rPr>
          <w:rFonts w:hint="eastAsia" w:ascii="仿宋_GB2312" w:eastAsia="仿宋_GB2312"/>
          <w:sz w:val="32"/>
          <w:szCs w:val="32"/>
          <w:highlight w:val="none"/>
          <w:lang w:val="en-US" w:eastAsia="zh-CN"/>
        </w:rPr>
        <w:t xml:space="preserve"> 本</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val="en-US" w:eastAsia="zh-CN"/>
        </w:rPr>
        <w:t>涉及</w:t>
      </w:r>
      <w:r>
        <w:rPr>
          <w:rFonts w:hint="eastAsia" w:ascii="仿宋_GB2312" w:eastAsia="仿宋_GB2312"/>
          <w:sz w:val="32"/>
          <w:szCs w:val="32"/>
          <w:highlight w:val="none"/>
          <w:lang w:val="en-US" w:eastAsia="zh-Hans"/>
        </w:rPr>
        <w:t>非财政拨款项目</w:t>
      </w:r>
      <w:r>
        <w:rPr>
          <w:rFonts w:hint="eastAsia" w:ascii="仿宋_GB2312" w:eastAsia="仿宋_GB2312"/>
          <w:sz w:val="32"/>
          <w:szCs w:val="32"/>
          <w:highlight w:val="none"/>
          <w:lang w:val="en-US" w:eastAsia="zh-CN"/>
        </w:rPr>
        <w:t>一个，</w:t>
      </w:r>
      <w:r>
        <w:rPr>
          <w:rFonts w:hint="eastAsia" w:ascii="仿宋_GB2312" w:eastAsia="仿宋_GB2312"/>
          <w:sz w:val="32"/>
          <w:szCs w:val="32"/>
          <w:highlight w:val="none"/>
        </w:rPr>
        <w:t>涉及预算金额</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，主要原因是用于弥补日常公用经费，</w:t>
      </w:r>
      <w:r>
        <w:rPr>
          <w:rFonts w:hint="eastAsia" w:ascii="仿宋_GB2312" w:eastAsia="仿宋_GB2312"/>
          <w:sz w:val="32"/>
          <w:szCs w:val="32"/>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60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中共</w:t>
      </w:r>
      <w:r>
        <w:rPr>
          <w:rFonts w:hint="eastAsia" w:ascii="仿宋_GB2312" w:hAnsi="宋体" w:eastAsia="仿宋_GB2312" w:cs="宋体"/>
          <w:kern w:val="0"/>
          <w:sz w:val="32"/>
          <w:szCs w:val="32"/>
          <w:highlight w:val="none"/>
        </w:rPr>
        <w:t>呼图壁县</w:t>
      </w:r>
      <w:r>
        <w:rPr>
          <w:rFonts w:hint="eastAsia" w:ascii="仿宋_GB2312" w:hAnsi="宋体" w:eastAsia="仿宋_GB2312" w:cs="宋体"/>
          <w:kern w:val="0"/>
          <w:sz w:val="32"/>
          <w:szCs w:val="32"/>
          <w:highlight w:val="none"/>
          <w:lang w:val="en-US" w:eastAsia="zh-CN"/>
        </w:rPr>
        <w:t>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1</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日</w:t>
      </w:r>
    </w:p>
    <w:p>
      <w:pPr>
        <w:rPr>
          <w:highlight w:val="none"/>
        </w:rPr>
      </w:pPr>
    </w:p>
    <w:p>
      <w:pPr>
        <w:rPr>
          <w:highlight w:val="none"/>
        </w:rPr>
      </w:pPr>
    </w:p>
    <w:bookmarkEnd w:id="1"/>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F085B5"/>
    <w:multiLevelType w:val="singleLevel"/>
    <w:tmpl w:val="C7F085B5"/>
    <w:lvl w:ilvl="0" w:tentative="0">
      <w:start w:val="2"/>
      <w:numFmt w:val="chineseCounting"/>
      <w:suff w:val="nothing"/>
      <w:lvlText w:val="%1、"/>
      <w:lvlJc w:val="left"/>
      <w:rPr>
        <w:rFonts w:hint="eastAsia"/>
      </w:rPr>
    </w:lvl>
  </w:abstractNum>
  <w:abstractNum w:abstractNumId="1">
    <w:nsid w:val="1D11D20D"/>
    <w:multiLevelType w:val="singleLevel"/>
    <w:tmpl w:val="1D11D20D"/>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lZjliZDkxZTQxNjAyMDRlMTJhZjNhZGViMDczNzkifQ=="/>
  </w:docVars>
  <w:rsids>
    <w:rsidRoot w:val="10587512"/>
    <w:rsid w:val="00E41A1F"/>
    <w:rsid w:val="017B2F92"/>
    <w:rsid w:val="020E507E"/>
    <w:rsid w:val="02732F8E"/>
    <w:rsid w:val="02CB7F49"/>
    <w:rsid w:val="037800D1"/>
    <w:rsid w:val="04267087"/>
    <w:rsid w:val="04267B2D"/>
    <w:rsid w:val="044C330C"/>
    <w:rsid w:val="05397FD9"/>
    <w:rsid w:val="057A5F58"/>
    <w:rsid w:val="05CA273A"/>
    <w:rsid w:val="06146B8C"/>
    <w:rsid w:val="06F676B8"/>
    <w:rsid w:val="070E6657"/>
    <w:rsid w:val="080E3E4F"/>
    <w:rsid w:val="084451C2"/>
    <w:rsid w:val="08450B28"/>
    <w:rsid w:val="08762705"/>
    <w:rsid w:val="088F5575"/>
    <w:rsid w:val="08E81855"/>
    <w:rsid w:val="08EC0C19"/>
    <w:rsid w:val="09664D77"/>
    <w:rsid w:val="0A4168EC"/>
    <w:rsid w:val="0AD672A7"/>
    <w:rsid w:val="0AEF6F21"/>
    <w:rsid w:val="0B247F12"/>
    <w:rsid w:val="0B7C3034"/>
    <w:rsid w:val="0B841FFD"/>
    <w:rsid w:val="0BC371A6"/>
    <w:rsid w:val="0BD56A2F"/>
    <w:rsid w:val="0BF26547"/>
    <w:rsid w:val="0C0A3890"/>
    <w:rsid w:val="0CD20198"/>
    <w:rsid w:val="0CEC568C"/>
    <w:rsid w:val="0D6E5FD0"/>
    <w:rsid w:val="0E320E7D"/>
    <w:rsid w:val="0E9208E7"/>
    <w:rsid w:val="0EBA17AC"/>
    <w:rsid w:val="0F3550C8"/>
    <w:rsid w:val="10587512"/>
    <w:rsid w:val="105D0E37"/>
    <w:rsid w:val="10916BDA"/>
    <w:rsid w:val="10E93381"/>
    <w:rsid w:val="11036B00"/>
    <w:rsid w:val="11301FEB"/>
    <w:rsid w:val="11B6451D"/>
    <w:rsid w:val="121E62E8"/>
    <w:rsid w:val="14261483"/>
    <w:rsid w:val="144B713C"/>
    <w:rsid w:val="149E726C"/>
    <w:rsid w:val="156D6610"/>
    <w:rsid w:val="1697741D"/>
    <w:rsid w:val="19A215AC"/>
    <w:rsid w:val="1A132B78"/>
    <w:rsid w:val="1AC437A4"/>
    <w:rsid w:val="1B153D26"/>
    <w:rsid w:val="1BEB54C3"/>
    <w:rsid w:val="1C3C6084"/>
    <w:rsid w:val="1C8C02F2"/>
    <w:rsid w:val="1CF55EA2"/>
    <w:rsid w:val="1D3E1AFE"/>
    <w:rsid w:val="1D9B4111"/>
    <w:rsid w:val="1E6432D4"/>
    <w:rsid w:val="1E89232D"/>
    <w:rsid w:val="1EB61656"/>
    <w:rsid w:val="1F095B9C"/>
    <w:rsid w:val="1FD37D49"/>
    <w:rsid w:val="20407429"/>
    <w:rsid w:val="20582ABC"/>
    <w:rsid w:val="20CF3CE4"/>
    <w:rsid w:val="20DD55C0"/>
    <w:rsid w:val="22922CB8"/>
    <w:rsid w:val="22DB78DD"/>
    <w:rsid w:val="23ED49BB"/>
    <w:rsid w:val="244D65B8"/>
    <w:rsid w:val="2492221D"/>
    <w:rsid w:val="24B42D8E"/>
    <w:rsid w:val="250855AF"/>
    <w:rsid w:val="258B383C"/>
    <w:rsid w:val="263B7010"/>
    <w:rsid w:val="26B4291F"/>
    <w:rsid w:val="26BD282A"/>
    <w:rsid w:val="26DE387C"/>
    <w:rsid w:val="26E769FA"/>
    <w:rsid w:val="286D65BC"/>
    <w:rsid w:val="28D9041B"/>
    <w:rsid w:val="28FC3BD8"/>
    <w:rsid w:val="291F30DE"/>
    <w:rsid w:val="293B2E83"/>
    <w:rsid w:val="2ADA11FD"/>
    <w:rsid w:val="2AFC4894"/>
    <w:rsid w:val="2B3A05DE"/>
    <w:rsid w:val="2B413B8F"/>
    <w:rsid w:val="2B6901C6"/>
    <w:rsid w:val="2B7841A6"/>
    <w:rsid w:val="2B7F6702"/>
    <w:rsid w:val="2D4349D9"/>
    <w:rsid w:val="2D480265"/>
    <w:rsid w:val="2D977453"/>
    <w:rsid w:val="2E2943BA"/>
    <w:rsid w:val="2E7014D8"/>
    <w:rsid w:val="2E9C5041"/>
    <w:rsid w:val="2EF22236"/>
    <w:rsid w:val="2F117128"/>
    <w:rsid w:val="2FDD4288"/>
    <w:rsid w:val="2FED29FE"/>
    <w:rsid w:val="300E1D4A"/>
    <w:rsid w:val="30B05F05"/>
    <w:rsid w:val="310F3573"/>
    <w:rsid w:val="32D560F7"/>
    <w:rsid w:val="33A76F60"/>
    <w:rsid w:val="341A364C"/>
    <w:rsid w:val="341E7629"/>
    <w:rsid w:val="34D42836"/>
    <w:rsid w:val="3526305D"/>
    <w:rsid w:val="35F117C8"/>
    <w:rsid w:val="36343134"/>
    <w:rsid w:val="363C0287"/>
    <w:rsid w:val="37643EED"/>
    <w:rsid w:val="38284F1B"/>
    <w:rsid w:val="38F10544"/>
    <w:rsid w:val="392F6A02"/>
    <w:rsid w:val="39B0409D"/>
    <w:rsid w:val="39D856A2"/>
    <w:rsid w:val="3A596FDF"/>
    <w:rsid w:val="3B3C3B40"/>
    <w:rsid w:val="3BE45FB7"/>
    <w:rsid w:val="3BEA413A"/>
    <w:rsid w:val="3BF21AC7"/>
    <w:rsid w:val="3C013037"/>
    <w:rsid w:val="3DC06CB5"/>
    <w:rsid w:val="3FDF4D23"/>
    <w:rsid w:val="41083B3B"/>
    <w:rsid w:val="41270465"/>
    <w:rsid w:val="41DB2FFE"/>
    <w:rsid w:val="42F779C3"/>
    <w:rsid w:val="43502DA9"/>
    <w:rsid w:val="43C26223"/>
    <w:rsid w:val="43D8307E"/>
    <w:rsid w:val="44507CD3"/>
    <w:rsid w:val="44AF5181"/>
    <w:rsid w:val="455A018C"/>
    <w:rsid w:val="46B02CAB"/>
    <w:rsid w:val="46CE3131"/>
    <w:rsid w:val="476C2524"/>
    <w:rsid w:val="48AD5029"/>
    <w:rsid w:val="493059DD"/>
    <w:rsid w:val="494F7907"/>
    <w:rsid w:val="4A581016"/>
    <w:rsid w:val="4ADF73DC"/>
    <w:rsid w:val="4B1B26BD"/>
    <w:rsid w:val="4B315A3D"/>
    <w:rsid w:val="4C0055E5"/>
    <w:rsid w:val="4C3677AE"/>
    <w:rsid w:val="4C706B3A"/>
    <w:rsid w:val="4F3B332E"/>
    <w:rsid w:val="4FAE590D"/>
    <w:rsid w:val="51C15CED"/>
    <w:rsid w:val="52285DEB"/>
    <w:rsid w:val="52AD62F0"/>
    <w:rsid w:val="539B3AAB"/>
    <w:rsid w:val="53A94D0A"/>
    <w:rsid w:val="546308FE"/>
    <w:rsid w:val="5468656C"/>
    <w:rsid w:val="5611624E"/>
    <w:rsid w:val="567B1032"/>
    <w:rsid w:val="56FE59C9"/>
    <w:rsid w:val="570D735E"/>
    <w:rsid w:val="570E0F68"/>
    <w:rsid w:val="571B2674"/>
    <w:rsid w:val="589917F1"/>
    <w:rsid w:val="59B241EC"/>
    <w:rsid w:val="5A5E27F6"/>
    <w:rsid w:val="5A704801"/>
    <w:rsid w:val="5A88647B"/>
    <w:rsid w:val="5A8C5E4D"/>
    <w:rsid w:val="5AED2A9A"/>
    <w:rsid w:val="5AEF6656"/>
    <w:rsid w:val="5B4113BB"/>
    <w:rsid w:val="5BB51DD7"/>
    <w:rsid w:val="5D9E1657"/>
    <w:rsid w:val="5DF94AE0"/>
    <w:rsid w:val="5E225DE5"/>
    <w:rsid w:val="5E257683"/>
    <w:rsid w:val="5E7802BC"/>
    <w:rsid w:val="5EE078B0"/>
    <w:rsid w:val="5F0D5523"/>
    <w:rsid w:val="5F2346ED"/>
    <w:rsid w:val="61086613"/>
    <w:rsid w:val="61686204"/>
    <w:rsid w:val="6246445C"/>
    <w:rsid w:val="62917095"/>
    <w:rsid w:val="630E06E5"/>
    <w:rsid w:val="632E12D8"/>
    <w:rsid w:val="640815D9"/>
    <w:rsid w:val="6408782B"/>
    <w:rsid w:val="64D22BB5"/>
    <w:rsid w:val="65322CBF"/>
    <w:rsid w:val="65856C59"/>
    <w:rsid w:val="65B35574"/>
    <w:rsid w:val="65C658ED"/>
    <w:rsid w:val="66393109"/>
    <w:rsid w:val="67222168"/>
    <w:rsid w:val="67376C31"/>
    <w:rsid w:val="68CC52CB"/>
    <w:rsid w:val="68DE4FFE"/>
    <w:rsid w:val="691B0000"/>
    <w:rsid w:val="694B58D7"/>
    <w:rsid w:val="69CE4E15"/>
    <w:rsid w:val="6ABF5A2B"/>
    <w:rsid w:val="6B3E7E06"/>
    <w:rsid w:val="6B7F3246"/>
    <w:rsid w:val="6B80239C"/>
    <w:rsid w:val="6BBA2A87"/>
    <w:rsid w:val="6BC05809"/>
    <w:rsid w:val="6BF904A6"/>
    <w:rsid w:val="6CB5251A"/>
    <w:rsid w:val="6CD429A0"/>
    <w:rsid w:val="6D592EA5"/>
    <w:rsid w:val="6EF07839"/>
    <w:rsid w:val="6F63000B"/>
    <w:rsid w:val="6FCF0C72"/>
    <w:rsid w:val="71500A63"/>
    <w:rsid w:val="717C1858"/>
    <w:rsid w:val="72B56DCF"/>
    <w:rsid w:val="72E964BC"/>
    <w:rsid w:val="735C7C42"/>
    <w:rsid w:val="74235B37"/>
    <w:rsid w:val="74395DFE"/>
    <w:rsid w:val="74D07EF1"/>
    <w:rsid w:val="74E526A5"/>
    <w:rsid w:val="75B570E6"/>
    <w:rsid w:val="75BF3AC1"/>
    <w:rsid w:val="763D3EB9"/>
    <w:rsid w:val="76E407C7"/>
    <w:rsid w:val="7706409E"/>
    <w:rsid w:val="7797777E"/>
    <w:rsid w:val="780A1873"/>
    <w:rsid w:val="787D11B8"/>
    <w:rsid w:val="78A771BA"/>
    <w:rsid w:val="78AC6820"/>
    <w:rsid w:val="792C5912"/>
    <w:rsid w:val="7CBA4FE2"/>
    <w:rsid w:val="7CEE4A43"/>
    <w:rsid w:val="7D06612B"/>
    <w:rsid w:val="7E880152"/>
    <w:rsid w:val="7E8B30DA"/>
    <w:rsid w:val="7EFA3C97"/>
    <w:rsid w:val="7FCB7F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10216</Words>
  <Characters>12495</Characters>
  <Lines>0</Lines>
  <Paragraphs>0</Paragraphs>
  <TotalTime>15</TotalTime>
  <ScaleCrop>false</ScaleCrop>
  <LinksUpToDate>false</LinksUpToDate>
  <CharactersWithSpaces>13511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2025-10-29T11:59:23Z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15ACCF4215DD4E5A9E383C97C0BFBD38_13</vt:lpwstr>
  </property>
  <property fmtid="{D5CDD505-2E9C-101B-9397-08002B2CF9AE}" pid="4" name="KSOTemplateDocerSaveRecord">
    <vt:lpwstr>eyJoZGlkIjoiN2EyMTIxNTJlMjY2NjM5NjdjYmYwZjVhYjA4ZGEwODEiLCJ1c2VySWQiOiI0MjYzNjAxNTMifQ==</vt:lpwstr>
  </property>
</Properties>
</file>