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黑体" w:hAnsi="黑体" w:eastAsia="黑体"/>
          <w:color w:val="auto"/>
          <w:sz w:val="32"/>
          <w:szCs w:val="32"/>
          <w:highlight w:val="none"/>
        </w:rPr>
      </w:pPr>
      <w:bookmarkStart w:id="0" w:name="_GoBack"/>
    </w:p>
    <w:p>
      <w:pPr>
        <w:spacing w:line="560" w:lineRule="exact"/>
        <w:rPr>
          <w:rFonts w:hint="default" w:ascii="黑体" w:hAnsi="黑体" w:eastAsia="黑体"/>
          <w:color w:val="auto"/>
          <w:sz w:val="32"/>
          <w:szCs w:val="32"/>
          <w:highlight w:val="none"/>
        </w:rPr>
      </w:pPr>
    </w:p>
    <w:p>
      <w:pPr>
        <w:jc w:val="center"/>
        <w:rPr>
          <w:rFonts w:hint="eastAsia" w:ascii="黑体" w:hAnsi="ArialUnicodeMS" w:eastAsia="黑体" w:cs="Times New Roman"/>
          <w:color w:val="000000"/>
          <w:sz w:val="44"/>
          <w:szCs w:val="44"/>
          <w:highlight w:val="none"/>
          <w:lang w:val="en-US" w:eastAsia="zh-CN"/>
        </w:rPr>
      </w:pPr>
      <w:r>
        <w:rPr>
          <w:rFonts w:hint="default" w:ascii="黑体" w:hAnsi="ArialUnicodeMS" w:eastAsia="黑体" w:cs="Times New Roman"/>
          <w:color w:val="000000"/>
          <w:sz w:val="44"/>
          <w:szCs w:val="44"/>
          <w:highlight w:val="none"/>
          <w:lang w:val="en-US" w:eastAsia="zh-CN"/>
        </w:rPr>
        <w:t>中国共产党呼图壁县委员会党校</w:t>
      </w:r>
      <w:r>
        <w:rPr>
          <w:rFonts w:hint="eastAsia" w:ascii="黑体" w:hAnsi="ArialUnicodeMS" w:eastAsia="黑体" w:cs="Times New Roman"/>
          <w:color w:val="000000"/>
          <w:sz w:val="44"/>
          <w:szCs w:val="44"/>
          <w:highlight w:val="none"/>
          <w:lang w:val="en-US" w:eastAsia="zh-CN"/>
        </w:rPr>
        <w:t>2025年部门预算公开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jc w:val="center"/>
        <w:rPr>
          <w:rFonts w:hint="eastAsia" w:ascii="黑体" w:hAnsi="Calibri" w:eastAsia="黑体" w:cs="Times New Roman"/>
          <w:color w:val="000000"/>
          <w:sz w:val="36"/>
          <w:szCs w:val="36"/>
          <w:highlight w:val="none"/>
        </w:rPr>
      </w:pPr>
      <w:r>
        <w:rPr>
          <w:rFonts w:hint="eastAsia" w:ascii="黑体" w:hAnsi="Calibri" w:eastAsia="黑体" w:cs="Times New Roman"/>
          <w:color w:val="000000"/>
          <w:sz w:val="36"/>
          <w:szCs w:val="36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 xml:space="preserve">第一部分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default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部门概况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一、主要职能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二、机构设置及人员情况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 xml:space="preserve">第二部分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年部门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一、部门收支总体情况表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二、部门收入总体情况表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三、部门支出总体情况表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四、财政拨款收支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预算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五、一般公共预算支出情况表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六、一般公共预算基本支出情况表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七、一般公共预算项目支出情况表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八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、政府性基金预算支出情况表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九、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十、财政拨款“三公”经费支出情况表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十一、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上年结转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情况明细表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 xml:space="preserve">第三部分  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eastAsia="zh-CN"/>
        </w:rPr>
        <w:t>年部门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二、关于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三、关于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四、关于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五、关于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六、关于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七、关于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八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九、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Hans"/>
        </w:rPr>
        <w:t>一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、关于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上年结转结余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十二、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其他重要事项的情况说明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</w:rPr>
        <w:t>第四部分  名词解释</w:t>
      </w: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</w:p>
    <w:p>
      <w:pPr>
        <w:pStyle w:val="2"/>
        <w:spacing w:before="156" w:beforeLines="50" w:after="156" w:afterLines="50" w:line="560" w:lineRule="exact"/>
        <w:jc w:val="center"/>
        <w:rPr>
          <w:rFonts w:hint="default" w:ascii="黑体" w:hAnsi="Times New Roman" w:eastAsia="黑体" w:cs="Times New Roman"/>
          <w:sz w:val="30"/>
          <w:szCs w:val="30"/>
          <w:highlight w:val="none"/>
        </w:rPr>
      </w:pPr>
      <w:r>
        <w:rPr>
          <w:rFonts w:hint="eastAsia" w:ascii="黑体" w:hAnsi="Times New Roman" w:eastAsia="黑体" w:cs="Times New Roman"/>
          <w:sz w:val="30"/>
          <w:szCs w:val="30"/>
          <w:highlight w:val="none"/>
        </w:rPr>
        <w:t xml:space="preserve">第一部分  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eastAsia="zh-CN"/>
        </w:rPr>
        <w:t>202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eastAsia="zh-CN"/>
        </w:rPr>
        <w:t>年中国共产党呼图壁县委员会党校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</w:rPr>
        <w:t>部门概况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141" w:firstLineChars="5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一、主要职能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1、负责培训全县各级党政领导干部、公务员、国有企业领导人员、事业单位领导人员、年轻干部、理论宣传骨干、高层次人才、基层干部、党员，开展党校系统师资培训；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2、负责马克思主义基本理论研究，重点研究宣传习近平新时代中国特色社会主义思想；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3、负责重大理论和现实问题研究，承担县委和政府决策咨询服务；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4、承办党委和政府以及相关部门举办的专题研讨班；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5、参与党委关于党校工作政策以及干部培训计划的制定工作；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6、负责乡镇（场）基层党校业务指导；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7、完成县委和政府交办的其他任务。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二、机构设置及人员情况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无下属预算单位，下设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个处室，分别是：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教务处、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科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研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处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办公室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。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  <w:r>
        <w:rPr>
          <w:rFonts w:hint="default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编制数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13，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实有人数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23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人，其中：在职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人，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减少1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人；退休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11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人，增加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人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eastAsia="zh-CN"/>
        </w:rPr>
        <w:t>；离休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  <w:lang w:val="en-US" w:eastAsia="zh-CN"/>
        </w:rPr>
        <w:t>0人，增加0人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  <w:t>。</w:t>
      </w: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pStyle w:val="18"/>
        <w:spacing w:line="560" w:lineRule="exact"/>
        <w:ind w:firstLine="560"/>
        <w:rPr>
          <w:rFonts w:hint="eastAsia" w:ascii="仿宋" w:hAnsi="仿宋" w:eastAsia="仿宋" w:cs="Times New Roman"/>
          <w:color w:val="000000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1205" w:firstLineChars="400"/>
        <w:jc w:val="center"/>
        <w:textAlignment w:val="auto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ind w:firstLine="1205" w:firstLineChars="400"/>
        <w:jc w:val="center"/>
        <w:textAlignment w:val="auto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  <w:t>第二部分  2025年部门预算公开表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eastAsia="zh-CN"/>
        </w:rPr>
        <w:t>部门收支总体情况表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 xml:space="preserve">     单位：万元</w:t>
      </w:r>
    </w:p>
    <w:tbl>
      <w:tblPr>
        <w:tblStyle w:val="13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457.51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277.51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277.51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2.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政府性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基金预算拨款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359.04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40.39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17.58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180.00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180.00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政府性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457.51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457.51</w:t>
            </w:r>
          </w:p>
        </w:tc>
      </w:tr>
    </w:tbl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表2</w:t>
      </w:r>
    </w:p>
    <w:p>
      <w:pPr>
        <w:jc w:val="center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收入总体情况表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制部门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：：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单位：万元</w:t>
      </w:r>
    </w:p>
    <w:tbl>
      <w:tblPr>
        <w:tblStyle w:val="13"/>
        <w:tblW w:w="9660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417"/>
        <w:gridCol w:w="400"/>
        <w:gridCol w:w="650"/>
        <w:gridCol w:w="817"/>
        <w:gridCol w:w="766"/>
        <w:gridCol w:w="817"/>
        <w:gridCol w:w="583"/>
        <w:gridCol w:w="415"/>
        <w:gridCol w:w="719"/>
        <w:gridCol w:w="555"/>
        <w:gridCol w:w="779"/>
        <w:gridCol w:w="583"/>
        <w:gridCol w:w="683"/>
        <w:gridCol w:w="448"/>
        <w:gridCol w:w="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6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5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4" w:hRule="atLeast"/>
        </w:trPr>
        <w:tc>
          <w:tcPr>
            <w:tcW w:w="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款</w:t>
            </w:r>
          </w:p>
        </w:tc>
        <w:tc>
          <w:tcPr>
            <w:tcW w:w="400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项</w:t>
            </w: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1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41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5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44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5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5"/>
                <w:szCs w:val="15"/>
                <w:highlight w:val="none"/>
              </w:rPr>
              <w:t>总计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457.51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277.51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277.51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180.00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教育支出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进修及培训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干部教育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359.04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210.54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148.50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40.39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30.39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30.39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40.39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30.39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</w:rPr>
              <w:t>30.39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7.14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7.14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7.14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23.25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23.25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23.25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06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10.00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10.00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17.58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0.78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0.78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0.78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10.84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10.84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10.84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03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5.81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5.81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5.81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99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0.15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0.15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0.15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01</w:t>
            </w:r>
          </w:p>
        </w:tc>
        <w:tc>
          <w:tcPr>
            <w:tcW w:w="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40.50</w:t>
            </w:r>
          </w:p>
        </w:tc>
        <w:tc>
          <w:tcPr>
            <w:tcW w:w="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19.01</w:t>
            </w:r>
          </w:p>
        </w:tc>
        <w:tc>
          <w:tcPr>
            <w:tcW w:w="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6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  <w:t>21.50</w:t>
            </w:r>
          </w:p>
        </w:tc>
        <w:tc>
          <w:tcPr>
            <w:tcW w:w="4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5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pStyle w:val="12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表3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eastAsia="zh-CN"/>
        </w:rPr>
        <w:t>部门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/>
        </w:rPr>
        <w:t xml:space="preserve">   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单位：万元</w:t>
      </w:r>
    </w:p>
    <w:tbl>
      <w:tblPr>
        <w:tblStyle w:val="13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17"/>
        <w:gridCol w:w="417"/>
        <w:gridCol w:w="2555"/>
        <w:gridCol w:w="1822"/>
        <w:gridCol w:w="1823"/>
        <w:gridCol w:w="18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9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5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82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87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25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7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457.51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37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.51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  <w:t>教育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进修及培训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干部教育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359.04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3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9.04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40.39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40.39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40.39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40.39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23.25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23.25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10.00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5.81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5.81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0.15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0.15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221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40.50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rPr>
          <w:trHeight w:val="405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457.51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4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.51</w:t>
            </w:r>
          </w:p>
        </w:tc>
        <w:tc>
          <w:tcPr>
            <w:tcW w:w="1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20.00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jc w:val="left"/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表4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财政拨款收支预算总体情况表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/>
          <w:color w:val="000000"/>
          <w:sz w:val="18"/>
          <w:szCs w:val="18"/>
          <w:highlight w:val="none"/>
          <w:lang w:val="en-US" w:eastAsia="zh-CN"/>
        </w:rPr>
        <w:t xml:space="preserve">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 xml:space="preserve"> 单位：万元</w:t>
      </w:r>
    </w:p>
    <w:tbl>
      <w:tblPr>
        <w:tblStyle w:val="13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914"/>
        <w:gridCol w:w="2580"/>
        <w:gridCol w:w="900"/>
        <w:gridCol w:w="851"/>
        <w:gridCol w:w="1134"/>
        <w:gridCol w:w="11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财政拨款收入</w:t>
            </w:r>
          </w:p>
        </w:tc>
        <w:tc>
          <w:tcPr>
            <w:tcW w:w="65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项    目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功  能  分  类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81" w:firstLineChars="100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277.51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277.51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60" w:firstLineChars="200"/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ind w:firstLine="360" w:firstLineChars="200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210.54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210.54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/>
              </w:rPr>
              <w:t>30.39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/>
              </w:rPr>
              <w:t>30.39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17.58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17.58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19.0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19.0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9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收  入  总  计</w:t>
            </w: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277.51　</w:t>
            </w:r>
          </w:p>
        </w:tc>
        <w:tc>
          <w:tcPr>
            <w:tcW w:w="2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支  出  总  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277.51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277.51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表5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494"/>
        <w:gridCol w:w="1677"/>
        <w:gridCol w:w="215"/>
        <w:gridCol w:w="1618"/>
        <w:gridCol w:w="16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5903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both"/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部门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中国共产党呼图壁县委员会党校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ind w:firstLine="2070" w:firstLineChars="1150"/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167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277.51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257.51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eastAsia="zh-CN"/>
              </w:rPr>
              <w:t>教育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进修及培训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干部教育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/>
              </w:rPr>
              <w:t>210.54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/>
              </w:rPr>
              <w:t>190.54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30.39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30.39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30.39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30.39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23.25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23.25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210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17.58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0.78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10.84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5.81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5.81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0.15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0.15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221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19.01</w:t>
            </w:r>
          </w:p>
        </w:tc>
        <w:tc>
          <w:tcPr>
            <w:tcW w:w="1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表6</w:t>
      </w:r>
    </w:p>
    <w:tbl>
      <w:tblPr>
        <w:tblStyle w:val="13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1701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90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部门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中国共产党呼图壁县委员会党校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/>
              </w:rPr>
              <w:t xml:space="preserve">          </w:t>
            </w: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目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经济分类科目名称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宋体" w:hAnsi="宋体"/>
                <w:b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257.51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235.38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226.66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226.66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基本工资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60.40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60.40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津贴补贴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20.36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20.36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奖金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43.59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43.59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绩效工资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34.06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34.06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机关事业单位基本养老保险缴费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23.25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23.25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城镇职工基本医疗保险缴费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11.62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11.62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公务员医疗补助缴费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5.81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5.81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其他社会保障缴费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住房公积金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19.01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19.01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其他工资福利支出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7.16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  <w:t>7.16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22.13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22.13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01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办公费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印刷费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水费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0.41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15.44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15.44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2.81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8.73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</w:rPr>
              <w:t>8.73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7.14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生活补助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0.37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0.37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/>
          <w:highlight w:val="none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表7</w:t>
      </w:r>
    </w:p>
    <w:tbl>
      <w:tblPr>
        <w:tblStyle w:val="13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506"/>
        <w:gridCol w:w="417"/>
        <w:gridCol w:w="417"/>
        <w:gridCol w:w="974"/>
        <w:gridCol w:w="1346"/>
        <w:gridCol w:w="574"/>
        <w:gridCol w:w="555"/>
        <w:gridCol w:w="525"/>
        <w:gridCol w:w="741"/>
        <w:gridCol w:w="517"/>
        <w:gridCol w:w="404"/>
        <w:gridCol w:w="214"/>
        <w:gridCol w:w="419"/>
        <w:gridCol w:w="618"/>
        <w:gridCol w:w="420"/>
        <w:gridCol w:w="420"/>
        <w:gridCol w:w="387"/>
        <w:gridCol w:w="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6" w:type="dxa"/>
          <w:trHeight w:val="375" w:hRule="atLeast"/>
        </w:trPr>
        <w:tc>
          <w:tcPr>
            <w:tcW w:w="9454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" w:hAnsi="宋体" w:eastAsia="仿宋" w:cs="Times New Roman"/>
                <w:b/>
                <w:color w:val="000000"/>
                <w:sz w:val="28"/>
                <w:szCs w:val="28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0" w:type="dxa"/>
          <w:wAfter w:w="76" w:type="dxa"/>
          <w:trHeight w:val="405" w:hRule="atLeast"/>
        </w:trPr>
        <w:tc>
          <w:tcPr>
            <w:tcW w:w="6976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编制</w:t>
            </w:r>
            <w:r>
              <w:rPr>
                <w:rFonts w:hint="eastAsia" w:ascii="Calibri" w:hAnsi="Calibri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部门：</w:t>
            </w:r>
            <w:r>
              <w:rPr>
                <w:rFonts w:hint="default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中国共产党呼图壁县委员会党校</w:t>
            </w:r>
          </w:p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2478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right"/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4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134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574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55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52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741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517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18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419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6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42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463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51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974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4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25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4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17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18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63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Hans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2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17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6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6</w:t>
            </w:r>
          </w:p>
        </w:tc>
        <w:tc>
          <w:tcPr>
            <w:tcW w:w="419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7</w:t>
            </w:r>
          </w:p>
        </w:tc>
        <w:tc>
          <w:tcPr>
            <w:tcW w:w="61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8</w:t>
            </w:r>
          </w:p>
        </w:tc>
        <w:tc>
          <w:tcPr>
            <w:tcW w:w="42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9</w:t>
            </w:r>
          </w:p>
        </w:tc>
        <w:tc>
          <w:tcPr>
            <w:tcW w:w="42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4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widowControl w:val="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widowControl w:val="0"/>
              <w:ind w:firstLine="320" w:firstLineChars="100"/>
              <w:jc w:val="center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46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 w:ascii="宋体" w:hAnsi="宋体"/>
                <w:b/>
                <w:sz w:val="18"/>
                <w:szCs w:val="18"/>
                <w:highlight w:val="none"/>
              </w:rPr>
              <w:t>总计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widowControl w:val="0"/>
              <w:ind w:left="0" w:leftChars="0" w:firstLine="0" w:firstLineChars="0"/>
              <w:jc w:val="right"/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Hans"/>
              </w:rPr>
            </w:pP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教育支出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党校运行经费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进修及培训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党校运行经费　　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16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17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eastAsia="zh-CN"/>
              </w:rPr>
              <w:t>干部教育</w:t>
            </w:r>
          </w:p>
        </w:tc>
        <w:tc>
          <w:tcPr>
            <w:tcW w:w="1346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党校运行经费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eastAsia="zh-CN"/>
              </w:rPr>
              <w:t>　　</w:t>
            </w:r>
          </w:p>
        </w:tc>
        <w:tc>
          <w:tcPr>
            <w:tcW w:w="57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25" w:type="dxa"/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41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  <w:highlight w:val="none"/>
                <w:lang w:eastAsia="zh-CN"/>
              </w:rPr>
              <w:t>　</w:t>
            </w:r>
          </w:p>
        </w:tc>
        <w:tc>
          <w:tcPr>
            <w:tcW w:w="517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19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618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20" w:type="dxa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  <w:tc>
          <w:tcPr>
            <w:tcW w:w="463" w:type="dxa"/>
            <w:gridSpan w:val="2"/>
            <w:noWrap w:val="0"/>
            <w:vAlign w:val="top"/>
          </w:tcPr>
          <w:p>
            <w:pPr>
              <w:widowControl w:val="0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jc w:val="left"/>
        <w:rPr>
          <w:rFonts w:hint="default" w:ascii="仿宋" w:hAnsi="宋体" w:eastAsia="仿宋" w:cs="Times New Roman"/>
          <w:b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highlight w:val="none"/>
          <w:lang w:eastAsia="zh-CN"/>
        </w:rPr>
        <w:t>8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政府性基金预算支出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单位：万元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 计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款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jc w:val="left"/>
        <w:rPr>
          <w:rFonts w:hint="default" w:ascii="仿宋" w:hAnsi="Calibri" w:eastAsia="仿宋" w:cs="Times New Roman"/>
          <w:b/>
          <w:color w:val="000000"/>
          <w:szCs w:val="21"/>
          <w:highlight w:val="none"/>
          <w:lang w:val="en-US" w:eastAsia="zh-CN"/>
        </w:rPr>
      </w:pPr>
      <w:r>
        <w:rPr>
          <w:rFonts w:hint="eastAsia" w:ascii="仿宋" w:hAnsi="Calibri" w:eastAsia="仿宋" w:cs="Times New Roman"/>
          <w:b/>
          <w:color w:val="000000"/>
          <w:szCs w:val="21"/>
          <w:highlight w:val="none"/>
          <w:lang w:val="en-US" w:eastAsia="zh-CN"/>
        </w:rPr>
        <w:t>备注：</w:t>
      </w:r>
      <w:r>
        <w:rPr>
          <w:rFonts w:hint="default" w:ascii="仿宋" w:hAnsi="Calibri" w:eastAsia="仿宋" w:cs="Times New Roman"/>
          <w:b/>
          <w:color w:val="000000"/>
          <w:szCs w:val="21"/>
          <w:highlight w:val="none"/>
          <w:lang w:val="en-US" w:eastAsia="zh-CN"/>
        </w:rPr>
        <w:t>中国共产党呼图壁县委员会党校</w:t>
      </w:r>
      <w:r>
        <w:rPr>
          <w:rFonts w:hint="eastAsia" w:ascii="仿宋" w:hAnsi="Calibri" w:eastAsia="仿宋" w:cs="Times New Roman"/>
          <w:b/>
          <w:color w:val="000000"/>
          <w:szCs w:val="21"/>
          <w:highlight w:val="none"/>
          <w:lang w:val="en-US" w:eastAsia="zh-CN"/>
        </w:rPr>
        <w:t xml:space="preserve"> 2025年没有使用政府性基金预算拨款安排的支出，政府性基金预算支出情况表为空表。</w:t>
      </w:r>
    </w:p>
    <w:p>
      <w:pPr>
        <w:widowControl/>
        <w:jc w:val="left"/>
        <w:rPr>
          <w:rFonts w:hint="default" w:ascii="仿宋" w:eastAsia="仿宋"/>
          <w:b/>
          <w:color w:val="000000"/>
          <w:szCs w:val="21"/>
          <w:highlight w:val="none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 w:ascii="宋体" w:hAnsi="宋体" w:eastAsia="宋体" w:cs="Times New Roman"/>
          <w:color w:val="000000"/>
          <w:sz w:val="18"/>
          <w:szCs w:val="18"/>
          <w:highlight w:val="none"/>
          <w:lang w:val="en-US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表9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国有资本经营预算支出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   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 xml:space="preserve"> 单位：万元</w:t>
      </w:r>
    </w:p>
    <w:tbl>
      <w:tblPr>
        <w:tblStyle w:val="13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科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功能分类科目名称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 计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类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款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eastAsia="仿宋"/>
          <w:b/>
          <w:color w:val="000000"/>
          <w:szCs w:val="21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备注：</w:t>
      </w:r>
      <w:r>
        <w:rPr>
          <w:rFonts w:hint="default" w:ascii="仿宋" w:eastAsia="仿宋"/>
          <w:b/>
          <w:color w:val="000000"/>
          <w:szCs w:val="21"/>
          <w:highlight w:val="none"/>
          <w:lang w:val="en-US" w:eastAsia="zh-CN"/>
        </w:rPr>
        <w:t>中国共产党呼图壁县委员会党校</w:t>
      </w: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2025</w:t>
      </w:r>
      <w:r>
        <w:rPr>
          <w:rFonts w:hint="eastAsia" w:ascii="仿宋" w:hAnsi="Calibri" w:eastAsia="仿宋" w:cs="Times New Roman"/>
          <w:b/>
          <w:color w:val="000000"/>
          <w:szCs w:val="21"/>
          <w:highlight w:val="none"/>
          <w:lang w:val="en-US" w:eastAsia="zh-CN"/>
        </w:rPr>
        <w:t>年</w:t>
      </w:r>
      <w:r>
        <w:rPr>
          <w:rFonts w:hint="eastAsia" w:ascii="仿宋" w:eastAsia="仿宋"/>
          <w:b/>
          <w:color w:val="000000"/>
          <w:szCs w:val="21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default" w:ascii="宋体" w:hAnsi="宋体" w:eastAsia="宋体" w:cs="Times New Roman"/>
          <w:color w:val="000000"/>
          <w:sz w:val="18"/>
          <w:szCs w:val="18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highlight w:val="none"/>
          <w:lang w:eastAsia="zh-CN"/>
        </w:rPr>
        <w:t>10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“三公”经费支出情况表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制部门：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>中国共产党呼图壁县委员会党校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 xml:space="preserve">     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单位：万元</w:t>
      </w:r>
    </w:p>
    <w:tbl>
      <w:tblPr>
        <w:tblStyle w:val="14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“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三公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eastAsia="zh-CN"/>
              </w:rPr>
              <w:t>”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经费</w:t>
            </w: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sz w:val="18"/>
                <w:szCs w:val="18"/>
                <w:highlight w:val="none"/>
              </w:rPr>
              <w:t>※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color w:val="00000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381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</w:rPr>
              <w:t>公务用车购置及运行费</w:t>
            </w:r>
          </w:p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</w:rPr>
              <w:t>（小计）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38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  <w:t>其中：公务用车购置费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bottom"/>
          </w:tcPr>
          <w:p>
            <w:pPr>
              <w:widowControl/>
              <w:jc w:val="right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  <w:t xml:space="preserve">     </w:t>
            </w:r>
            <w:r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314" w:type="dxa"/>
            <w:noWrap w:val="0"/>
            <w:vAlign w:val="bottom"/>
          </w:tcPr>
          <w:p>
            <w:pPr>
              <w:jc w:val="right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none"/>
                <w:lang w:val="en-US" w:eastAsia="zh-CN"/>
              </w:rPr>
              <w:t>1.60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</w:pPr>
    </w:p>
    <w:p>
      <w:pPr>
        <w:rPr>
          <w:rFonts w:hint="eastAsia" w:ascii="宋体" w:hAnsi="宋体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表</w:t>
      </w:r>
      <w:r>
        <w:rPr>
          <w:rFonts w:hint="default" w:ascii="宋体" w:hAnsi="宋体" w:eastAsia="宋体" w:cs="Times New Roman"/>
          <w:color w:val="000000"/>
          <w:sz w:val="18"/>
          <w:szCs w:val="18"/>
          <w:highlight w:val="none"/>
          <w:lang w:eastAsia="zh-CN"/>
        </w:rPr>
        <w:t>1</w:t>
      </w:r>
      <w:r>
        <w:rPr>
          <w:rFonts w:hint="eastAsia" w:ascii="宋体" w:hAnsi="宋体" w:eastAsia="宋体" w:cs="Times New Roman"/>
          <w:color w:val="000000"/>
          <w:sz w:val="18"/>
          <w:szCs w:val="18"/>
          <w:highlight w:val="none"/>
          <w:lang w:val="en-US" w:eastAsia="zh-CN"/>
        </w:rPr>
        <w:t>1</w:t>
      </w:r>
    </w:p>
    <w:p>
      <w:pPr>
        <w:jc w:val="center"/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</w:pP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上年结转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宋体" w:eastAsia="仿宋" w:cs="Times New Roman"/>
          <w:b/>
          <w:color w:val="000000"/>
          <w:sz w:val="28"/>
          <w:szCs w:val="28"/>
          <w:highlight w:val="none"/>
        </w:rPr>
        <w:t>情况明细表</w:t>
      </w:r>
    </w:p>
    <w:p>
      <w:pPr>
        <w:jc w:val="left"/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</w:pP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eastAsia="zh-CN"/>
        </w:rPr>
        <w:t>编制</w:t>
      </w:r>
      <w:r>
        <w:rPr>
          <w:rFonts w:hint="eastAsia" w:ascii="Calibri" w:hAnsi="Calibri" w:cs="Times New Roman"/>
          <w:color w:val="000000"/>
          <w:sz w:val="18"/>
          <w:szCs w:val="18"/>
          <w:highlight w:val="none"/>
          <w:lang w:val="en-US" w:eastAsia="zh-CN"/>
        </w:rPr>
        <w:t>部门：</w:t>
      </w:r>
      <w:r>
        <w:rPr>
          <w:rFonts w:hint="default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中国共产党呼图壁县委员会党校                                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color w:val="000000"/>
          <w:sz w:val="18"/>
          <w:szCs w:val="18"/>
          <w:highlight w:val="none"/>
        </w:rPr>
        <w:t>单位：万元</w:t>
      </w:r>
    </w:p>
    <w:tbl>
      <w:tblPr>
        <w:tblStyle w:val="14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项目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总计</w:t>
            </w:r>
          </w:p>
        </w:tc>
        <w:tc>
          <w:tcPr>
            <w:tcW w:w="386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财政拨款</w:t>
            </w:r>
          </w:p>
        </w:tc>
        <w:tc>
          <w:tcPr>
            <w:tcW w:w="3612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5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合计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合计</w:t>
            </w:r>
          </w:p>
        </w:tc>
        <w:tc>
          <w:tcPr>
            <w:tcW w:w="160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基本支出</w:t>
            </w:r>
          </w:p>
        </w:tc>
        <w:tc>
          <w:tcPr>
            <w:tcW w:w="121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71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人员经费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公用经费</w:t>
            </w:r>
          </w:p>
        </w:tc>
        <w:tc>
          <w:tcPr>
            <w:tcW w:w="1211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9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71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7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jc w:val="left"/>
        <w:rPr>
          <w:rFonts w:hint="eastAsia" w:ascii="仿宋" w:eastAsia="仿宋"/>
          <w:b/>
          <w:color w:val="000000"/>
          <w:szCs w:val="21"/>
          <w:highlight w:val="none"/>
        </w:rPr>
      </w:pPr>
      <w:r>
        <w:rPr>
          <w:rFonts w:hint="eastAsia" w:ascii="仿宋" w:eastAsia="仿宋"/>
          <w:b/>
          <w:color w:val="000000"/>
          <w:szCs w:val="21"/>
          <w:highlight w:val="none"/>
        </w:rPr>
        <w:t>备注：</w:t>
      </w:r>
      <w:r>
        <w:rPr>
          <w:rFonts w:hint="default" w:ascii="仿宋" w:eastAsia="仿宋"/>
          <w:b/>
          <w:color w:val="000000"/>
          <w:szCs w:val="21"/>
          <w:highlight w:val="none"/>
          <w:lang w:val="en-US" w:eastAsia="zh-CN"/>
        </w:rPr>
        <w:t>中国共产党呼图壁县委员会党校</w:t>
      </w: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2025</w:t>
      </w:r>
      <w:r>
        <w:rPr>
          <w:rFonts w:hint="eastAsia" w:ascii="仿宋" w:eastAsia="仿宋"/>
          <w:b/>
          <w:color w:val="000000"/>
          <w:szCs w:val="21"/>
          <w:highlight w:val="none"/>
          <w:lang w:eastAsia="zh-CN"/>
        </w:rPr>
        <w:t>年</w:t>
      </w: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预算</w:t>
      </w:r>
      <w:r>
        <w:rPr>
          <w:rFonts w:hint="eastAsia" w:ascii="仿宋" w:eastAsia="仿宋"/>
          <w:b/>
          <w:color w:val="000000"/>
          <w:szCs w:val="21"/>
          <w:highlight w:val="none"/>
          <w:lang w:eastAsia="zh-CN"/>
        </w:rPr>
        <w:t>未</w:t>
      </w: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有上年结转结余情况</w:t>
      </w:r>
      <w:r>
        <w:rPr>
          <w:rFonts w:hint="eastAsia" w:ascii="仿宋" w:eastAsia="仿宋"/>
          <w:b/>
          <w:color w:val="000000"/>
          <w:szCs w:val="21"/>
          <w:highlight w:val="none"/>
          <w:lang w:eastAsia="zh-CN"/>
        </w:rPr>
        <w:t>，上年结转</w:t>
      </w:r>
      <w:r>
        <w:rPr>
          <w:rFonts w:hint="eastAsia" w:ascii="仿宋" w:eastAsia="仿宋"/>
          <w:b/>
          <w:color w:val="000000"/>
          <w:szCs w:val="21"/>
          <w:highlight w:val="none"/>
          <w:lang w:val="en-US" w:eastAsia="zh-CN"/>
        </w:rPr>
        <w:t>结余</w:t>
      </w:r>
      <w:r>
        <w:rPr>
          <w:rFonts w:hint="eastAsia" w:ascii="仿宋" w:eastAsia="仿宋"/>
          <w:b/>
          <w:color w:val="000000"/>
          <w:szCs w:val="21"/>
          <w:highlight w:val="none"/>
          <w:lang w:eastAsia="zh-CN"/>
        </w:rPr>
        <w:t>情况明细表为空表。</w:t>
      </w:r>
    </w:p>
    <w:p>
      <w:pPr>
        <w:widowControl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pStyle w:val="2"/>
        <w:spacing w:before="156" w:beforeLines="50" w:after="156" w:afterLines="50" w:line="240" w:lineRule="atLeast"/>
        <w:jc w:val="center"/>
        <w:rPr>
          <w:rFonts w:hint="eastAsia" w:ascii="黑体" w:hAnsi="Times New Roman" w:eastAsia="黑体" w:cs="Times New Roman"/>
          <w:sz w:val="30"/>
          <w:szCs w:val="30"/>
          <w:highlight w:val="none"/>
        </w:rPr>
      </w:pPr>
      <w:r>
        <w:rPr>
          <w:rFonts w:hint="eastAsia" w:ascii="黑体" w:hAnsi="Times New Roman" w:eastAsia="黑体" w:cs="Times New Roman"/>
          <w:sz w:val="30"/>
          <w:szCs w:val="30"/>
          <w:highlight w:val="none"/>
        </w:rPr>
        <w:t xml:space="preserve">第三部分  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eastAsia="zh-CN"/>
        </w:rPr>
        <w:t>202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  <w:lang w:eastAsia="zh-CN"/>
        </w:rPr>
        <w:t>年</w:t>
      </w:r>
      <w:r>
        <w:rPr>
          <w:rFonts w:hint="eastAsia" w:ascii="黑体" w:hAnsi="Times New Roman" w:eastAsia="黑体" w:cs="Times New Roman"/>
          <w:sz w:val="30"/>
          <w:szCs w:val="30"/>
          <w:highlight w:val="none"/>
        </w:rPr>
        <w:t>部门预算情况说明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一、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关于</w:t>
      </w:r>
      <w:r>
        <w:rPr>
          <w:rFonts w:hint="default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02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按照全口径预算的原则，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年所有收入和支出均纳入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单位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部门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管理。收支总预算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收入预算包括：</w:t>
      </w:r>
      <w:r>
        <w:rPr>
          <w:rFonts w:hint="eastAsia" w:ascii="仿宋" w:hAnsi="微软雅黑" w:eastAsia="仿宋"/>
          <w:sz w:val="28"/>
          <w:szCs w:val="28"/>
          <w:highlight w:val="none"/>
        </w:rPr>
        <w:t>一般公共预算、单位资金。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default" w:ascii="仿宋" w:hAnsi="微软雅黑" w:eastAsia="仿宋"/>
          <w:sz w:val="28"/>
          <w:szCs w:val="28"/>
          <w:highlight w:val="none"/>
        </w:rPr>
      </w:pPr>
      <w:r>
        <w:rPr>
          <w:rFonts w:hint="eastAsia" w:ascii="仿宋" w:hAnsi="微软雅黑" w:eastAsia="仿宋"/>
          <w:sz w:val="28"/>
          <w:szCs w:val="28"/>
          <w:highlight w:val="none"/>
        </w:rPr>
        <w:t>支出预算包括：教育支出、社会保障和就业支出、卫生健康支出、住房保障支出。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二、关于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收入预算情况说明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收入预算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万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一般公共预算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277.51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60.66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%，比上年预算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20.02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6.73%，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退休人员医疗保险改革，预算减少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；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Hans"/>
        </w:rPr>
        <w:t>上级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一般公共预算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Hans"/>
        </w:rPr>
        <w:t>安排的转移支付资金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未安排。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政府性基金预算未安排。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上级政府性基金安排的转移支付资金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国有资本经营预算未安排。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上级国有资本经营预算安排的转移支付资金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未安排。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 xml:space="preserve"> 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   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Hans"/>
        </w:rPr>
        <w:t>单位资金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180.00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39.34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%，比上年预算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53.77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 万元，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23 %，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本年未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将人员养老保险、医疗保险等人员经费列入预算。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三、关于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支出预算情况说明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支出预算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457.51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 xml:space="preserve"> 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万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基本支出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437.51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95.63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%，比上年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减少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93.79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下降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17.65 %，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本年单位资金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未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将人员养老保险、医疗保险等人员经费纳入基本支出预算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项目支出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4.37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%，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比上年预算增加0万元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增长0.00%，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Hans"/>
        </w:rPr>
        <w:t>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本年财政未安排增加单位项目支出资金，与上年预算持平。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2025年财政拨款收支预算情况的总体说明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2025年财政拨款收支总预算277.51万元。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收入全部为一般公共预算拨款，无政府性基金预算拨款和国有资本经营预算。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收入预算包括：一般公共预算拨款277.51万元。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一般公共预算支出包括：社会保障和就业支出30.39万元，主要用于在职人员养老保险缴纳支出；教育支出210.54万元，主要用于在职人员经费、公用经费支出；卫生健康支出17.58万元，主要用于在职人员医疗保险支出；住房保障支出19.01万元，主要用于在职人员住房公积金支出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562" w:firstLineChars="20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五、关于</w:t>
      </w:r>
      <w:r>
        <w:rPr>
          <w:rFonts w:hint="default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一般公共预算当年拨款情况说明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b/>
          <w:sz w:val="28"/>
          <w:szCs w:val="28"/>
          <w:highlight w:val="none"/>
        </w:rPr>
        <w:t>（一）一般公共预算当年拨款规模变化情况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2025年一般公共预算拨款合计277.51万元，其中：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基本支出257.51万元，比上年预算减少20.02万元，下降7.21 %。主要原因是：退休人员医疗保险改革预算减少及本年退休1人人员费用预算减少。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项目支出20万元，比上年预算增加0万元，增长0%，主要原因是：本单位项目设立的预算是党校运行经费，上年度与本年度金额持平。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b/>
          <w:sz w:val="28"/>
          <w:szCs w:val="28"/>
          <w:highlight w:val="none"/>
        </w:rPr>
        <w:t>（二）一般公共预算当年拨款结构情况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教育支出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210.54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75.87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社会保障和就业支出（类）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30.39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10.95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3、卫生健康支出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17.58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6.33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住房保障支出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（类）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19.01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6.85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%。</w:t>
      </w:r>
    </w:p>
    <w:p>
      <w:pPr>
        <w:widowControl/>
        <w:spacing w:line="560" w:lineRule="exact"/>
        <w:ind w:firstLine="562" w:firstLineChars="200"/>
        <w:rPr>
          <w:rFonts w:hint="eastAsia" w:ascii="仿宋" w:hAnsi="微软雅黑" w:eastAsia="仿宋" w:cs="Times New Roman"/>
          <w:b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b/>
          <w:sz w:val="28"/>
          <w:szCs w:val="28"/>
          <w:highlight w:val="none"/>
        </w:rPr>
        <w:t>（三）一般公共预算当年拨款具体使用情况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 xml:space="preserve">1、教育支出（类）进修及培训（款）干部教育（项）:2025年预算数为210.54万元，比上年减少15.47万元，下降6.84%，主要原因是退休人员医疗保险改革预算减少及本年退休1人人员费用预算减少。 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2、社会保障和就业支出（类）行政事业单位养老（款）事业单位离退休（项）：2025年预算数为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7.14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万元，较上年增加0.51万元，增长7.69 %，主要原因是人员工资晋升，人员经费预算增加。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3、社会保障和就业支出（类）行政事业单位养老（款）机关事业单位基本养老保险缴费支出（项）：2025年预算数为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23.25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万元，较上年减少10.67万元，下降31.46%，主要原因是本年退休1人，人员经费预算减少。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4、卫生健康支出（类）行政事业单位医疗（款）行政单位医疗（项）:2025年预算数为0.78万元，较上年减少0.29万元，下降27.10%，主要原因是本年行政编制人员调入1人、退休1人，本年预算减少。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5、卫生健康支出（类）行政事业单位医疗（款）事业单位医疗（项）:2025年预算数为10.84万元，较上年减少1万元，下降8.45%，主要原因是本年事业编制人员退休1人预算减少。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6、卫生健康支出（类）行政事业单位医疗（款）公务员医疗补助（项）:2025年预算数为5.81万元，较上年增加2.26万元，增长63.66%，主要原因是人员工资调标及正常晋升，人员经费预算增加。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7、卫生健康支出（类）行政事业单位医疗（款）其他行政事业单位医疗支出（项）:2025年预算数为0.15万元，较上年增加0.07万元，增长87.50%，主要原因是人员工资调标及正常晋升，人员经费预算增加。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8、住房保障支出（类）住房改革支出（款）住房公积金（项）:2025年预算数为19.01万元，较上年减少2.05万元，下降9.73 %，主要原因是是本年事业编制人员退休1人预算减少。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六、关于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2025年一般公共预算基本支出情况说明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2025年一般公共预算基本支出 257.51万元， 其中：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人员经费235.38万元，主要包括：基本工资、津贴补贴、奖金、绩效工资、机关事业单位基本养老保险缴费、职工基本医疗保险缴费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、公务员医疗补助缴费、其他社会保障缴费、住房公积金、其他工资福利支出、退休费、生活补助、奖励金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公用经费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22.13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万元，主要包括：办公费、印刷费、水费、电费、邮电费、取暖费、差旅费、工会经费、公务用车运行维护费。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七、关于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2025年一般公共预算项目支出情况说明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项目名称：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党校运行经费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设立的政策依据：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《中国共产党党校工作条例》第十一章办学保障，第六十一条：党校（行政学院）工作所需经费，列入各级财政预算。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预算安排规模：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运行经费20万元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项目承担单位：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资金分配情况：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用于支付单位正常运转支出，其中水费48000元、电费42000元、差旅费32000元、办公费30000元、办公设备购置费35000元、资料印刷费13000元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资金执行时间：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2025年1月1日至2025年12月30日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八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2025年政府性基金预算拨款情况说明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九、关于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国有资本经营预算拨款情况说明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十、关于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财政拨款“三公”经费预算情况说明</w:t>
      </w:r>
    </w:p>
    <w:p>
      <w:pPr>
        <w:widowControl/>
        <w:spacing w:line="560" w:lineRule="exact"/>
        <w:ind w:firstLine="560" w:firstLineChars="200"/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年财政拨款“三公”经费预算数为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.60万元，其中：因公出国（境）费0万元，公务用车购置费0万元，公务用车运行费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.60万元，公务接待费0万元。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年财政拨款“三公”经费预算比上年预算增加0.00万元，增长0.00%，其中：因公出国（境）费增加0.00万元，增长0.00%，主要原因是2024年、202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年均未安排此项预算支出经费；公务用车购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置费增加0.00万元，增长0.00%，主要原因是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2024年、202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年均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未安排此项预算支出经费；公务用车运行费增加0.00万元，增长0.00%，主要原因是根据要求，“三公”经费只减不增，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 w:bidi="ar-SA"/>
        </w:rPr>
        <w:t>2025年预算与上年保持一致，无变动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；公务接待费增加0.00万元，增长0.00%，主要原因是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2024年、202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年均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未安排此项预算支出经费。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jc w:val="both"/>
        <w:textAlignment w:val="auto"/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一、关于</w:t>
      </w:r>
      <w:r>
        <w:rPr>
          <w:rFonts w:hint="default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华文楷体" w:eastAsia="仿宋" w:cs="Times New Roman"/>
          <w:b/>
          <w:bCs w:val="0"/>
          <w:kern w:val="2"/>
          <w:sz w:val="28"/>
          <w:szCs w:val="28"/>
          <w:highlight w:val="none"/>
          <w:lang w:val="en-US" w:eastAsia="zh-CN"/>
        </w:rPr>
        <w:t>2025年上年结转结余预算情况说明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无上年结转结余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预算的支出，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结转结余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预算支出情况表为空表。</w:t>
      </w:r>
    </w:p>
    <w:p>
      <w:pPr>
        <w:pStyle w:val="3"/>
        <w:numPr>
          <w:ilvl w:val="0"/>
          <w:numId w:val="0"/>
        </w:numPr>
        <w:spacing w:before="0" w:beforeLines="-2147483648" w:after="0" w:afterLines="-2147483648" w:line="560" w:lineRule="exact"/>
        <w:ind w:leftChars="201" w:firstLine="281" w:firstLineChars="100"/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</w:pP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Hans"/>
        </w:rPr>
        <w:t>十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仿宋" w:hAnsi="华文楷体" w:eastAsia="仿宋" w:cs="Times New Roman"/>
          <w:bCs w:val="0"/>
          <w:sz w:val="28"/>
          <w:szCs w:val="28"/>
          <w:highlight w:val="none"/>
        </w:rPr>
        <w:t>、其他重要事项的情况说明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（一）</w:t>
      </w: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事业单位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运行经费财政拨款预算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22.13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万元，比上年预算增加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 xml:space="preserve">0.51 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万元，增长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2.36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 %。主要原因是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本年增加工会经费预算。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                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（二）政府采购情况</w:t>
      </w:r>
    </w:p>
    <w:p>
      <w:pPr>
        <w:widowControl/>
        <w:spacing w:line="560" w:lineRule="exact"/>
        <w:ind w:firstLine="64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年，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政府采购预算 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 万元，其中：政府采购货物预算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20.94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万元，政府采购工程预算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万元，政府采购服务预算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35.12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202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年，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面向中小企业预留政府采购项目预算金额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万元，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小微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企业预留政府采购项目预算金额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56.06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（三）国有资产占用使用情况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截至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2024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年底，</w:t>
      </w:r>
      <w:r>
        <w:rPr>
          <w:rFonts w:hint="default" w:ascii="仿宋" w:hAnsi="微软雅黑" w:eastAsia="仿宋" w:cs="Times New Roman"/>
          <w:sz w:val="28"/>
          <w:szCs w:val="28"/>
          <w:highlight w:val="none"/>
          <w:lang w:val="en-US" w:eastAsia="zh-CN"/>
        </w:rPr>
        <w:t>中国共产党呼图壁县委员会党校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占用使用国有资产总体情况为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eastAsia="zh-CN"/>
        </w:rPr>
        <w:t>：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1.房屋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6314.97平方米，价值1779.02万元。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2.车辆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14.48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万元；其中：一般公务用车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 xml:space="preserve">辆，价值 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万元；执法执勤用车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万元；其他车辆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辆，价值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14.48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3.办公家具价值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65.28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4.其他资产价值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811.82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万元。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单位价值50万元以上大型设备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台，单位价值100万元以上大型设备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sz w:val="28"/>
          <w:szCs w:val="28"/>
          <w:highlight w:val="none"/>
        </w:rPr>
        <w:t>台。</w:t>
      </w:r>
    </w:p>
    <w:p>
      <w:pPr>
        <w:widowControl/>
        <w:spacing w:line="560" w:lineRule="exact"/>
        <w:ind w:firstLine="560" w:firstLineChars="200"/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  <w:lang w:eastAsia="zh-CN"/>
        </w:rPr>
        <w:t>202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微软雅黑" w:eastAsia="仿宋" w:cs="Times New Roman"/>
          <w:sz w:val="28"/>
          <w:szCs w:val="28"/>
          <w:highlight w:val="none"/>
          <w:lang w:val="en-US" w:eastAsia="zh-CN"/>
        </w:rPr>
        <w:t>部门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</w:rPr>
        <w:t>预算未安排购置车辆经费，安排购置50万元以上大型设备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</w:rPr>
        <w:t xml:space="preserve">台，单位价值100万元以上大型设备 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仿宋" w:hAnsi="微软雅黑" w:eastAsia="仿宋" w:cs="Times New Roman"/>
          <w:color w:val="auto"/>
          <w:sz w:val="28"/>
          <w:szCs w:val="28"/>
          <w:highlight w:val="none"/>
        </w:rPr>
        <w:t>台。</w:t>
      </w: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  <w:lang w:eastAsia="zh-CN"/>
        </w:rPr>
        <w:t>（四）</w:t>
      </w: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预算绩效情况</w:t>
      </w:r>
    </w:p>
    <w:p>
      <w:pPr>
        <w:pStyle w:val="12"/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  <w:t>025年，本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/>
        </w:rPr>
        <w:t>部门预算绩效管理整体预算绩效目标1个，涉及金额457.51万元；当年预算安排项目共1个，其中: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Hans"/>
        </w:rPr>
        <w:t>财政拨款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/>
        </w:rPr>
        <w:t>项目涉及预算金额20万元；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Hans"/>
        </w:rPr>
        <w:t>非财政拨款项目</w:t>
      </w:r>
      <w:r>
        <w:rPr>
          <w:rFonts w:hint="eastAsia" w:ascii="仿宋" w:hAnsi="微软雅黑" w:eastAsia="仿宋" w:cs="Times New Roman"/>
          <w:kern w:val="2"/>
          <w:sz w:val="28"/>
          <w:szCs w:val="28"/>
          <w:highlight w:val="none"/>
          <w:lang w:val="en-US" w:eastAsia="zh-CN"/>
        </w:rPr>
        <w:t>涉及预算金额0万元。具体情况见下表：</w:t>
      </w: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pStyle w:val="12"/>
        <w:rPr>
          <w:rFonts w:hint="eastAsia" w:ascii="仿宋" w:hAnsi="微软雅黑" w:eastAsia="仿宋" w:cs="Times New Roman"/>
          <w:color w:val="auto"/>
          <w:kern w:val="2"/>
          <w:sz w:val="28"/>
          <w:szCs w:val="28"/>
          <w:highlight w:val="none"/>
          <w:lang w:val="en-US" w:eastAsia="zh-CN"/>
        </w:rPr>
      </w:pPr>
    </w:p>
    <w:tbl>
      <w:tblPr>
        <w:tblStyle w:val="13"/>
        <w:tblW w:w="806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750"/>
        <w:gridCol w:w="1125"/>
        <w:gridCol w:w="1290"/>
        <w:gridCol w:w="1035"/>
        <w:gridCol w:w="1627"/>
        <w:gridCol w:w="758"/>
        <w:gridCol w:w="6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Calibri" w:eastAsia="仿宋" w:cs="Times New Roman"/>
                <w:b/>
                <w:sz w:val="28"/>
                <w:szCs w:val="28"/>
                <w:highlight w:val="none"/>
                <w:lang w:val="en-US" w:eastAsia="zh-CN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0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highlight w:val="none"/>
                <w:lang w:val="en-US" w:eastAsia="zh-CN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部门名称</w:t>
            </w:r>
          </w:p>
        </w:tc>
        <w:tc>
          <w:tcPr>
            <w:tcW w:w="64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中国共产党呼图壁县委员会党校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部门联系人</w:t>
            </w: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韩霞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联系电话</w:t>
            </w:r>
          </w:p>
        </w:tc>
        <w:tc>
          <w:tcPr>
            <w:tcW w:w="3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15299668111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5" w:hRule="atLeast"/>
        </w:trPr>
        <w:tc>
          <w:tcPr>
            <w:tcW w:w="40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年度绩效目标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color w:val="000000"/>
                <w:sz w:val="18"/>
                <w:szCs w:val="18"/>
                <w:highlight w:val="none"/>
                <w:lang w:val="en-US" w:eastAsia="zh-CN"/>
              </w:rPr>
              <w:t>通过有计划地轮训、培训科级干部、中青年党员干部，有计划地轮训、培训村级干部、党外干部以及党员中级知识分子、理论宣传骨干等，围绕县委、县政府的中心任务，对重大理论和现实问题开展专题研究，提高教学质量，打造精品课，提高科级干部业务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年度预算（万元）</w:t>
            </w:r>
          </w:p>
        </w:tc>
        <w:tc>
          <w:tcPr>
            <w:tcW w:w="64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财政资金（万元）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上级资金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本级资金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277.51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其他资金（万元）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其他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61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合计：</w:t>
            </w:r>
          </w:p>
        </w:tc>
        <w:tc>
          <w:tcPr>
            <w:tcW w:w="40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457.51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一级指标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二级指标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三级指标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指标值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指标值设定依据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运行成本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管理效率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履职效能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举办各类培训班期数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&gt;=50期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开展党的各项政策制度宣讲次数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&gt;=50次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完成调研课题篇数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&gt;=3篇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打造精品课数量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&gt;=2节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质量指标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干部培训合格率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&gt;=90%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时效指标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培训开展及时率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&gt;=90%</w:t>
            </w: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2025年度工作计划及《2024年呼图壁县考核指标》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社会效益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可持续发展能力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年度绩效指标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服务对象满意度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3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</w:tbl>
    <w:tbl>
      <w:tblPr>
        <w:tblStyle w:val="13"/>
        <w:tblpPr w:leftFromText="180" w:rightFromText="180" w:vertAnchor="text" w:horzAnchor="page" w:tblpX="1042" w:tblpY="424"/>
        <w:tblOverlap w:val="never"/>
        <w:tblW w:w="97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" w:hAnsi="Calibri" w:eastAsia="仿宋" w:cs="Times New Roman"/>
                <w:b/>
                <w:sz w:val="28"/>
                <w:szCs w:val="28"/>
                <w:highlight w:val="none"/>
                <w:lang w:val="en-US" w:eastAsia="zh-CN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Calibri" w:eastAsia="仿宋" w:cs="Times New Roman"/>
                <w:sz w:val="18"/>
                <w:szCs w:val="18"/>
                <w:highlight w:val="none"/>
                <w:lang w:val="en-US" w:eastAsia="zh-CN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预算单位</w:t>
            </w:r>
          </w:p>
        </w:tc>
        <w:tc>
          <w:tcPr>
            <w:tcW w:w="75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中国共产党呼图壁县委员会党校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党校运转项目（2025年非定额）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项目负责人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杨天智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其他资金：</w:t>
            </w:r>
          </w:p>
        </w:tc>
        <w:tc>
          <w:tcPr>
            <w:tcW w:w="21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146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本项目拟投入20万元用于党校公用经费运转，目标在于为党校教学、科研、管理等各方面工作提供有力支撑，促进党校整体发展，经费投入用于购置先进教学设备，如多媒体互动教学系统，提升课堂的互动性与直观性；支持开发精品课程，邀请行业专家参与课程设计，使教学内容更贴合实际工作需求，从而提高学员学习效果与满意度，推动党校教育教学迈向更高水平。 利用资金组织科研人员开展实地调研，获取一手资料，为科研成果增添实践依据；鼓励教师参加学术交流活动，拓宽学术视野，引进前沿理论，促进科研成果转化为推动地方发展的决策建议，完善党校从理论研究到成果应用的科研体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指标赋分规则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sz w:val="18"/>
                <w:szCs w:val="18"/>
                <w:highlight w:val="none"/>
                <w:lang w:val="en-US" w:eastAsia="zh-CN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产出指标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发展对象培训班次数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&gt;=3次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村两委及后备力量培训班次数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农牧民党员培训班次数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=4次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培训合格率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完成教学任务及时率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电费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&lt;=4.2万元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=4.2万元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水费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&lt;=4.80万元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=7万元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办公费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设备购置费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&lt;=3.50万元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=3.5万元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资料印刷费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&lt;=1.30万元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=1.3万元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差旅费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&lt;=3.20万元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=3.2万元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按照完成比例赋分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提高基层干部政治素养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有效提高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按评判等级赋分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受训学员满意度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满意度赋分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highlight w:val="none"/>
                <w:lang w:val="en-US" w:eastAsia="zh-CN"/>
              </w:rPr>
              <w:t>工作资料</w:t>
            </w:r>
          </w:p>
        </w:tc>
      </w:tr>
    </w:tbl>
    <w:p>
      <w:pPr>
        <w:pStyle w:val="12"/>
        <w:numPr>
          <w:ilvl w:val="0"/>
          <w:numId w:val="0"/>
        </w:numPr>
        <w:ind w:leftChars="400"/>
        <w:rPr>
          <w:rFonts w:hint="default"/>
          <w:highlight w:val="none"/>
          <w:lang w:val="en-US" w:eastAsia="zh-CN"/>
        </w:rPr>
      </w:pPr>
    </w:p>
    <w:p>
      <w:pPr>
        <w:pStyle w:val="4"/>
        <w:numPr>
          <w:ilvl w:val="0"/>
          <w:numId w:val="0"/>
        </w:numPr>
        <w:spacing w:before="0" w:beforeLines="-2147483648" w:after="0" w:afterLines="-2147483648" w:line="560" w:lineRule="exact"/>
        <w:ind w:leftChars="201"/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</w:pP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  <w:lang w:eastAsia="zh-CN"/>
        </w:rPr>
        <w:t>（五）</w:t>
      </w:r>
      <w:r>
        <w:rPr>
          <w:rFonts w:hint="eastAsia" w:ascii="楷体" w:hAnsi="Times New Roman" w:eastAsia="楷体" w:cs="Times New Roman"/>
          <w:bCs w:val="0"/>
          <w:sz w:val="28"/>
          <w:szCs w:val="28"/>
          <w:highlight w:val="none"/>
        </w:rPr>
        <w:t>其他需说明的事项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default" w:ascii="楷体" w:hAnsi="Times New Roman" w:eastAsia="楷体" w:cs="Times New Roman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楷体" w:hAnsi="Times New Roman" w:eastAsia="楷体" w:cs="Times New Roman"/>
          <w:b/>
          <w:bCs w:val="0"/>
          <w:kern w:val="2"/>
          <w:sz w:val="28"/>
          <w:szCs w:val="28"/>
          <w:highlight w:val="none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02" w:firstLineChars="200"/>
        <w:jc w:val="both"/>
        <w:textAlignment w:val="auto"/>
        <w:outlineLvl w:val="9"/>
        <w:rPr>
          <w:rFonts w:hint="eastAsia" w:ascii="黑体" w:hAnsi="Times New Roman" w:eastAsia="黑体" w:cs="Times New Roman"/>
          <w:b/>
          <w:kern w:val="44"/>
          <w:sz w:val="30"/>
          <w:szCs w:val="3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一、财政拨款：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二、一般公共预算：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三、财政专户管理资金：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四、其他资金：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562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五、基本支出：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包括人员经费、公用经费（定额）。其中，人员经费包括工资福利支出、对个人和家庭的补助。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六、项目支出：</w:t>
      </w:r>
      <w:r>
        <w:rPr>
          <w:rFonts w:hint="eastAsia" w:ascii="仿宋" w:hAnsi="CIDFont+F6" w:eastAsia="仿宋"/>
          <w:color w:val="000000"/>
          <w:sz w:val="28"/>
          <w:szCs w:val="28"/>
          <w:highlight w:val="none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spacing w:line="560" w:lineRule="exact"/>
        <w:ind w:firstLine="562" w:firstLineChars="200"/>
        <w:rPr>
          <w:rFonts w:hint="eastAsia" w:ascii="仿宋" w:hAnsi="CIDFont+F6" w:eastAsia="仿宋"/>
          <w:color w:val="000000"/>
          <w:sz w:val="28"/>
          <w:szCs w:val="28"/>
          <w:highlight w:val="none"/>
        </w:rPr>
      </w:pPr>
      <w:r>
        <w:rPr>
          <w:rFonts w:hint="eastAsia" w:ascii="仿宋" w:hAnsi="CIDFont+F4" w:eastAsia="仿宋" w:cs="Times New Roman"/>
          <w:b/>
          <w:color w:val="000000"/>
          <w:sz w:val="28"/>
          <w:szCs w:val="28"/>
          <w:highlight w:val="none"/>
        </w:rPr>
        <w:t>八、机关运行经费：</w:t>
      </w:r>
      <w:r>
        <w:rPr>
          <w:rFonts w:hint="eastAsia" w:ascii="仿宋" w:hAnsi="CIDFont+F6" w:eastAsia="仿宋"/>
          <w:color w:val="000000"/>
          <w:sz w:val="28"/>
          <w:szCs w:val="28"/>
          <w:highlight w:val="none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spacing w:line="560" w:lineRule="exact"/>
        <w:jc w:val="right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           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default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>中国共产党呼图壁县委员会党校</w:t>
      </w:r>
    </w:p>
    <w:p>
      <w:pPr>
        <w:spacing w:line="560" w:lineRule="exact"/>
        <w:jc w:val="center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 xml:space="preserve">                              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202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年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月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  <w:t>日</w:t>
      </w:r>
    </w:p>
    <w:p>
      <w:pPr>
        <w:spacing w:line="560" w:lineRule="exact"/>
        <w:jc w:val="right"/>
        <w:rPr>
          <w:rFonts w:hint="eastAsia" w:ascii="仿宋" w:hAnsi="CIDFont+F6" w:eastAsia="仿宋" w:cs="Times New Roman"/>
          <w:color w:val="000000"/>
          <w:sz w:val="28"/>
          <w:szCs w:val="28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hAnsi="宋体" w:eastAsia="宋体"/>
        <w:sz w:val="28"/>
        <w:szCs w:val="28"/>
      </w:rPr>
    </w:pPr>
  </w:p>
  <w:p>
    <w:pPr>
      <w:pStyle w:val="8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0MzUyYjliNjc2YThmNzBmYTk1NmFjMWZhNWFmMzkifQ=="/>
  </w:docVars>
  <w:rsids>
    <w:rsidRoot w:val="00172A27"/>
    <w:rsid w:val="006E5E11"/>
    <w:rsid w:val="00EE2224"/>
    <w:rsid w:val="019339D8"/>
    <w:rsid w:val="023F2212"/>
    <w:rsid w:val="02DD46C0"/>
    <w:rsid w:val="04267B2D"/>
    <w:rsid w:val="05397FD9"/>
    <w:rsid w:val="05446D9B"/>
    <w:rsid w:val="05EE121A"/>
    <w:rsid w:val="06337B2F"/>
    <w:rsid w:val="070E6657"/>
    <w:rsid w:val="07B1634D"/>
    <w:rsid w:val="08450B28"/>
    <w:rsid w:val="08B80D5B"/>
    <w:rsid w:val="09475E50"/>
    <w:rsid w:val="09642450"/>
    <w:rsid w:val="0AA429B1"/>
    <w:rsid w:val="0B0F12C0"/>
    <w:rsid w:val="0B21558C"/>
    <w:rsid w:val="0B247F12"/>
    <w:rsid w:val="0B3C3274"/>
    <w:rsid w:val="0B64068B"/>
    <w:rsid w:val="0C301D22"/>
    <w:rsid w:val="0D6E5FD0"/>
    <w:rsid w:val="0DCE1639"/>
    <w:rsid w:val="0DF256B2"/>
    <w:rsid w:val="0E9208E7"/>
    <w:rsid w:val="0EA134C5"/>
    <w:rsid w:val="0F8643DD"/>
    <w:rsid w:val="101777F7"/>
    <w:rsid w:val="10587512"/>
    <w:rsid w:val="10916BDA"/>
    <w:rsid w:val="113F5A17"/>
    <w:rsid w:val="1160520B"/>
    <w:rsid w:val="125377E5"/>
    <w:rsid w:val="13E97311"/>
    <w:rsid w:val="14514369"/>
    <w:rsid w:val="154A7DBB"/>
    <w:rsid w:val="15BB0FE4"/>
    <w:rsid w:val="1697741D"/>
    <w:rsid w:val="1732414C"/>
    <w:rsid w:val="17D72698"/>
    <w:rsid w:val="1809160E"/>
    <w:rsid w:val="18827688"/>
    <w:rsid w:val="19BF682E"/>
    <w:rsid w:val="1A7F31EF"/>
    <w:rsid w:val="1B3F10C4"/>
    <w:rsid w:val="1BEB54C3"/>
    <w:rsid w:val="1C166281"/>
    <w:rsid w:val="1C3C6084"/>
    <w:rsid w:val="1C7407C8"/>
    <w:rsid w:val="1CEB6DC6"/>
    <w:rsid w:val="1D1B6922"/>
    <w:rsid w:val="1D3E1AFE"/>
    <w:rsid w:val="1DA357D1"/>
    <w:rsid w:val="1EB61656"/>
    <w:rsid w:val="1FB94E23"/>
    <w:rsid w:val="20DD55C0"/>
    <w:rsid w:val="223851D8"/>
    <w:rsid w:val="22746658"/>
    <w:rsid w:val="22AA21B5"/>
    <w:rsid w:val="22DB78DD"/>
    <w:rsid w:val="22E72286"/>
    <w:rsid w:val="244D65B8"/>
    <w:rsid w:val="2492221D"/>
    <w:rsid w:val="25BE1357"/>
    <w:rsid w:val="26B4291F"/>
    <w:rsid w:val="26E769FA"/>
    <w:rsid w:val="26FC391B"/>
    <w:rsid w:val="275E50B7"/>
    <w:rsid w:val="27BF3329"/>
    <w:rsid w:val="28AF339E"/>
    <w:rsid w:val="28F76B15"/>
    <w:rsid w:val="293B2E83"/>
    <w:rsid w:val="2A012DF7"/>
    <w:rsid w:val="2A5266D7"/>
    <w:rsid w:val="2AFC4894"/>
    <w:rsid w:val="2B247B31"/>
    <w:rsid w:val="2B297614"/>
    <w:rsid w:val="2C8F2636"/>
    <w:rsid w:val="2D3C4051"/>
    <w:rsid w:val="2D480265"/>
    <w:rsid w:val="2D7832BF"/>
    <w:rsid w:val="2D977453"/>
    <w:rsid w:val="2E4763E0"/>
    <w:rsid w:val="2EE32C2C"/>
    <w:rsid w:val="2EF22236"/>
    <w:rsid w:val="31166AF7"/>
    <w:rsid w:val="31C07501"/>
    <w:rsid w:val="322C1C7D"/>
    <w:rsid w:val="326625DA"/>
    <w:rsid w:val="342D7D59"/>
    <w:rsid w:val="34EA0642"/>
    <w:rsid w:val="35731BF7"/>
    <w:rsid w:val="35C661CB"/>
    <w:rsid w:val="3647637F"/>
    <w:rsid w:val="36A4650C"/>
    <w:rsid w:val="37D029D3"/>
    <w:rsid w:val="395623CA"/>
    <w:rsid w:val="3B422645"/>
    <w:rsid w:val="3B5114CF"/>
    <w:rsid w:val="3BF20A98"/>
    <w:rsid w:val="3C7F25E7"/>
    <w:rsid w:val="3C893ABF"/>
    <w:rsid w:val="3D0C34EB"/>
    <w:rsid w:val="3E424470"/>
    <w:rsid w:val="3F8662E3"/>
    <w:rsid w:val="3FCC4BEF"/>
    <w:rsid w:val="3FDF4D23"/>
    <w:rsid w:val="417A7015"/>
    <w:rsid w:val="420E5181"/>
    <w:rsid w:val="43C26223"/>
    <w:rsid w:val="43D8307E"/>
    <w:rsid w:val="43F34CA6"/>
    <w:rsid w:val="44041AD9"/>
    <w:rsid w:val="45216F7A"/>
    <w:rsid w:val="46CE3131"/>
    <w:rsid w:val="46EB4594"/>
    <w:rsid w:val="47781418"/>
    <w:rsid w:val="494F7907"/>
    <w:rsid w:val="4A0B4366"/>
    <w:rsid w:val="4C0055E5"/>
    <w:rsid w:val="4C3677AE"/>
    <w:rsid w:val="4C706B3A"/>
    <w:rsid w:val="4D5133CD"/>
    <w:rsid w:val="4DC80728"/>
    <w:rsid w:val="4E342112"/>
    <w:rsid w:val="4E607164"/>
    <w:rsid w:val="4ED46669"/>
    <w:rsid w:val="4ED62293"/>
    <w:rsid w:val="4F103ADB"/>
    <w:rsid w:val="4F6E725F"/>
    <w:rsid w:val="4F9367E1"/>
    <w:rsid w:val="519A3754"/>
    <w:rsid w:val="51C15CED"/>
    <w:rsid w:val="52285DEB"/>
    <w:rsid w:val="52AD62F0"/>
    <w:rsid w:val="53336B02"/>
    <w:rsid w:val="53644A57"/>
    <w:rsid w:val="53A23F6C"/>
    <w:rsid w:val="53F561A1"/>
    <w:rsid w:val="546308FE"/>
    <w:rsid w:val="55434975"/>
    <w:rsid w:val="55714D0B"/>
    <w:rsid w:val="567010FA"/>
    <w:rsid w:val="57404D35"/>
    <w:rsid w:val="575133D1"/>
    <w:rsid w:val="580A0140"/>
    <w:rsid w:val="58A5671E"/>
    <w:rsid w:val="59B629A8"/>
    <w:rsid w:val="5A3D43FE"/>
    <w:rsid w:val="5AB80E53"/>
    <w:rsid w:val="5B0A6FF0"/>
    <w:rsid w:val="5C060665"/>
    <w:rsid w:val="5C11169E"/>
    <w:rsid w:val="5F2346ED"/>
    <w:rsid w:val="61086613"/>
    <w:rsid w:val="614E22C8"/>
    <w:rsid w:val="624117DE"/>
    <w:rsid w:val="625F6C12"/>
    <w:rsid w:val="63C92C54"/>
    <w:rsid w:val="6408782B"/>
    <w:rsid w:val="65322CBF"/>
    <w:rsid w:val="65BA7FAF"/>
    <w:rsid w:val="662D58EB"/>
    <w:rsid w:val="668F01EC"/>
    <w:rsid w:val="66D31C36"/>
    <w:rsid w:val="675E1724"/>
    <w:rsid w:val="680F305B"/>
    <w:rsid w:val="68CC52CB"/>
    <w:rsid w:val="68DE4FFE"/>
    <w:rsid w:val="694B58D7"/>
    <w:rsid w:val="69986048"/>
    <w:rsid w:val="69A46557"/>
    <w:rsid w:val="69CE4E15"/>
    <w:rsid w:val="6A813E93"/>
    <w:rsid w:val="6AFE2B48"/>
    <w:rsid w:val="6B044F08"/>
    <w:rsid w:val="6B7F3246"/>
    <w:rsid w:val="6BAD125E"/>
    <w:rsid w:val="6CBE2F94"/>
    <w:rsid w:val="6D65310D"/>
    <w:rsid w:val="6D7512A2"/>
    <w:rsid w:val="6DA0412F"/>
    <w:rsid w:val="6E6246A6"/>
    <w:rsid w:val="6EA17B51"/>
    <w:rsid w:val="6EC46394"/>
    <w:rsid w:val="6EF07839"/>
    <w:rsid w:val="6F2C7EF4"/>
    <w:rsid w:val="6F360355"/>
    <w:rsid w:val="6F63000B"/>
    <w:rsid w:val="704035AC"/>
    <w:rsid w:val="70490334"/>
    <w:rsid w:val="71515B68"/>
    <w:rsid w:val="72677E12"/>
    <w:rsid w:val="72B56DCF"/>
    <w:rsid w:val="72C7313A"/>
    <w:rsid w:val="73F73765"/>
    <w:rsid w:val="742739B5"/>
    <w:rsid w:val="74620891"/>
    <w:rsid w:val="759B2B5A"/>
    <w:rsid w:val="75AD611A"/>
    <w:rsid w:val="75B570E6"/>
    <w:rsid w:val="760623C6"/>
    <w:rsid w:val="76C75323"/>
    <w:rsid w:val="77502BF7"/>
    <w:rsid w:val="778E7BEF"/>
    <w:rsid w:val="780A1873"/>
    <w:rsid w:val="787D11B8"/>
    <w:rsid w:val="78F113A8"/>
    <w:rsid w:val="792C5912"/>
    <w:rsid w:val="79985233"/>
    <w:rsid w:val="7A5C7993"/>
    <w:rsid w:val="7ADF3128"/>
    <w:rsid w:val="7BC83BA6"/>
    <w:rsid w:val="7DE9584E"/>
    <w:rsid w:val="7E38419B"/>
    <w:rsid w:val="7E8B30DA"/>
    <w:rsid w:val="7F207AA0"/>
    <w:rsid w:val="7F9A0ED4"/>
    <w:rsid w:val="7FFB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6"/>
    <w:qFormat/>
    <w:uiPriority w:val="0"/>
    <w:pPr>
      <w:ind w:firstLine="420" w:firstLineChars="100"/>
    </w:pPr>
  </w:style>
  <w:style w:type="paragraph" w:styleId="12">
    <w:name w:val="Body Text First Indent 2"/>
    <w:basedOn w:val="7"/>
    <w:qFormat/>
    <w:uiPriority w:val="0"/>
    <w:pPr>
      <w:ind w:firstLine="420" w:firstLineChars="200"/>
    </w:pPr>
    <w:rPr>
      <w:rFonts w:ascii="Calibri" w:hAnsi="Calibri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font11"/>
    <w:basedOn w:val="1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51"/>
    <w:basedOn w:val="1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paragraph" w:customStyle="1" w:styleId="1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1434</Words>
  <Characters>1577</Characters>
  <Lines>1</Lines>
  <Paragraphs>1</Paragraphs>
  <TotalTime>1</TotalTime>
  <ScaleCrop>false</ScaleCrop>
  <LinksUpToDate>false</LinksUpToDate>
  <CharactersWithSpaces>1697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dcterms:modified xsi:type="dcterms:W3CDTF">2025-10-29T12:41:17Z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78DF470888054EC89C863BF89B5B0AB9_13</vt:lpwstr>
  </property>
  <property fmtid="{D5CDD505-2E9C-101B-9397-08002B2CF9AE}" pid="4" name="KSOTemplateDocerSaveRecord">
    <vt:lpwstr>eyJoZGlkIjoiN2EyMTIxNTJlMjY2NjM5NjdjYmYwZjVhYjA4ZGEwODEiLCJ1c2VySWQiOiI0MjYzNjAxNTMifQ==</vt:lpwstr>
  </property>
</Properties>
</file>