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bookmarkStart w:id="1" w:name="_GoBack"/>
    </w:p>
    <w:p>
      <w:pPr>
        <w:pStyle w:val="7"/>
        <w:rPr>
          <w:rFonts w:hint="default"/>
          <w:highlight w:val="none"/>
        </w:rPr>
      </w:pPr>
    </w:p>
    <w:p>
      <w:pPr>
        <w:widowControl/>
        <w:shd w:val="clear"/>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kern w:val="0"/>
          <w:sz w:val="44"/>
          <w:szCs w:val="44"/>
          <w:highlight w:val="none"/>
        </w:rPr>
      </w:pPr>
      <w:r>
        <w:rPr>
          <w:rFonts w:hint="eastAsia" w:ascii="方正小标宋_GBK" w:hAnsi="宋体" w:eastAsia="方正小标宋_GBK"/>
          <w:kern w:val="0"/>
          <w:sz w:val="44"/>
          <w:szCs w:val="44"/>
          <w:highlight w:val="none"/>
          <w:lang w:val="en-US" w:eastAsia="zh-CN"/>
        </w:rPr>
        <w:t>中国人民解放军新疆维吾尔自治区</w:t>
      </w:r>
      <w:r>
        <w:rPr>
          <w:rFonts w:hint="eastAsia" w:ascii="方正小标宋_GBK" w:hAnsi="宋体" w:eastAsia="方正小标宋_GBK"/>
          <w:kern w:val="0"/>
          <w:sz w:val="44"/>
          <w:szCs w:val="44"/>
          <w:highlight w:val="none"/>
        </w:rPr>
        <w:t>呼图壁县人民武装部</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kern w:val="0"/>
          <w:sz w:val="44"/>
          <w:szCs w:val="44"/>
          <w:highlight w:val="none"/>
          <w:lang w:val="en-US" w:eastAsia="zh-CN"/>
        </w:rPr>
        <w:t>2025年部门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b/>
          <w:color w:val="auto"/>
          <w:kern w:val="0"/>
          <w:sz w:val="32"/>
          <w:szCs w:val="32"/>
          <w:highlight w:val="none"/>
        </w:rPr>
        <w:t>中国人民解放军新疆维吾尔自治区呼图壁县人民武装部</w:t>
      </w:r>
      <w:r>
        <w:rPr>
          <w:rFonts w:hint="eastAsia" w:ascii="仿宋_GB2312" w:hAnsi="仿宋_GB2312" w:eastAsia="仿宋_GB2312" w:cs="仿宋_GB2312"/>
          <w:b/>
          <w:color w:val="auto"/>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b/>
          <w:color w:val="auto"/>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b/>
          <w:color w:val="auto"/>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w:t>
      </w:r>
      <w:r>
        <w:rPr>
          <w:rFonts w:hint="eastAsia" w:ascii="黑体" w:hAnsi="黑体" w:eastAsia="黑体"/>
          <w:color w:val="auto"/>
          <w:kern w:val="0"/>
          <w:sz w:val="32"/>
          <w:szCs w:val="32"/>
          <w:highlight w:val="none"/>
          <w:lang w:val="en-US" w:eastAsia="zh-CN"/>
        </w:rPr>
        <w:t>5</w:t>
      </w:r>
      <w:r>
        <w:rPr>
          <w:rFonts w:hint="eastAsia" w:ascii="黑体" w:hAnsi="黑体" w:eastAsia="黑体"/>
          <w:color w:val="auto"/>
          <w:kern w:val="0"/>
          <w:sz w:val="32"/>
          <w:szCs w:val="32"/>
          <w:highlight w:val="none"/>
          <w:lang w:eastAsia="zh-CN"/>
        </w:rPr>
        <w:t>年</w:t>
      </w:r>
      <w:r>
        <w:rPr>
          <w:rFonts w:hint="eastAsia" w:ascii="黑体" w:hAnsi="黑体" w:eastAsia="黑体"/>
          <w:color w:val="auto"/>
          <w:kern w:val="0"/>
          <w:sz w:val="32"/>
          <w:szCs w:val="32"/>
          <w:highlight w:val="none"/>
        </w:rPr>
        <w:t>中国人民解放军新疆维吾尔自治区呼图壁县人民武装部</w:t>
      </w:r>
      <w:r>
        <w:rPr>
          <w:rFonts w:hint="eastAsia" w:ascii="黑体" w:hAnsi="黑体" w:eastAsia="黑体"/>
          <w:color w:val="auto"/>
          <w:kern w:val="0"/>
          <w:sz w:val="32"/>
          <w:szCs w:val="32"/>
          <w:highlight w:val="none"/>
          <w:lang w:val="en-US"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snapToGrid w:val="0"/>
        <w:spacing w:line="660" w:lineRule="exact"/>
        <w:ind w:firstLine="616" w:firstLineChars="200"/>
        <w:rPr>
          <w:rFonts w:ascii="仿宋_GB2312" w:hAnsi="宋体" w:eastAsia="仿宋_GB2312" w:cs="宋体"/>
          <w:bCs/>
          <w:color w:val="auto"/>
          <w:kern w:val="0"/>
          <w:sz w:val="32"/>
          <w:szCs w:val="32"/>
          <w:highlight w:val="none"/>
        </w:rPr>
      </w:pPr>
      <w:r>
        <w:rPr>
          <w:rFonts w:hint="eastAsia" w:ascii="仿宋_GB2312" w:hAnsi="仿宋_GB2312" w:eastAsia="仿宋_GB2312" w:cs="仿宋_GB2312"/>
          <w:color w:val="auto"/>
          <w:spacing w:val="-6"/>
          <w:kern w:val="0"/>
          <w:sz w:val="32"/>
          <w:szCs w:val="32"/>
          <w:highlight w:val="none"/>
        </w:rPr>
        <w:t>中国人民解放军新疆维吾尔自治区呼图壁县人民武装部</w:t>
      </w:r>
      <w:r>
        <w:rPr>
          <w:rFonts w:hint="eastAsia" w:ascii="仿宋_GB2312" w:hAnsi="仿宋" w:eastAsia="仿宋_GB2312"/>
          <w:sz w:val="32"/>
          <w:szCs w:val="32"/>
          <w:highlight w:val="none"/>
        </w:rPr>
        <w:t>是昌吉军分区和县政府双重领导的国防动员军事</w:t>
      </w:r>
      <w:r>
        <w:rPr>
          <w:rFonts w:hint="eastAsia" w:ascii="仿宋_GB2312" w:hAnsi="仿宋" w:eastAsia="仿宋_GB2312"/>
          <w:sz w:val="32"/>
          <w:szCs w:val="32"/>
          <w:highlight w:val="none"/>
          <w:lang w:eastAsia="zh-CN"/>
        </w:rPr>
        <w:t>单位</w:t>
      </w:r>
      <w:r>
        <w:rPr>
          <w:rFonts w:hint="eastAsia" w:ascii="仿宋_GB2312" w:hAnsi="仿宋" w:eastAsia="仿宋_GB2312"/>
          <w:sz w:val="32"/>
          <w:szCs w:val="32"/>
          <w:highlight w:val="none"/>
        </w:rPr>
        <w:t>，人民武装部全年主要开展是组织民兵训练工作、专武干部培训，军事训练工作、组织民兵参加维稳</w:t>
      </w:r>
      <w:r>
        <w:rPr>
          <w:rFonts w:hint="eastAsia" w:ascii="仿宋_GB2312" w:hAnsi="仿宋" w:eastAsia="仿宋_GB2312"/>
          <w:sz w:val="32"/>
          <w:szCs w:val="32"/>
          <w:highlight w:val="none"/>
          <w:lang w:eastAsia="zh-CN"/>
        </w:rPr>
        <w:t>执勤</w:t>
      </w:r>
      <w:r>
        <w:rPr>
          <w:rFonts w:hint="eastAsia" w:ascii="仿宋_GB2312" w:hAnsi="仿宋" w:eastAsia="仿宋_GB2312"/>
          <w:sz w:val="32"/>
          <w:szCs w:val="32"/>
          <w:highlight w:val="none"/>
        </w:rPr>
        <w:t>工作、地方扶贫帮困工作、抢险救灾工作、征兵工作、国防动员教育、地方经济建设等工作。</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snapToGrid w:val="0"/>
        <w:spacing w:line="660" w:lineRule="exact"/>
        <w:ind w:firstLine="616" w:firstLineChars="200"/>
        <w:rPr>
          <w:rFonts w:hint="eastAsia" w:ascii="仿宋_GB2312" w:hAnsi="仿宋" w:eastAsia="仿宋_GB2312"/>
          <w:sz w:val="32"/>
          <w:szCs w:val="32"/>
          <w:highlight w:val="none"/>
          <w:lang w:eastAsia="zh-CN"/>
        </w:rPr>
      </w:pPr>
      <w:r>
        <w:rPr>
          <w:rFonts w:hint="eastAsia" w:ascii="仿宋_GB2312" w:hAnsi="仿宋_GB2312" w:eastAsia="仿宋_GB2312" w:cs="仿宋_GB2312"/>
          <w:color w:val="auto"/>
          <w:spacing w:val="-6"/>
          <w:kern w:val="0"/>
          <w:sz w:val="32"/>
          <w:szCs w:val="32"/>
          <w:highlight w:val="none"/>
        </w:rPr>
        <w:t>中国人民解放军新疆维吾尔自治区呼图壁县人民武装部</w:t>
      </w:r>
      <w:r>
        <w:rPr>
          <w:rFonts w:hint="eastAsia" w:ascii="仿宋_GB2312" w:hAnsi="黑体" w:eastAsia="仿宋_GB2312" w:cs="宋体"/>
          <w:bCs/>
          <w:color w:val="auto"/>
          <w:kern w:val="0"/>
          <w:sz w:val="32"/>
          <w:szCs w:val="32"/>
          <w:highlight w:val="none"/>
        </w:rPr>
        <w:t>无下属预算单位</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kern w:val="0"/>
          <w:sz w:val="32"/>
          <w:szCs w:val="32"/>
          <w:highlight w:val="none"/>
        </w:rPr>
        <w:t>下设</w:t>
      </w:r>
      <w:r>
        <w:rPr>
          <w:rFonts w:hint="eastAsia" w:ascii="仿宋_GB2312" w:hAnsi="黑体" w:eastAsia="仿宋_GB2312" w:cs="宋体"/>
          <w:bCs/>
          <w:kern w:val="0"/>
          <w:sz w:val="32"/>
          <w:szCs w:val="32"/>
          <w:highlight w:val="none"/>
          <w:lang w:val="en-US" w:eastAsia="zh-CN"/>
        </w:rPr>
        <w:t>3</w:t>
      </w:r>
      <w:r>
        <w:rPr>
          <w:rFonts w:hint="eastAsia" w:ascii="仿宋_GB2312" w:hAnsi="黑体" w:eastAsia="仿宋_GB2312" w:cs="宋体"/>
          <w:bCs/>
          <w:kern w:val="0"/>
          <w:sz w:val="32"/>
          <w:szCs w:val="32"/>
          <w:highlight w:val="none"/>
        </w:rPr>
        <w:t>个</w:t>
      </w:r>
      <w:r>
        <w:rPr>
          <w:rFonts w:hint="eastAsia" w:ascii="仿宋_GB2312" w:hAnsi="黑体" w:eastAsia="仿宋_GB2312" w:cs="宋体"/>
          <w:bCs/>
          <w:kern w:val="0"/>
          <w:sz w:val="32"/>
          <w:szCs w:val="32"/>
          <w:highlight w:val="none"/>
          <w:lang w:val="en-US" w:eastAsia="zh-CN"/>
        </w:rPr>
        <w:t>科</w:t>
      </w:r>
      <w:r>
        <w:rPr>
          <w:rFonts w:hint="eastAsia" w:ascii="仿宋_GB2312" w:hAnsi="黑体" w:eastAsia="仿宋_GB2312" w:cs="宋体"/>
          <w:bCs/>
          <w:kern w:val="0"/>
          <w:sz w:val="32"/>
          <w:szCs w:val="32"/>
          <w:highlight w:val="none"/>
        </w:rPr>
        <w:t>室，分别是：军事科</w:t>
      </w:r>
      <w:r>
        <w:rPr>
          <w:rFonts w:hint="eastAsia" w:ascii="仿宋_GB2312" w:hAnsi="黑体" w:eastAsia="仿宋_GB2312" w:cs="宋体"/>
          <w:bCs/>
          <w:kern w:val="0"/>
          <w:sz w:val="32"/>
          <w:szCs w:val="32"/>
          <w:highlight w:val="none"/>
          <w:lang w:eastAsia="zh-CN"/>
        </w:rPr>
        <w:t>、</w:t>
      </w:r>
      <w:r>
        <w:rPr>
          <w:rFonts w:hint="eastAsia" w:ascii="仿宋_GB2312" w:hAnsi="黑体" w:eastAsia="仿宋_GB2312" w:cs="宋体"/>
          <w:bCs/>
          <w:kern w:val="0"/>
          <w:sz w:val="32"/>
          <w:szCs w:val="32"/>
          <w:highlight w:val="none"/>
        </w:rPr>
        <w:t>政工科</w:t>
      </w:r>
      <w:r>
        <w:rPr>
          <w:rFonts w:hint="eastAsia" w:ascii="仿宋_GB2312" w:hAnsi="黑体" w:eastAsia="仿宋_GB2312" w:cs="宋体"/>
          <w:bCs/>
          <w:kern w:val="0"/>
          <w:sz w:val="32"/>
          <w:szCs w:val="32"/>
          <w:highlight w:val="none"/>
          <w:lang w:eastAsia="zh-CN"/>
        </w:rPr>
        <w:t>、</w:t>
      </w:r>
      <w:r>
        <w:rPr>
          <w:rFonts w:hint="eastAsia" w:ascii="仿宋_GB2312" w:hAnsi="黑体" w:eastAsia="仿宋_GB2312" w:cs="宋体"/>
          <w:bCs/>
          <w:kern w:val="0"/>
          <w:sz w:val="32"/>
          <w:szCs w:val="32"/>
          <w:highlight w:val="none"/>
        </w:rPr>
        <w:t>保障科</w:t>
      </w:r>
      <w:r>
        <w:rPr>
          <w:rFonts w:hint="eastAsia" w:ascii="仿宋_GB2312" w:hAnsi="宋体" w:eastAsia="仿宋_GB2312" w:cs="宋体"/>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spacing w:val="-6"/>
          <w:kern w:val="0"/>
          <w:sz w:val="32"/>
          <w:szCs w:val="32"/>
          <w:highlight w:val="none"/>
        </w:rPr>
        <w:t>中国人民解放军新疆维吾尔自治区呼图壁县人民武装部</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12</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rPr>
        <w:t>人，</w:t>
      </w:r>
      <w:r>
        <w:rPr>
          <w:rFonts w:hint="eastAsia" w:ascii="仿宋_GB2312" w:hAnsi="宋体" w:eastAsia="仿宋_GB2312" w:cs="宋体"/>
          <w:color w:val="auto"/>
          <w:kern w:val="0"/>
          <w:sz w:val="32"/>
          <w:szCs w:val="32"/>
          <w:highlight w:val="none"/>
          <w:lang w:val="en-US" w:eastAsia="zh-CN"/>
        </w:rPr>
        <w:t>增加1人</w:t>
      </w:r>
      <w:r>
        <w:rPr>
          <w:rFonts w:hint="eastAsia" w:ascii="仿宋_GB2312" w:hAnsi="宋体" w:eastAsia="仿宋_GB2312" w:cs="宋体"/>
          <w:color w:val="auto"/>
          <w:kern w:val="0"/>
          <w:sz w:val="32"/>
          <w:szCs w:val="32"/>
          <w:highlight w:val="none"/>
        </w:rPr>
        <w:t>；退休</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   </w:t>
      </w:r>
    </w:p>
    <w:p>
      <w:pPr>
        <w:pStyle w:val="2"/>
        <w:rPr>
          <w:rFonts w:hint="eastAsia" w:ascii="仿宋_GB2312" w:hAnsi="宋体" w:eastAsia="仿宋_GB2312" w:cs="宋体"/>
          <w:color w:val="auto"/>
          <w:kern w:val="0"/>
          <w:sz w:val="32"/>
          <w:szCs w:val="32"/>
          <w:highlight w:val="none"/>
        </w:rPr>
      </w:pPr>
    </w:p>
    <w:p>
      <w:pPr>
        <w:pStyle w:val="2"/>
        <w:rPr>
          <w:rFonts w:hint="eastAsia" w:ascii="仿宋_GB2312" w:hAnsi="宋体" w:eastAsia="仿宋_GB2312" w:cs="宋体"/>
          <w:color w:val="auto"/>
          <w:kern w:val="0"/>
          <w:sz w:val="32"/>
          <w:szCs w:val="32"/>
          <w:highlight w:val="none"/>
        </w:rPr>
      </w:pPr>
    </w:p>
    <w:p>
      <w:pPr>
        <w:pStyle w:val="2"/>
        <w:rPr>
          <w:rFonts w:hint="eastAsia" w:ascii="仿宋_GB2312" w:hAnsi="宋体" w:eastAsia="仿宋_GB2312" w:cs="宋体"/>
          <w:color w:val="auto"/>
          <w:kern w:val="0"/>
          <w:sz w:val="32"/>
          <w:szCs w:val="32"/>
          <w:highlight w:val="none"/>
        </w:rPr>
      </w:pPr>
    </w:p>
    <w:p>
      <w:pPr>
        <w:pStyle w:val="2"/>
        <w:rPr>
          <w:rFonts w:hint="eastAsia" w:ascii="仿宋_GB2312" w:hAnsi="宋体" w:eastAsia="仿宋_GB2312" w:cs="宋体"/>
          <w:color w:val="auto"/>
          <w:kern w:val="0"/>
          <w:sz w:val="32"/>
          <w:szCs w:val="32"/>
          <w:highlight w:val="none"/>
        </w:rPr>
      </w:pPr>
    </w:p>
    <w:p>
      <w:pPr>
        <w:pStyle w:val="2"/>
        <w:rPr>
          <w:rFonts w:hint="eastAsia" w:ascii="仿宋_GB2312" w:hAnsi="宋体" w:eastAsia="仿宋_GB2312" w:cs="宋体"/>
          <w:color w:val="auto"/>
          <w:kern w:val="0"/>
          <w:sz w:val="32"/>
          <w:szCs w:val="32"/>
          <w:highlight w:val="none"/>
        </w:rPr>
      </w:pPr>
    </w:p>
    <w:p>
      <w:pPr>
        <w:pStyle w:val="2"/>
        <w:rPr>
          <w:rFonts w:hint="eastAsia" w:ascii="仿宋_GB2312" w:hAnsi="宋体" w:eastAsia="仿宋_GB2312" w:cs="宋体"/>
          <w:color w:val="auto"/>
          <w:kern w:val="0"/>
          <w:sz w:val="32"/>
          <w:szCs w:val="32"/>
          <w:highlight w:val="none"/>
          <w:lang w:eastAsia="zh-Hans"/>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s="Times New Roman"/>
          <w:color w:val="auto"/>
          <w:kern w:val="0"/>
          <w:sz w:val="24"/>
          <w:highlight w:val="none"/>
          <w:lang w:eastAsia="zh-CN"/>
        </w:rPr>
        <w:t xml:space="preserve">编制部门：中国人民解放军新疆维吾尔自治区呼图壁县人民武装部    </w:t>
      </w:r>
      <w:r>
        <w:rPr>
          <w:rFonts w:hint="eastAsia" w:ascii="仿宋_GB2312" w:hAnsi="宋体" w:eastAsia="仿宋_GB2312"/>
          <w:color w:val="auto"/>
          <w:kern w:val="0"/>
          <w:sz w:val="24"/>
          <w:highlight w:val="none"/>
        </w:rPr>
        <w:t>单位：万元</w:t>
      </w:r>
      <w:r>
        <w:rPr>
          <w:rFonts w:hint="eastAsia" w:ascii="仿宋_GB2312" w:hAnsi="宋体" w:eastAsia="仿宋_GB2312" w:cs="Times New Roman"/>
          <w:color w:val="auto"/>
          <w:kern w:val="0"/>
          <w:sz w:val="24"/>
          <w:highlight w:val="none"/>
          <w:lang w:eastAsia="zh-CN"/>
        </w:rPr>
        <w:t xml:space="preserve">    </w:t>
      </w:r>
      <w:r>
        <w:rPr>
          <w:rFonts w:hint="eastAsia" w:ascii="仿宋_GB2312" w:hAnsi="宋体" w:eastAsia="仿宋_GB2312"/>
          <w:color w:val="auto"/>
          <w:kern w:val="0"/>
          <w:sz w:val="24"/>
          <w:highlight w:val="none"/>
        </w:rPr>
        <w:t xml:space="preserve">                             </w:t>
      </w:r>
    </w:p>
    <w:tbl>
      <w:tblPr>
        <w:tblStyle w:val="9"/>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228.86</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198.16</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228.86</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228.86</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13.75</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8.05</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8.90</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228.86</w:t>
            </w: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228.86</w:t>
            </w:r>
            <w:r>
              <w:rPr>
                <w:rFonts w:hint="eastAsia" w:ascii="仿宋_GB2312" w:hAnsi="宋体" w:eastAsia="仿宋_GB2312" w:cs="宋体"/>
                <w:color w:val="auto"/>
                <w:kern w:val="0"/>
                <w:sz w:val="18"/>
                <w:szCs w:val="18"/>
                <w:highlight w:val="none"/>
              </w:rPr>
              <w:t>　</w:t>
            </w:r>
          </w:p>
        </w:tc>
      </w:tr>
    </w:tbl>
    <w:p>
      <w:pPr>
        <w:widowControl/>
        <w:spacing w:line="280" w:lineRule="exact"/>
        <w:outlineLvl w:val="1"/>
        <w:rPr>
          <w:rFonts w:hint="eastAsia" w:ascii="仿宋_GB2312" w:hAnsi="宋体" w:eastAsia="仿宋_GB2312"/>
          <w:b/>
          <w:color w:val="FF0000"/>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highlight w:val="none"/>
          <w:lang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s="Times New Roman"/>
          <w:color w:val="auto"/>
          <w:kern w:val="0"/>
          <w:sz w:val="24"/>
          <w:highlight w:val="none"/>
          <w:lang w:eastAsia="zh-CN"/>
        </w:rPr>
        <w:t>中国人民解放军新疆维吾尔自治区呼图壁县人民武装部</w:t>
      </w:r>
      <w:r>
        <w:rPr>
          <w:rFonts w:hint="eastAsia" w:ascii="仿宋_GB2312" w:hAnsi="宋体" w:eastAsia="仿宋_GB2312"/>
          <w:color w:val="auto"/>
          <w:kern w:val="0"/>
          <w:sz w:val="24"/>
          <w:highlight w:val="none"/>
        </w:rPr>
        <w:t xml:space="preserve">    单位：万元                            </w:t>
      </w:r>
    </w:p>
    <w:tbl>
      <w:tblPr>
        <w:tblStyle w:val="9"/>
        <w:tblW w:w="10584" w:type="dxa"/>
        <w:tblInd w:w="-816" w:type="dxa"/>
        <w:tblLayout w:type="fixed"/>
        <w:tblCellMar>
          <w:top w:w="0" w:type="dxa"/>
          <w:left w:w="108" w:type="dxa"/>
          <w:bottom w:w="0" w:type="dxa"/>
          <w:right w:w="108" w:type="dxa"/>
        </w:tblCellMar>
      </w:tblPr>
      <w:tblGrid>
        <w:gridCol w:w="504"/>
        <w:gridCol w:w="396"/>
        <w:gridCol w:w="408"/>
        <w:gridCol w:w="1368"/>
        <w:gridCol w:w="768"/>
        <w:gridCol w:w="720"/>
        <w:gridCol w:w="744"/>
        <w:gridCol w:w="660"/>
        <w:gridCol w:w="348"/>
        <w:gridCol w:w="636"/>
        <w:gridCol w:w="576"/>
        <w:gridCol w:w="840"/>
        <w:gridCol w:w="636"/>
        <w:gridCol w:w="504"/>
        <w:gridCol w:w="624"/>
        <w:gridCol w:w="852"/>
      </w:tblGrid>
      <w:tr>
        <w:tblPrEx>
          <w:tblCellMar>
            <w:top w:w="0" w:type="dxa"/>
            <w:left w:w="108" w:type="dxa"/>
            <w:bottom w:w="0" w:type="dxa"/>
            <w:right w:w="108" w:type="dxa"/>
          </w:tblCellMar>
        </w:tblPrEx>
        <w:trPr>
          <w:trHeight w:val="456" w:hRule="atLeast"/>
        </w:trPr>
        <w:tc>
          <w:tcPr>
            <w:tcW w:w="1308"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368"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68"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524"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636"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504"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624"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852"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1830" w:hRule="atLeast"/>
        </w:trPr>
        <w:tc>
          <w:tcPr>
            <w:tcW w:w="504" w:type="dxa"/>
            <w:tcBorders>
              <w:left w:val="single" w:color="auto" w:sz="4" w:space="0"/>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396"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08"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368"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768"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72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44"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6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48"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36"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576"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84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636"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504"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624"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852"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504"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val="en-US" w:eastAsia="zh-CN"/>
              </w:rPr>
              <w:t>201</w:t>
            </w:r>
            <w:r>
              <w:rPr>
                <w:rFonts w:hint="eastAsia" w:ascii="仿宋_GB2312" w:hAnsi="仿宋_GB2312" w:eastAsia="仿宋_GB2312" w:cs="仿宋_GB2312"/>
                <w:color w:val="000000"/>
                <w:sz w:val="16"/>
                <w:szCs w:val="16"/>
                <w:highlight w:val="none"/>
              </w:rPr>
              <w:t>　</w:t>
            </w:r>
          </w:p>
        </w:tc>
        <w:tc>
          <w:tcPr>
            <w:tcW w:w="39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rPr>
              <w:t>　</w:t>
            </w:r>
          </w:p>
        </w:tc>
        <w:tc>
          <w:tcPr>
            <w:tcW w:w="408"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rPr>
              <w:t>　</w:t>
            </w:r>
          </w:p>
        </w:tc>
        <w:tc>
          <w:tcPr>
            <w:tcW w:w="1368"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eastAsia="zh-CN"/>
              </w:rPr>
              <w:t>一般公共服务支出</w:t>
            </w:r>
          </w:p>
        </w:tc>
        <w:tc>
          <w:tcPr>
            <w:tcW w:w="768"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228.86</w:t>
            </w:r>
            <w:r>
              <w:rPr>
                <w:rFonts w:hint="eastAsia" w:ascii="仿宋_GB2312" w:eastAsia="仿宋_GB2312"/>
                <w:color w:val="auto"/>
                <w:sz w:val="16"/>
                <w:szCs w:val="16"/>
                <w:highlight w:val="none"/>
              </w:rPr>
              <w:t>　</w:t>
            </w:r>
          </w:p>
        </w:tc>
        <w:tc>
          <w:tcPr>
            <w:tcW w:w="72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6"/>
                <w:szCs w:val="16"/>
                <w:highlight w:val="none"/>
                <w:lang w:val="en-US" w:eastAsia="zh-CN"/>
              </w:rPr>
              <w:t>228.86</w:t>
            </w:r>
            <w:r>
              <w:rPr>
                <w:rFonts w:hint="eastAsia" w:ascii="仿宋_GB2312" w:eastAsia="仿宋_GB2312"/>
                <w:color w:val="auto"/>
                <w:sz w:val="16"/>
                <w:szCs w:val="16"/>
                <w:highlight w:val="none"/>
              </w:rPr>
              <w:t>　</w:t>
            </w:r>
          </w:p>
        </w:tc>
        <w:tc>
          <w:tcPr>
            <w:tcW w:w="744"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18"/>
                <w:szCs w:val="18"/>
                <w:highlight w:val="none"/>
              </w:rPr>
            </w:pPr>
            <w:r>
              <w:rPr>
                <w:rFonts w:hint="eastAsia" w:ascii="仿宋_GB2312" w:eastAsia="仿宋_GB2312"/>
                <w:color w:val="auto"/>
                <w:sz w:val="16"/>
                <w:szCs w:val="16"/>
                <w:highlight w:val="none"/>
                <w:lang w:val="en-US" w:eastAsia="zh-CN"/>
              </w:rPr>
              <w:t>228.86</w:t>
            </w:r>
            <w:r>
              <w:rPr>
                <w:rFonts w:hint="eastAsia" w:ascii="仿宋_GB2312" w:eastAsia="仿宋_GB2312"/>
                <w:color w:val="auto"/>
                <w:sz w:val="16"/>
                <w:szCs w:val="16"/>
                <w:highlight w:val="none"/>
              </w:rPr>
              <w:t>　</w:t>
            </w:r>
          </w:p>
        </w:tc>
        <w:tc>
          <w:tcPr>
            <w:tcW w:w="66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p>
        </w:tc>
        <w:tc>
          <w:tcPr>
            <w:tcW w:w="348"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c>
          <w:tcPr>
            <w:tcW w:w="504"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c>
          <w:tcPr>
            <w:tcW w:w="852"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04"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val="en-US" w:eastAsia="zh-CN"/>
              </w:rPr>
              <w:t>201</w:t>
            </w:r>
            <w:r>
              <w:rPr>
                <w:rFonts w:hint="eastAsia" w:ascii="仿宋_GB2312" w:hAnsi="仿宋_GB2312" w:eastAsia="仿宋_GB2312" w:cs="仿宋_GB2312"/>
                <w:color w:val="000000"/>
                <w:sz w:val="16"/>
                <w:szCs w:val="16"/>
                <w:highlight w:val="none"/>
              </w:rPr>
              <w:t>　</w:t>
            </w:r>
          </w:p>
        </w:tc>
        <w:tc>
          <w:tcPr>
            <w:tcW w:w="3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val="en-US" w:eastAsia="zh-CN"/>
              </w:rPr>
              <w:t>03</w:t>
            </w:r>
            <w:r>
              <w:rPr>
                <w:rFonts w:hint="eastAsia" w:ascii="仿宋_GB2312" w:hAnsi="仿宋_GB2312" w:eastAsia="仿宋_GB2312" w:cs="仿宋_GB2312"/>
                <w:color w:val="000000"/>
                <w:sz w:val="16"/>
                <w:szCs w:val="16"/>
                <w:highlight w:val="none"/>
              </w:rPr>
              <w:t>　</w:t>
            </w:r>
          </w:p>
        </w:tc>
        <w:tc>
          <w:tcPr>
            <w:tcW w:w="4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rPr>
              <w:t>　</w:t>
            </w:r>
          </w:p>
        </w:tc>
        <w:tc>
          <w:tcPr>
            <w:tcW w:w="136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eastAsia="zh-CN"/>
              </w:rPr>
              <w:t>政府办公厅（室）及相关机构事务</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198.16</w:t>
            </w:r>
            <w:r>
              <w:rPr>
                <w:rFonts w:hint="eastAsia" w:ascii="仿宋_GB2312" w:eastAsia="仿宋_GB2312"/>
                <w:color w:val="auto"/>
                <w:sz w:val="16"/>
                <w:szCs w:val="16"/>
                <w:highlight w:val="none"/>
              </w:rPr>
              <w:t>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6"/>
                <w:szCs w:val="16"/>
                <w:highlight w:val="none"/>
                <w:lang w:val="en-US" w:eastAsia="zh-CN"/>
              </w:rPr>
              <w:t>198.16</w:t>
            </w:r>
            <w:r>
              <w:rPr>
                <w:rFonts w:hint="eastAsia" w:ascii="仿宋_GB2312" w:eastAsia="仿宋_GB2312"/>
                <w:color w:val="auto"/>
                <w:sz w:val="16"/>
                <w:szCs w:val="16"/>
                <w:highlight w:val="none"/>
              </w:rPr>
              <w:t>　</w:t>
            </w:r>
          </w:p>
        </w:tc>
        <w:tc>
          <w:tcPr>
            <w:tcW w:w="7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6"/>
                <w:szCs w:val="16"/>
                <w:highlight w:val="none"/>
                <w:lang w:val="en-US" w:eastAsia="zh-CN"/>
              </w:rPr>
              <w:t>198.16</w:t>
            </w:r>
            <w:r>
              <w:rPr>
                <w:rFonts w:hint="eastAsia" w:ascii="仿宋_GB2312" w:eastAsia="仿宋_GB2312"/>
                <w:color w:val="auto"/>
                <w:sz w:val="16"/>
                <w:szCs w:val="16"/>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5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04"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val="en-US" w:eastAsia="zh-CN"/>
              </w:rPr>
              <w:t>201</w:t>
            </w:r>
            <w:r>
              <w:rPr>
                <w:rFonts w:hint="eastAsia" w:ascii="仿宋_GB2312" w:hAnsi="仿宋_GB2312" w:eastAsia="仿宋_GB2312" w:cs="仿宋_GB2312"/>
                <w:color w:val="000000"/>
                <w:sz w:val="16"/>
                <w:szCs w:val="16"/>
                <w:highlight w:val="none"/>
              </w:rPr>
              <w:t>　</w:t>
            </w:r>
          </w:p>
        </w:tc>
        <w:tc>
          <w:tcPr>
            <w:tcW w:w="3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val="en-US" w:eastAsia="zh-CN"/>
              </w:rPr>
              <w:t>03</w:t>
            </w:r>
            <w:r>
              <w:rPr>
                <w:rFonts w:hint="eastAsia" w:ascii="仿宋_GB2312" w:hAnsi="仿宋_GB2312" w:eastAsia="仿宋_GB2312" w:cs="仿宋_GB2312"/>
                <w:color w:val="000000"/>
                <w:sz w:val="16"/>
                <w:szCs w:val="16"/>
                <w:highlight w:val="none"/>
              </w:rPr>
              <w:t>　</w:t>
            </w:r>
          </w:p>
        </w:tc>
        <w:tc>
          <w:tcPr>
            <w:tcW w:w="4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val="en-US" w:eastAsia="zh-CN"/>
              </w:rPr>
              <w:t>50</w:t>
            </w:r>
            <w:r>
              <w:rPr>
                <w:rFonts w:hint="eastAsia" w:ascii="仿宋_GB2312" w:hAnsi="仿宋_GB2312" w:eastAsia="仿宋_GB2312" w:cs="仿宋_GB2312"/>
                <w:color w:val="000000"/>
                <w:sz w:val="16"/>
                <w:szCs w:val="16"/>
                <w:highlight w:val="none"/>
              </w:rPr>
              <w:t>　</w:t>
            </w:r>
          </w:p>
        </w:tc>
        <w:tc>
          <w:tcPr>
            <w:tcW w:w="136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eastAsia="zh-CN"/>
              </w:rPr>
              <w:t>事业运行</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98.16</w:t>
            </w:r>
            <w:r>
              <w:rPr>
                <w:rFonts w:hint="eastAsia" w:ascii="仿宋_GB2312" w:eastAsia="仿宋_GB2312"/>
                <w:color w:val="auto"/>
                <w:sz w:val="16"/>
                <w:szCs w:val="16"/>
                <w:highlight w:val="none"/>
              </w:rPr>
              <w:t>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6"/>
                <w:szCs w:val="16"/>
                <w:highlight w:val="none"/>
                <w:lang w:val="en-US" w:eastAsia="zh-CN"/>
              </w:rPr>
              <w:t>98.16</w:t>
            </w:r>
            <w:r>
              <w:rPr>
                <w:rFonts w:hint="eastAsia" w:ascii="仿宋_GB2312" w:eastAsia="仿宋_GB2312"/>
                <w:color w:val="auto"/>
                <w:sz w:val="16"/>
                <w:szCs w:val="16"/>
                <w:highlight w:val="none"/>
              </w:rPr>
              <w:t>　</w:t>
            </w:r>
          </w:p>
        </w:tc>
        <w:tc>
          <w:tcPr>
            <w:tcW w:w="7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6"/>
                <w:szCs w:val="16"/>
                <w:highlight w:val="none"/>
                <w:lang w:val="en-US" w:eastAsia="zh-CN"/>
              </w:rPr>
              <w:t>98.16</w:t>
            </w:r>
            <w:r>
              <w:rPr>
                <w:rFonts w:hint="eastAsia" w:ascii="仿宋_GB2312" w:eastAsia="仿宋_GB2312"/>
                <w:color w:val="auto"/>
                <w:sz w:val="16"/>
                <w:szCs w:val="16"/>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5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04"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val="en-US" w:eastAsia="zh-CN"/>
              </w:rPr>
              <w:t>201</w:t>
            </w:r>
          </w:p>
        </w:tc>
        <w:tc>
          <w:tcPr>
            <w:tcW w:w="3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val="en-US" w:eastAsia="zh-CN"/>
              </w:rPr>
              <w:t>03</w:t>
            </w:r>
          </w:p>
        </w:tc>
        <w:tc>
          <w:tcPr>
            <w:tcW w:w="4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val="en-US" w:eastAsia="zh-CN"/>
              </w:rPr>
              <w:t>99</w:t>
            </w:r>
          </w:p>
        </w:tc>
        <w:tc>
          <w:tcPr>
            <w:tcW w:w="136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仿宋_GB2312" w:eastAsia="仿宋_GB2312" w:cs="仿宋_GB2312"/>
                <w:b w:val="0"/>
                <w:bCs w:val="0"/>
                <w:sz w:val="16"/>
                <w:szCs w:val="16"/>
                <w:highlight w:val="none"/>
                <w:lang w:val="en-US" w:eastAsia="zh-CN"/>
              </w:rPr>
              <w:t>其他政府办公厅（室）及相关机构事务支出</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100</w:t>
            </w:r>
            <w:r>
              <w:rPr>
                <w:rFonts w:hint="eastAsia" w:ascii="仿宋_GB2312" w:eastAsia="仿宋_GB2312"/>
                <w:color w:val="auto"/>
                <w:sz w:val="16"/>
                <w:szCs w:val="16"/>
                <w:highlight w:val="none"/>
              </w:rPr>
              <w:t>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100</w:t>
            </w:r>
            <w:r>
              <w:rPr>
                <w:rFonts w:hint="eastAsia" w:ascii="仿宋_GB2312" w:eastAsia="仿宋_GB2312"/>
                <w:color w:val="auto"/>
                <w:sz w:val="16"/>
                <w:szCs w:val="16"/>
                <w:highlight w:val="none"/>
              </w:rPr>
              <w:t>　</w:t>
            </w:r>
          </w:p>
        </w:tc>
        <w:tc>
          <w:tcPr>
            <w:tcW w:w="7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100</w:t>
            </w:r>
            <w:r>
              <w:rPr>
                <w:rFonts w:hint="eastAsia" w:ascii="仿宋_GB2312" w:eastAsia="仿宋_GB2312"/>
                <w:color w:val="auto"/>
                <w:sz w:val="16"/>
                <w:szCs w:val="16"/>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5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04"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val="en-US" w:eastAsia="zh-CN"/>
              </w:rPr>
              <w:t>208</w:t>
            </w:r>
            <w:r>
              <w:rPr>
                <w:rFonts w:hint="eastAsia" w:ascii="仿宋_GB2312" w:hAnsi="仿宋_GB2312" w:eastAsia="仿宋_GB2312" w:cs="仿宋_GB2312"/>
                <w:color w:val="000000"/>
                <w:sz w:val="16"/>
                <w:szCs w:val="16"/>
                <w:highlight w:val="none"/>
              </w:rPr>
              <w:t>　</w:t>
            </w:r>
          </w:p>
        </w:tc>
        <w:tc>
          <w:tcPr>
            <w:tcW w:w="3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rPr>
              <w:t>　</w:t>
            </w:r>
          </w:p>
        </w:tc>
        <w:tc>
          <w:tcPr>
            <w:tcW w:w="4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rPr>
              <w:t>　</w:t>
            </w:r>
          </w:p>
        </w:tc>
        <w:tc>
          <w:tcPr>
            <w:tcW w:w="136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仿宋_GB2312" w:eastAsia="仿宋_GB2312" w:cs="仿宋_GB2312"/>
                <w:b w:val="0"/>
                <w:bCs w:val="0"/>
                <w:sz w:val="16"/>
                <w:szCs w:val="16"/>
                <w:highlight w:val="none"/>
                <w:lang w:eastAsia="zh-CN"/>
              </w:rPr>
              <w:t>社会保障和就业支出</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13.75</w:t>
            </w:r>
            <w:r>
              <w:rPr>
                <w:rFonts w:hint="eastAsia" w:ascii="仿宋_GB2312" w:eastAsia="仿宋_GB2312"/>
                <w:color w:val="auto"/>
                <w:sz w:val="16"/>
                <w:szCs w:val="16"/>
                <w:highlight w:val="none"/>
              </w:rPr>
              <w:t>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13.75</w:t>
            </w:r>
            <w:r>
              <w:rPr>
                <w:rFonts w:hint="eastAsia" w:ascii="仿宋_GB2312" w:eastAsia="仿宋_GB2312"/>
                <w:color w:val="auto"/>
                <w:sz w:val="15"/>
                <w:szCs w:val="15"/>
                <w:highlight w:val="none"/>
              </w:rPr>
              <w:t>　</w:t>
            </w:r>
          </w:p>
        </w:tc>
        <w:tc>
          <w:tcPr>
            <w:tcW w:w="7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13.75</w:t>
            </w:r>
            <w:r>
              <w:rPr>
                <w:rFonts w:hint="eastAsia" w:ascii="仿宋_GB2312" w:eastAsia="仿宋_GB2312"/>
                <w:color w:val="auto"/>
                <w:sz w:val="15"/>
                <w:szCs w:val="15"/>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5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04"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val="en-US" w:eastAsia="zh-CN"/>
              </w:rPr>
              <w:t>208</w:t>
            </w:r>
            <w:r>
              <w:rPr>
                <w:rFonts w:hint="eastAsia" w:ascii="仿宋_GB2312" w:hAnsi="仿宋_GB2312" w:eastAsia="仿宋_GB2312" w:cs="仿宋_GB2312"/>
                <w:color w:val="000000"/>
                <w:sz w:val="16"/>
                <w:szCs w:val="16"/>
                <w:highlight w:val="none"/>
              </w:rPr>
              <w:t>　</w:t>
            </w:r>
          </w:p>
        </w:tc>
        <w:tc>
          <w:tcPr>
            <w:tcW w:w="3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val="en-US" w:eastAsia="zh-CN"/>
              </w:rPr>
              <w:t>05</w:t>
            </w:r>
            <w:r>
              <w:rPr>
                <w:rFonts w:hint="eastAsia" w:ascii="仿宋_GB2312" w:hAnsi="仿宋_GB2312" w:eastAsia="仿宋_GB2312" w:cs="仿宋_GB2312"/>
                <w:color w:val="000000"/>
                <w:sz w:val="16"/>
                <w:szCs w:val="16"/>
                <w:highlight w:val="none"/>
              </w:rPr>
              <w:t>　</w:t>
            </w:r>
          </w:p>
        </w:tc>
        <w:tc>
          <w:tcPr>
            <w:tcW w:w="4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rPr>
              <w:t>　</w:t>
            </w:r>
          </w:p>
        </w:tc>
        <w:tc>
          <w:tcPr>
            <w:tcW w:w="136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仿宋_GB2312" w:eastAsia="仿宋_GB2312" w:cs="仿宋_GB2312"/>
                <w:b w:val="0"/>
                <w:bCs w:val="0"/>
                <w:sz w:val="16"/>
                <w:szCs w:val="16"/>
                <w:highlight w:val="none"/>
                <w:lang w:eastAsia="zh-CN"/>
              </w:rPr>
              <w:t>行政事业单位养老支出</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13.75</w:t>
            </w:r>
            <w:r>
              <w:rPr>
                <w:rFonts w:hint="eastAsia" w:ascii="仿宋_GB2312" w:eastAsia="仿宋_GB2312"/>
                <w:color w:val="auto"/>
                <w:sz w:val="16"/>
                <w:szCs w:val="16"/>
                <w:highlight w:val="none"/>
              </w:rPr>
              <w:t>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13.75</w:t>
            </w:r>
            <w:r>
              <w:rPr>
                <w:rFonts w:hint="eastAsia" w:ascii="仿宋_GB2312" w:eastAsia="仿宋_GB2312"/>
                <w:color w:val="auto"/>
                <w:sz w:val="15"/>
                <w:szCs w:val="15"/>
                <w:highlight w:val="none"/>
              </w:rPr>
              <w:t>　</w:t>
            </w:r>
          </w:p>
        </w:tc>
        <w:tc>
          <w:tcPr>
            <w:tcW w:w="7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13.75</w:t>
            </w:r>
            <w:r>
              <w:rPr>
                <w:rFonts w:hint="eastAsia" w:ascii="仿宋_GB2312" w:eastAsia="仿宋_GB2312"/>
                <w:color w:val="auto"/>
                <w:sz w:val="15"/>
                <w:szCs w:val="15"/>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5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04"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val="en-US" w:eastAsia="zh-CN"/>
              </w:rPr>
              <w:t>208</w:t>
            </w:r>
          </w:p>
        </w:tc>
        <w:tc>
          <w:tcPr>
            <w:tcW w:w="3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val="en-US" w:eastAsia="zh-CN"/>
              </w:rPr>
              <w:t>05</w:t>
            </w:r>
          </w:p>
        </w:tc>
        <w:tc>
          <w:tcPr>
            <w:tcW w:w="4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val="en-US" w:eastAsia="zh-CN"/>
              </w:rPr>
              <w:t>02</w:t>
            </w:r>
          </w:p>
        </w:tc>
        <w:tc>
          <w:tcPr>
            <w:tcW w:w="136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仿宋_GB2312" w:eastAsia="仿宋_GB2312" w:cs="仿宋_GB2312"/>
                <w:b w:val="0"/>
                <w:bCs w:val="0"/>
                <w:sz w:val="16"/>
                <w:szCs w:val="16"/>
                <w:highlight w:val="none"/>
                <w:lang w:val="en-US" w:eastAsia="zh-CN"/>
              </w:rPr>
              <w:t>事业单位离退休</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3.11</w:t>
            </w:r>
            <w:r>
              <w:rPr>
                <w:rFonts w:hint="eastAsia" w:ascii="仿宋_GB2312" w:eastAsia="仿宋_GB2312"/>
                <w:color w:val="auto"/>
                <w:sz w:val="16"/>
                <w:szCs w:val="16"/>
                <w:highlight w:val="none"/>
              </w:rPr>
              <w:t>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3.11</w:t>
            </w:r>
            <w:r>
              <w:rPr>
                <w:rFonts w:hint="eastAsia" w:ascii="仿宋_GB2312" w:eastAsia="仿宋_GB2312"/>
                <w:color w:val="auto"/>
                <w:sz w:val="15"/>
                <w:szCs w:val="15"/>
                <w:highlight w:val="none"/>
              </w:rPr>
              <w:t>　</w:t>
            </w:r>
          </w:p>
        </w:tc>
        <w:tc>
          <w:tcPr>
            <w:tcW w:w="7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3.11</w:t>
            </w:r>
            <w:r>
              <w:rPr>
                <w:rFonts w:hint="eastAsia" w:ascii="仿宋_GB2312" w:eastAsia="仿宋_GB2312"/>
                <w:color w:val="auto"/>
                <w:sz w:val="15"/>
                <w:szCs w:val="15"/>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5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674" w:hRule="atLeast"/>
        </w:trPr>
        <w:tc>
          <w:tcPr>
            <w:tcW w:w="504"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val="en-US" w:eastAsia="zh-CN"/>
              </w:rPr>
              <w:t>208</w:t>
            </w:r>
            <w:r>
              <w:rPr>
                <w:rFonts w:hint="eastAsia" w:ascii="仿宋_GB2312" w:hAnsi="仿宋_GB2312" w:eastAsia="仿宋_GB2312" w:cs="仿宋_GB2312"/>
                <w:color w:val="000000"/>
                <w:sz w:val="16"/>
                <w:szCs w:val="16"/>
                <w:highlight w:val="none"/>
              </w:rPr>
              <w:t>　</w:t>
            </w:r>
          </w:p>
        </w:tc>
        <w:tc>
          <w:tcPr>
            <w:tcW w:w="3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val="en-US" w:eastAsia="zh-CN"/>
              </w:rPr>
              <w:t>05</w:t>
            </w:r>
            <w:r>
              <w:rPr>
                <w:rFonts w:hint="eastAsia" w:ascii="仿宋_GB2312" w:hAnsi="仿宋_GB2312" w:eastAsia="仿宋_GB2312" w:cs="仿宋_GB2312"/>
                <w:color w:val="000000"/>
                <w:sz w:val="16"/>
                <w:szCs w:val="16"/>
                <w:highlight w:val="none"/>
              </w:rPr>
              <w:t>　</w:t>
            </w:r>
          </w:p>
        </w:tc>
        <w:tc>
          <w:tcPr>
            <w:tcW w:w="4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val="en-US" w:eastAsia="zh-CN"/>
              </w:rPr>
              <w:t>05</w:t>
            </w:r>
            <w:r>
              <w:rPr>
                <w:rFonts w:hint="eastAsia" w:ascii="仿宋_GB2312" w:hAnsi="仿宋_GB2312" w:eastAsia="仿宋_GB2312" w:cs="仿宋_GB2312"/>
                <w:color w:val="000000"/>
                <w:sz w:val="16"/>
                <w:szCs w:val="16"/>
                <w:highlight w:val="none"/>
              </w:rPr>
              <w:t>　</w:t>
            </w:r>
          </w:p>
        </w:tc>
        <w:tc>
          <w:tcPr>
            <w:tcW w:w="136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仿宋_GB2312" w:eastAsia="仿宋_GB2312" w:cs="仿宋_GB2312"/>
                <w:b w:val="0"/>
                <w:bCs w:val="0"/>
                <w:sz w:val="16"/>
                <w:szCs w:val="16"/>
                <w:highlight w:val="none"/>
              </w:rPr>
              <w:t>机关事业单位基本 养老保险缴费支出</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10.64</w:t>
            </w:r>
            <w:r>
              <w:rPr>
                <w:rFonts w:hint="eastAsia" w:ascii="仿宋_GB2312" w:eastAsia="仿宋_GB2312"/>
                <w:color w:val="auto"/>
                <w:sz w:val="16"/>
                <w:szCs w:val="16"/>
                <w:highlight w:val="none"/>
              </w:rPr>
              <w:t>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10.64</w:t>
            </w:r>
            <w:r>
              <w:rPr>
                <w:rFonts w:hint="eastAsia" w:ascii="仿宋_GB2312" w:eastAsia="仿宋_GB2312"/>
                <w:color w:val="auto"/>
                <w:sz w:val="15"/>
                <w:szCs w:val="15"/>
                <w:highlight w:val="none"/>
              </w:rPr>
              <w:t>　</w:t>
            </w:r>
          </w:p>
        </w:tc>
        <w:tc>
          <w:tcPr>
            <w:tcW w:w="7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5"/>
                <w:szCs w:val="15"/>
                <w:highlight w:val="none"/>
              </w:rPr>
            </w:pPr>
            <w:r>
              <w:rPr>
                <w:rFonts w:hint="eastAsia" w:ascii="仿宋_GB2312" w:eastAsia="仿宋_GB2312"/>
                <w:color w:val="auto"/>
                <w:sz w:val="15"/>
                <w:szCs w:val="15"/>
                <w:highlight w:val="none"/>
                <w:lang w:val="en-US" w:eastAsia="zh-CN"/>
              </w:rPr>
              <w:t>10.64</w:t>
            </w:r>
            <w:r>
              <w:rPr>
                <w:rFonts w:hint="eastAsia" w:ascii="仿宋_GB2312" w:eastAsia="仿宋_GB2312"/>
                <w:color w:val="auto"/>
                <w:sz w:val="15"/>
                <w:szCs w:val="15"/>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5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04"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val="en-US" w:eastAsia="zh-CN"/>
              </w:rPr>
              <w:t>210</w:t>
            </w:r>
            <w:r>
              <w:rPr>
                <w:rFonts w:hint="eastAsia" w:ascii="仿宋_GB2312" w:hAnsi="仿宋_GB2312" w:eastAsia="仿宋_GB2312" w:cs="仿宋_GB2312"/>
                <w:color w:val="000000"/>
                <w:sz w:val="16"/>
                <w:szCs w:val="16"/>
                <w:highlight w:val="none"/>
              </w:rPr>
              <w:t>　</w:t>
            </w:r>
          </w:p>
        </w:tc>
        <w:tc>
          <w:tcPr>
            <w:tcW w:w="3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rPr>
              <w:t>　</w:t>
            </w:r>
          </w:p>
        </w:tc>
        <w:tc>
          <w:tcPr>
            <w:tcW w:w="4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rPr>
              <w:t>　</w:t>
            </w:r>
          </w:p>
        </w:tc>
        <w:tc>
          <w:tcPr>
            <w:tcW w:w="136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eastAsia="zh-CN"/>
              </w:rPr>
              <w:t>卫生健康支出</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8.05</w:t>
            </w:r>
            <w:r>
              <w:rPr>
                <w:rFonts w:hint="eastAsia" w:ascii="仿宋_GB2312" w:eastAsia="仿宋_GB2312"/>
                <w:color w:val="auto"/>
                <w:sz w:val="18"/>
                <w:szCs w:val="18"/>
                <w:highlight w:val="none"/>
              </w:rPr>
              <w:t>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8.05</w:t>
            </w:r>
            <w:r>
              <w:rPr>
                <w:rFonts w:hint="eastAsia" w:ascii="仿宋_GB2312" w:eastAsia="仿宋_GB2312"/>
                <w:color w:val="auto"/>
                <w:sz w:val="18"/>
                <w:szCs w:val="18"/>
                <w:highlight w:val="none"/>
              </w:rPr>
              <w:t>　</w:t>
            </w:r>
          </w:p>
        </w:tc>
        <w:tc>
          <w:tcPr>
            <w:tcW w:w="7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8.05</w:t>
            </w:r>
            <w:r>
              <w:rPr>
                <w:rFonts w:hint="eastAsia" w:ascii="仿宋_GB2312" w:eastAsia="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5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694" w:hRule="atLeast"/>
        </w:trPr>
        <w:tc>
          <w:tcPr>
            <w:tcW w:w="504"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val="en-US" w:eastAsia="zh-CN"/>
              </w:rPr>
              <w:t>210</w:t>
            </w:r>
            <w:r>
              <w:rPr>
                <w:rFonts w:hint="eastAsia" w:ascii="仿宋_GB2312" w:hAnsi="仿宋_GB2312" w:eastAsia="仿宋_GB2312" w:cs="仿宋_GB2312"/>
                <w:color w:val="000000"/>
                <w:sz w:val="16"/>
                <w:szCs w:val="16"/>
                <w:highlight w:val="none"/>
              </w:rPr>
              <w:t>　</w:t>
            </w:r>
          </w:p>
        </w:tc>
        <w:tc>
          <w:tcPr>
            <w:tcW w:w="3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val="en-US" w:eastAsia="zh-CN"/>
              </w:rPr>
              <w:t>11</w:t>
            </w:r>
            <w:r>
              <w:rPr>
                <w:rFonts w:hint="eastAsia" w:ascii="仿宋_GB2312" w:hAnsi="仿宋_GB2312" w:eastAsia="仿宋_GB2312" w:cs="仿宋_GB2312"/>
                <w:color w:val="000000"/>
                <w:sz w:val="16"/>
                <w:szCs w:val="16"/>
                <w:highlight w:val="none"/>
              </w:rPr>
              <w:t>　</w:t>
            </w:r>
          </w:p>
        </w:tc>
        <w:tc>
          <w:tcPr>
            <w:tcW w:w="4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rPr>
              <w:t>　</w:t>
            </w:r>
          </w:p>
        </w:tc>
        <w:tc>
          <w:tcPr>
            <w:tcW w:w="136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eastAsia="zh-CN"/>
              </w:rPr>
              <w:t>行政事业单位医疗</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8.05</w:t>
            </w:r>
            <w:r>
              <w:rPr>
                <w:rFonts w:hint="eastAsia" w:ascii="仿宋_GB2312" w:eastAsia="仿宋_GB2312"/>
                <w:color w:val="auto"/>
                <w:sz w:val="18"/>
                <w:szCs w:val="18"/>
                <w:highlight w:val="none"/>
              </w:rPr>
              <w:t>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8.05</w:t>
            </w:r>
            <w:r>
              <w:rPr>
                <w:rFonts w:hint="eastAsia" w:ascii="仿宋_GB2312" w:eastAsia="仿宋_GB2312"/>
                <w:color w:val="auto"/>
                <w:sz w:val="18"/>
                <w:szCs w:val="18"/>
                <w:highlight w:val="none"/>
              </w:rPr>
              <w:t>　</w:t>
            </w:r>
          </w:p>
        </w:tc>
        <w:tc>
          <w:tcPr>
            <w:tcW w:w="7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8.05</w:t>
            </w:r>
            <w:r>
              <w:rPr>
                <w:rFonts w:hint="eastAsia" w:ascii="仿宋_GB2312" w:eastAsia="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5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04"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val="en-US" w:eastAsia="zh-CN"/>
              </w:rPr>
              <w:t>210</w:t>
            </w:r>
            <w:r>
              <w:rPr>
                <w:rFonts w:hint="eastAsia" w:ascii="仿宋_GB2312" w:hAnsi="仿宋_GB2312" w:eastAsia="仿宋_GB2312" w:cs="仿宋_GB2312"/>
                <w:color w:val="000000"/>
                <w:sz w:val="16"/>
                <w:szCs w:val="16"/>
                <w:highlight w:val="none"/>
              </w:rPr>
              <w:t>　</w:t>
            </w:r>
          </w:p>
        </w:tc>
        <w:tc>
          <w:tcPr>
            <w:tcW w:w="3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val="en-US" w:eastAsia="zh-CN"/>
              </w:rPr>
              <w:t>11</w:t>
            </w:r>
            <w:r>
              <w:rPr>
                <w:rFonts w:hint="eastAsia" w:ascii="仿宋_GB2312" w:hAnsi="仿宋_GB2312" w:eastAsia="仿宋_GB2312" w:cs="仿宋_GB2312"/>
                <w:color w:val="000000"/>
                <w:sz w:val="16"/>
                <w:szCs w:val="16"/>
                <w:highlight w:val="none"/>
              </w:rPr>
              <w:t>　</w:t>
            </w:r>
          </w:p>
        </w:tc>
        <w:tc>
          <w:tcPr>
            <w:tcW w:w="4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val="en-US" w:eastAsia="zh-CN"/>
              </w:rPr>
              <w:t>02</w:t>
            </w:r>
            <w:r>
              <w:rPr>
                <w:rFonts w:hint="eastAsia" w:ascii="仿宋_GB2312" w:hAnsi="仿宋_GB2312" w:eastAsia="仿宋_GB2312" w:cs="仿宋_GB2312"/>
                <w:color w:val="000000"/>
                <w:sz w:val="16"/>
                <w:szCs w:val="16"/>
                <w:highlight w:val="none"/>
              </w:rPr>
              <w:t>　</w:t>
            </w:r>
          </w:p>
        </w:tc>
        <w:tc>
          <w:tcPr>
            <w:tcW w:w="136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val="en-US" w:eastAsia="zh-CN"/>
              </w:rPr>
              <w:t>事业</w:t>
            </w:r>
            <w:r>
              <w:rPr>
                <w:rFonts w:hint="eastAsia" w:ascii="仿宋_GB2312" w:hAnsi="仿宋_GB2312" w:eastAsia="仿宋_GB2312" w:cs="仿宋_GB2312"/>
                <w:color w:val="000000"/>
                <w:sz w:val="16"/>
                <w:szCs w:val="16"/>
                <w:highlight w:val="none"/>
              </w:rPr>
              <w:t>单位医疗</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5.32</w:t>
            </w:r>
            <w:r>
              <w:rPr>
                <w:rFonts w:hint="eastAsia" w:ascii="仿宋_GB2312" w:eastAsia="仿宋_GB2312"/>
                <w:color w:val="auto"/>
                <w:sz w:val="18"/>
                <w:szCs w:val="18"/>
                <w:highlight w:val="none"/>
              </w:rPr>
              <w:t>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5.32</w:t>
            </w:r>
            <w:r>
              <w:rPr>
                <w:rFonts w:hint="eastAsia" w:ascii="仿宋_GB2312" w:eastAsia="仿宋_GB2312"/>
                <w:color w:val="auto"/>
                <w:sz w:val="18"/>
                <w:szCs w:val="18"/>
                <w:highlight w:val="none"/>
              </w:rPr>
              <w:t>　</w:t>
            </w:r>
          </w:p>
        </w:tc>
        <w:tc>
          <w:tcPr>
            <w:tcW w:w="7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5.32</w:t>
            </w:r>
            <w:r>
              <w:rPr>
                <w:rFonts w:hint="eastAsia" w:ascii="仿宋_GB2312" w:eastAsia="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5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04"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val="en-US" w:eastAsia="zh-CN"/>
              </w:rPr>
              <w:t>210</w:t>
            </w:r>
            <w:r>
              <w:rPr>
                <w:rFonts w:hint="eastAsia" w:ascii="仿宋_GB2312" w:hAnsi="仿宋_GB2312" w:eastAsia="仿宋_GB2312" w:cs="仿宋_GB2312"/>
                <w:color w:val="000000"/>
                <w:sz w:val="16"/>
                <w:szCs w:val="16"/>
                <w:highlight w:val="none"/>
              </w:rPr>
              <w:t>　</w:t>
            </w:r>
          </w:p>
        </w:tc>
        <w:tc>
          <w:tcPr>
            <w:tcW w:w="3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val="en-US" w:eastAsia="zh-CN"/>
              </w:rPr>
              <w:t>11</w:t>
            </w:r>
            <w:r>
              <w:rPr>
                <w:rFonts w:hint="eastAsia" w:ascii="仿宋_GB2312" w:hAnsi="仿宋_GB2312" w:eastAsia="仿宋_GB2312" w:cs="仿宋_GB2312"/>
                <w:color w:val="000000"/>
                <w:sz w:val="16"/>
                <w:szCs w:val="16"/>
                <w:highlight w:val="none"/>
              </w:rPr>
              <w:t>　</w:t>
            </w:r>
          </w:p>
        </w:tc>
        <w:tc>
          <w:tcPr>
            <w:tcW w:w="4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val="en-US" w:eastAsia="zh-CN"/>
              </w:rPr>
              <w:t>03</w:t>
            </w:r>
            <w:r>
              <w:rPr>
                <w:rFonts w:hint="eastAsia" w:ascii="仿宋_GB2312" w:hAnsi="仿宋_GB2312" w:eastAsia="仿宋_GB2312" w:cs="仿宋_GB2312"/>
                <w:color w:val="000000"/>
                <w:sz w:val="16"/>
                <w:szCs w:val="16"/>
                <w:highlight w:val="none"/>
              </w:rPr>
              <w:t>　</w:t>
            </w:r>
          </w:p>
        </w:tc>
        <w:tc>
          <w:tcPr>
            <w:tcW w:w="136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rPr>
              <w:t>公务员医疗补助</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2.66</w:t>
            </w:r>
            <w:r>
              <w:rPr>
                <w:rFonts w:hint="eastAsia" w:ascii="仿宋_GB2312" w:eastAsia="仿宋_GB2312"/>
                <w:color w:val="auto"/>
                <w:sz w:val="18"/>
                <w:szCs w:val="18"/>
                <w:highlight w:val="none"/>
              </w:rPr>
              <w:t>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2.66</w:t>
            </w:r>
            <w:r>
              <w:rPr>
                <w:rFonts w:hint="eastAsia" w:ascii="仿宋_GB2312" w:eastAsia="仿宋_GB2312"/>
                <w:color w:val="auto"/>
                <w:sz w:val="18"/>
                <w:szCs w:val="18"/>
                <w:highlight w:val="none"/>
              </w:rPr>
              <w:t>　</w:t>
            </w:r>
          </w:p>
        </w:tc>
        <w:tc>
          <w:tcPr>
            <w:tcW w:w="7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2.66</w:t>
            </w:r>
            <w:r>
              <w:rPr>
                <w:rFonts w:hint="eastAsia" w:ascii="仿宋_GB2312" w:eastAsia="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5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04"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val="en-US" w:eastAsia="zh-CN"/>
              </w:rPr>
              <w:t>210</w:t>
            </w:r>
            <w:r>
              <w:rPr>
                <w:rFonts w:hint="eastAsia" w:ascii="仿宋_GB2312" w:hAnsi="仿宋_GB2312" w:eastAsia="仿宋_GB2312" w:cs="仿宋_GB2312"/>
                <w:color w:val="000000"/>
                <w:sz w:val="16"/>
                <w:szCs w:val="16"/>
                <w:highlight w:val="none"/>
              </w:rPr>
              <w:t>　</w:t>
            </w:r>
          </w:p>
        </w:tc>
        <w:tc>
          <w:tcPr>
            <w:tcW w:w="3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val="en-US" w:eastAsia="zh-CN"/>
              </w:rPr>
              <w:t>11</w:t>
            </w:r>
            <w:r>
              <w:rPr>
                <w:rFonts w:hint="eastAsia" w:ascii="仿宋_GB2312" w:hAnsi="仿宋_GB2312" w:eastAsia="仿宋_GB2312" w:cs="仿宋_GB2312"/>
                <w:color w:val="000000"/>
                <w:sz w:val="16"/>
                <w:szCs w:val="16"/>
                <w:highlight w:val="none"/>
              </w:rPr>
              <w:t>　</w:t>
            </w:r>
          </w:p>
        </w:tc>
        <w:tc>
          <w:tcPr>
            <w:tcW w:w="4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val="en-US" w:eastAsia="zh-CN"/>
              </w:rPr>
              <w:t>99</w:t>
            </w:r>
            <w:r>
              <w:rPr>
                <w:rFonts w:hint="eastAsia" w:ascii="仿宋_GB2312" w:hAnsi="仿宋_GB2312" w:eastAsia="仿宋_GB2312" w:cs="仿宋_GB2312"/>
                <w:color w:val="000000"/>
                <w:sz w:val="16"/>
                <w:szCs w:val="16"/>
                <w:highlight w:val="none"/>
              </w:rPr>
              <w:t>　</w:t>
            </w:r>
          </w:p>
        </w:tc>
        <w:tc>
          <w:tcPr>
            <w:tcW w:w="136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仿宋_GB2312" w:eastAsia="仿宋_GB2312" w:cs="仿宋_GB2312"/>
                <w:color w:val="000000"/>
                <w:sz w:val="16"/>
                <w:szCs w:val="16"/>
                <w:highlight w:val="none"/>
                <w:lang w:eastAsia="zh-CN"/>
              </w:rPr>
              <w:t>其他行政事业单位医疗支出</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0.07</w:t>
            </w:r>
            <w:r>
              <w:rPr>
                <w:rFonts w:hint="eastAsia" w:ascii="仿宋_GB2312" w:eastAsia="仿宋_GB2312"/>
                <w:color w:val="auto"/>
                <w:sz w:val="18"/>
                <w:szCs w:val="18"/>
                <w:highlight w:val="none"/>
              </w:rPr>
              <w:t>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0.07</w:t>
            </w:r>
            <w:r>
              <w:rPr>
                <w:rFonts w:hint="eastAsia" w:ascii="仿宋_GB2312" w:eastAsia="仿宋_GB2312"/>
                <w:color w:val="auto"/>
                <w:sz w:val="18"/>
                <w:szCs w:val="18"/>
                <w:highlight w:val="none"/>
              </w:rPr>
              <w:t>　</w:t>
            </w:r>
          </w:p>
        </w:tc>
        <w:tc>
          <w:tcPr>
            <w:tcW w:w="7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0.07</w:t>
            </w:r>
            <w:r>
              <w:rPr>
                <w:rFonts w:hint="eastAsia" w:ascii="仿宋_GB2312" w:eastAsia="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5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04"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auto"/>
                <w:sz w:val="16"/>
                <w:szCs w:val="16"/>
                <w:highlight w:val="none"/>
              </w:rPr>
            </w:pPr>
            <w:r>
              <w:rPr>
                <w:rFonts w:hint="eastAsia" w:ascii="仿宋_GB2312" w:hAnsi="仿宋_GB2312" w:eastAsia="仿宋_GB2312" w:cs="仿宋_GB2312"/>
                <w:color w:val="000000"/>
                <w:sz w:val="15"/>
                <w:szCs w:val="15"/>
                <w:highlight w:val="none"/>
                <w:lang w:val="en-US" w:eastAsia="zh-CN"/>
              </w:rPr>
              <w:t>221</w:t>
            </w:r>
            <w:r>
              <w:rPr>
                <w:rFonts w:hint="eastAsia" w:ascii="仿宋_GB2312" w:hAnsi="仿宋_GB2312" w:eastAsia="仿宋_GB2312" w:cs="仿宋_GB2312"/>
                <w:color w:val="000000"/>
                <w:sz w:val="15"/>
                <w:szCs w:val="15"/>
                <w:highlight w:val="none"/>
              </w:rPr>
              <w:t>　</w:t>
            </w:r>
          </w:p>
        </w:tc>
        <w:tc>
          <w:tcPr>
            <w:tcW w:w="3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6"/>
                <w:szCs w:val="16"/>
                <w:highlight w:val="none"/>
              </w:rPr>
            </w:pPr>
            <w:r>
              <w:rPr>
                <w:rFonts w:hint="eastAsia" w:ascii="仿宋_GB2312" w:hAnsi="仿宋_GB2312" w:eastAsia="仿宋_GB2312" w:cs="仿宋_GB2312"/>
                <w:color w:val="000000"/>
                <w:sz w:val="15"/>
                <w:szCs w:val="15"/>
                <w:highlight w:val="none"/>
              </w:rPr>
              <w:t>　</w:t>
            </w:r>
          </w:p>
        </w:tc>
        <w:tc>
          <w:tcPr>
            <w:tcW w:w="4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6"/>
                <w:szCs w:val="16"/>
                <w:highlight w:val="none"/>
              </w:rPr>
            </w:pPr>
            <w:r>
              <w:rPr>
                <w:rFonts w:hint="eastAsia" w:ascii="仿宋_GB2312" w:hAnsi="仿宋_GB2312" w:eastAsia="仿宋_GB2312" w:cs="仿宋_GB2312"/>
                <w:color w:val="000000"/>
                <w:sz w:val="15"/>
                <w:szCs w:val="15"/>
                <w:highlight w:val="none"/>
              </w:rPr>
              <w:t>　</w:t>
            </w:r>
          </w:p>
        </w:tc>
        <w:tc>
          <w:tcPr>
            <w:tcW w:w="136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000000"/>
                <w:sz w:val="15"/>
                <w:szCs w:val="15"/>
                <w:highlight w:val="none"/>
                <w:lang w:eastAsia="zh-CN"/>
              </w:rPr>
              <w:t>住房保障支出</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8.90</w:t>
            </w:r>
            <w:r>
              <w:rPr>
                <w:rFonts w:hint="eastAsia" w:ascii="仿宋_GB2312" w:eastAsia="仿宋_GB2312"/>
                <w:color w:val="auto"/>
                <w:sz w:val="16"/>
                <w:szCs w:val="16"/>
                <w:highlight w:val="none"/>
              </w:rPr>
              <w:t>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8.90</w:t>
            </w:r>
            <w:r>
              <w:rPr>
                <w:rFonts w:hint="eastAsia" w:ascii="仿宋_GB2312" w:eastAsia="仿宋_GB2312"/>
                <w:color w:val="auto"/>
                <w:sz w:val="16"/>
                <w:szCs w:val="16"/>
                <w:highlight w:val="none"/>
              </w:rPr>
              <w:t>　</w:t>
            </w:r>
          </w:p>
        </w:tc>
        <w:tc>
          <w:tcPr>
            <w:tcW w:w="7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8.90</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5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04"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auto"/>
                <w:sz w:val="16"/>
                <w:szCs w:val="16"/>
                <w:highlight w:val="none"/>
              </w:rPr>
            </w:pPr>
            <w:r>
              <w:rPr>
                <w:rFonts w:hint="eastAsia" w:ascii="仿宋_GB2312" w:hAnsi="仿宋_GB2312" w:eastAsia="仿宋_GB2312" w:cs="仿宋_GB2312"/>
                <w:color w:val="000000"/>
                <w:sz w:val="15"/>
                <w:szCs w:val="15"/>
                <w:highlight w:val="none"/>
                <w:lang w:val="en-US" w:eastAsia="zh-CN"/>
              </w:rPr>
              <w:t>221</w:t>
            </w:r>
            <w:r>
              <w:rPr>
                <w:rFonts w:hint="eastAsia" w:ascii="仿宋_GB2312" w:hAnsi="仿宋_GB2312" w:eastAsia="仿宋_GB2312" w:cs="仿宋_GB2312"/>
                <w:color w:val="000000"/>
                <w:sz w:val="15"/>
                <w:szCs w:val="15"/>
                <w:highlight w:val="none"/>
              </w:rPr>
              <w:t>　</w:t>
            </w:r>
          </w:p>
        </w:tc>
        <w:tc>
          <w:tcPr>
            <w:tcW w:w="396"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6"/>
                <w:szCs w:val="16"/>
                <w:highlight w:val="none"/>
              </w:rPr>
            </w:pPr>
            <w:r>
              <w:rPr>
                <w:rFonts w:hint="eastAsia" w:ascii="仿宋_GB2312" w:hAnsi="仿宋_GB2312" w:eastAsia="仿宋_GB2312" w:cs="仿宋_GB2312"/>
                <w:color w:val="000000"/>
                <w:sz w:val="15"/>
                <w:szCs w:val="15"/>
                <w:highlight w:val="none"/>
                <w:lang w:val="en-US" w:eastAsia="zh-CN"/>
              </w:rPr>
              <w:t>02</w:t>
            </w:r>
            <w:r>
              <w:rPr>
                <w:rFonts w:hint="eastAsia" w:ascii="仿宋_GB2312" w:hAnsi="仿宋_GB2312" w:eastAsia="仿宋_GB2312" w:cs="仿宋_GB2312"/>
                <w:color w:val="000000"/>
                <w:sz w:val="15"/>
                <w:szCs w:val="15"/>
                <w:highlight w:val="none"/>
              </w:rPr>
              <w:t>　</w:t>
            </w:r>
          </w:p>
        </w:tc>
        <w:tc>
          <w:tcPr>
            <w:tcW w:w="408"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auto"/>
                <w:sz w:val="16"/>
                <w:szCs w:val="16"/>
                <w:highlight w:val="none"/>
              </w:rPr>
            </w:pPr>
            <w:r>
              <w:rPr>
                <w:rFonts w:hint="eastAsia" w:ascii="仿宋_GB2312" w:hAnsi="仿宋_GB2312" w:eastAsia="仿宋_GB2312" w:cs="仿宋_GB2312"/>
                <w:color w:val="000000"/>
                <w:sz w:val="15"/>
                <w:szCs w:val="15"/>
                <w:highlight w:val="none"/>
              </w:rPr>
              <w:t>　</w:t>
            </w:r>
          </w:p>
        </w:tc>
        <w:tc>
          <w:tcPr>
            <w:tcW w:w="136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6"/>
                <w:szCs w:val="16"/>
                <w:highlight w:val="none"/>
              </w:rPr>
            </w:pPr>
            <w:r>
              <w:rPr>
                <w:rFonts w:hint="eastAsia" w:ascii="仿宋_GB2312" w:hAnsi="仿宋_GB2312" w:eastAsia="仿宋_GB2312" w:cs="仿宋_GB2312"/>
                <w:color w:val="000000"/>
                <w:sz w:val="15"/>
                <w:szCs w:val="15"/>
                <w:highlight w:val="none"/>
                <w:lang w:eastAsia="zh-CN"/>
              </w:rPr>
              <w:t>住房改革支出</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8.90</w:t>
            </w:r>
            <w:r>
              <w:rPr>
                <w:rFonts w:hint="eastAsia" w:ascii="仿宋_GB2312" w:eastAsia="仿宋_GB2312"/>
                <w:color w:val="auto"/>
                <w:sz w:val="16"/>
                <w:szCs w:val="16"/>
                <w:highlight w:val="none"/>
              </w:rPr>
              <w:t>　</w:t>
            </w:r>
          </w:p>
        </w:tc>
        <w:tc>
          <w:tcPr>
            <w:tcW w:w="7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8.90</w:t>
            </w:r>
            <w:r>
              <w:rPr>
                <w:rFonts w:hint="eastAsia" w:ascii="仿宋_GB2312" w:eastAsia="仿宋_GB2312"/>
                <w:color w:val="auto"/>
                <w:sz w:val="16"/>
                <w:szCs w:val="16"/>
                <w:highlight w:val="none"/>
              </w:rPr>
              <w:t>　</w:t>
            </w:r>
          </w:p>
        </w:tc>
        <w:tc>
          <w:tcPr>
            <w:tcW w:w="74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8.90</w:t>
            </w:r>
          </w:p>
        </w:tc>
        <w:tc>
          <w:tcPr>
            <w:tcW w:w="66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4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52"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rFonts w:hint="eastAsia" w:ascii="仿宋_GB2312" w:eastAsia="仿宋_GB2312"/>
                <w:color w:val="auto"/>
                <w:sz w:val="16"/>
                <w:szCs w:val="16"/>
                <w:highlight w:val="none"/>
              </w:rPr>
            </w:pPr>
            <w:r>
              <w:rPr>
                <w:rFonts w:hint="eastAsia" w:ascii="仿宋_GB2312" w:hAnsi="仿宋_GB2312" w:eastAsia="仿宋_GB2312" w:cs="仿宋_GB2312"/>
                <w:color w:val="000000"/>
                <w:sz w:val="15"/>
                <w:szCs w:val="15"/>
                <w:highlight w:val="none"/>
                <w:lang w:val="en-US" w:eastAsia="zh-CN"/>
              </w:rPr>
              <w:t>221</w:t>
            </w:r>
            <w:r>
              <w:rPr>
                <w:rFonts w:hint="eastAsia" w:ascii="仿宋_GB2312" w:hAnsi="仿宋_GB2312" w:eastAsia="仿宋_GB2312" w:cs="仿宋_GB2312"/>
                <w:color w:val="000000"/>
                <w:sz w:val="15"/>
                <w:szCs w:val="15"/>
                <w:highlight w:val="none"/>
              </w:rPr>
              <w:t>　</w:t>
            </w:r>
          </w:p>
        </w:tc>
        <w:tc>
          <w:tcPr>
            <w:tcW w:w="396" w:type="dxa"/>
            <w:tcBorders>
              <w:top w:val="single" w:color="auto" w:sz="4" w:space="0"/>
              <w:left w:val="single" w:color="auto" w:sz="4" w:space="0"/>
              <w:bottom w:val="single" w:color="auto" w:sz="4" w:space="0"/>
              <w:right w:val="single" w:color="auto" w:sz="4" w:space="0"/>
            </w:tcBorders>
            <w:vAlign w:val="center"/>
          </w:tcPr>
          <w:p>
            <w:pPr>
              <w:jc w:val="left"/>
              <w:rPr>
                <w:rFonts w:hint="eastAsia" w:ascii="仿宋_GB2312" w:eastAsia="仿宋_GB2312"/>
                <w:color w:val="auto"/>
                <w:sz w:val="16"/>
                <w:szCs w:val="16"/>
                <w:highlight w:val="none"/>
              </w:rPr>
            </w:pPr>
            <w:r>
              <w:rPr>
                <w:rFonts w:hint="eastAsia" w:ascii="仿宋_GB2312" w:hAnsi="仿宋_GB2312" w:eastAsia="仿宋_GB2312" w:cs="仿宋_GB2312"/>
                <w:color w:val="000000"/>
                <w:sz w:val="15"/>
                <w:szCs w:val="15"/>
                <w:highlight w:val="none"/>
                <w:lang w:val="en-US" w:eastAsia="zh-CN"/>
              </w:rPr>
              <w:t>02</w:t>
            </w:r>
            <w:r>
              <w:rPr>
                <w:rFonts w:hint="eastAsia" w:ascii="仿宋_GB2312" w:hAnsi="仿宋_GB2312" w:eastAsia="仿宋_GB2312" w:cs="仿宋_GB2312"/>
                <w:color w:val="000000"/>
                <w:sz w:val="15"/>
                <w:szCs w:val="15"/>
                <w:highlight w:val="none"/>
              </w:rPr>
              <w:t>　</w:t>
            </w:r>
          </w:p>
        </w:tc>
        <w:tc>
          <w:tcPr>
            <w:tcW w:w="408" w:type="dxa"/>
            <w:tcBorders>
              <w:top w:val="single" w:color="auto" w:sz="4" w:space="0"/>
              <w:left w:val="single" w:color="auto" w:sz="4" w:space="0"/>
              <w:bottom w:val="single" w:color="auto" w:sz="4" w:space="0"/>
              <w:right w:val="single" w:color="auto" w:sz="4" w:space="0"/>
            </w:tcBorders>
            <w:vAlign w:val="center"/>
          </w:tcPr>
          <w:p>
            <w:pPr>
              <w:jc w:val="left"/>
              <w:rPr>
                <w:rFonts w:hint="eastAsia" w:ascii="仿宋_GB2312" w:eastAsia="仿宋_GB2312"/>
                <w:color w:val="auto"/>
                <w:sz w:val="16"/>
                <w:szCs w:val="16"/>
                <w:highlight w:val="none"/>
              </w:rPr>
            </w:pPr>
            <w:r>
              <w:rPr>
                <w:rFonts w:hint="eastAsia" w:ascii="仿宋_GB2312" w:hAnsi="仿宋_GB2312" w:eastAsia="仿宋_GB2312" w:cs="仿宋_GB2312"/>
                <w:color w:val="000000"/>
                <w:sz w:val="15"/>
                <w:szCs w:val="15"/>
                <w:highlight w:val="none"/>
                <w:lang w:val="en-US" w:eastAsia="zh-CN"/>
              </w:rPr>
              <w:t>01</w:t>
            </w:r>
            <w:r>
              <w:rPr>
                <w:rFonts w:hint="eastAsia" w:ascii="仿宋_GB2312" w:hAnsi="仿宋_GB2312" w:eastAsia="仿宋_GB2312" w:cs="仿宋_GB2312"/>
                <w:color w:val="000000"/>
                <w:sz w:val="15"/>
                <w:szCs w:val="15"/>
                <w:highlight w:val="none"/>
              </w:rPr>
              <w:t>　</w:t>
            </w:r>
          </w:p>
        </w:tc>
        <w:tc>
          <w:tcPr>
            <w:tcW w:w="1368" w:type="dxa"/>
            <w:tcBorders>
              <w:top w:val="single" w:color="auto" w:sz="4" w:space="0"/>
              <w:left w:val="single" w:color="auto" w:sz="4" w:space="0"/>
              <w:bottom w:val="single" w:color="auto" w:sz="4" w:space="0"/>
              <w:right w:val="single" w:color="auto" w:sz="4" w:space="0"/>
            </w:tcBorders>
            <w:vAlign w:val="center"/>
          </w:tcPr>
          <w:p>
            <w:pPr>
              <w:rPr>
                <w:rFonts w:hint="eastAsia" w:ascii="仿宋_GB2312" w:eastAsia="仿宋_GB2312"/>
                <w:b/>
                <w:bCs/>
                <w:color w:val="auto"/>
                <w:sz w:val="16"/>
                <w:szCs w:val="16"/>
                <w:highlight w:val="none"/>
              </w:rPr>
            </w:pPr>
            <w:r>
              <w:rPr>
                <w:rFonts w:hint="eastAsia" w:ascii="仿宋_GB2312" w:hAnsi="仿宋_GB2312" w:eastAsia="仿宋_GB2312" w:cs="仿宋_GB2312"/>
                <w:color w:val="000000"/>
                <w:sz w:val="15"/>
                <w:szCs w:val="15"/>
                <w:highlight w:val="none"/>
              </w:rPr>
              <w:t>住房公积金</w:t>
            </w:r>
          </w:p>
        </w:tc>
        <w:tc>
          <w:tcPr>
            <w:tcW w:w="76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8.90</w:t>
            </w:r>
            <w:r>
              <w:rPr>
                <w:rFonts w:hint="eastAsia" w:ascii="仿宋_GB2312" w:eastAsia="仿宋_GB2312"/>
                <w:color w:val="auto"/>
                <w:sz w:val="16"/>
                <w:szCs w:val="16"/>
                <w:highlight w:val="none"/>
              </w:rPr>
              <w:t>　</w:t>
            </w:r>
          </w:p>
        </w:tc>
        <w:tc>
          <w:tcPr>
            <w:tcW w:w="720"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8.90</w:t>
            </w:r>
            <w:r>
              <w:rPr>
                <w:rFonts w:hint="eastAsia" w:ascii="仿宋_GB2312" w:eastAsia="仿宋_GB2312"/>
                <w:color w:val="auto"/>
                <w:sz w:val="16"/>
                <w:szCs w:val="16"/>
                <w:highlight w:val="none"/>
              </w:rPr>
              <w:t>　</w:t>
            </w:r>
          </w:p>
        </w:tc>
        <w:tc>
          <w:tcPr>
            <w:tcW w:w="744"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r>
              <w:rPr>
                <w:rFonts w:hint="eastAsia" w:ascii="仿宋_GB2312" w:eastAsia="仿宋_GB2312"/>
                <w:color w:val="auto"/>
                <w:sz w:val="16"/>
                <w:szCs w:val="16"/>
                <w:highlight w:val="none"/>
                <w:lang w:val="en-US" w:eastAsia="zh-CN"/>
              </w:rPr>
              <w:t>8.90</w:t>
            </w:r>
          </w:p>
        </w:tc>
        <w:tc>
          <w:tcPr>
            <w:tcW w:w="660" w:type="dxa"/>
            <w:tcBorders>
              <w:top w:val="single" w:color="auto" w:sz="4" w:space="0"/>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6"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76"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36"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504"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52"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396"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08"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1368" w:type="dxa"/>
            <w:tcBorders>
              <w:top w:val="single" w:color="auto" w:sz="4" w:space="0"/>
              <w:left w:val="nil"/>
              <w:bottom w:val="single" w:color="auto" w:sz="4" w:space="0"/>
              <w:right w:val="single" w:color="auto" w:sz="4" w:space="0"/>
            </w:tcBorders>
            <w:vAlign w:val="center"/>
          </w:tcPr>
          <w:p>
            <w:pPr>
              <w:jc w:val="center"/>
              <w:rPr>
                <w:rFonts w:hint="eastAsia" w:ascii="仿宋_GB2312" w:eastAsia="仿宋_GB2312"/>
                <w:b/>
                <w:bCs/>
                <w:color w:val="auto"/>
                <w:sz w:val="20"/>
                <w:szCs w:val="20"/>
                <w:highlight w:val="none"/>
              </w:rPr>
            </w:pPr>
            <w:r>
              <w:rPr>
                <w:rFonts w:hint="eastAsia" w:ascii="仿宋_GB2312" w:eastAsia="仿宋_GB2312"/>
                <w:b/>
                <w:bCs/>
                <w:color w:val="auto"/>
                <w:sz w:val="20"/>
                <w:szCs w:val="20"/>
                <w:highlight w:val="none"/>
              </w:rPr>
              <w:t>合  计</w:t>
            </w:r>
          </w:p>
        </w:tc>
        <w:tc>
          <w:tcPr>
            <w:tcW w:w="768" w:type="dxa"/>
            <w:tcBorders>
              <w:top w:val="single" w:color="auto" w:sz="4" w:space="0"/>
              <w:left w:val="nil"/>
              <w:bottom w:val="single" w:color="auto" w:sz="4" w:space="0"/>
              <w:right w:val="single" w:color="auto" w:sz="4" w:space="0"/>
            </w:tcBorders>
            <w:vAlign w:val="center"/>
          </w:tcPr>
          <w:p>
            <w:pPr>
              <w:jc w:val="right"/>
              <w:rPr>
                <w:rFonts w:hint="default" w:ascii="仿宋_GB2312" w:eastAsia="仿宋_GB2312"/>
                <w:b/>
                <w:bCs/>
                <w:color w:val="auto"/>
                <w:sz w:val="16"/>
                <w:szCs w:val="16"/>
                <w:highlight w:val="none"/>
                <w:lang w:val="en-US" w:eastAsia="zh-CN"/>
              </w:rPr>
            </w:pPr>
            <w:r>
              <w:rPr>
                <w:rFonts w:hint="eastAsia" w:ascii="仿宋_GB2312" w:eastAsia="仿宋_GB2312"/>
                <w:b/>
                <w:bCs/>
                <w:color w:val="auto"/>
                <w:sz w:val="16"/>
                <w:szCs w:val="16"/>
                <w:highlight w:val="none"/>
                <w:lang w:val="en-US" w:eastAsia="zh-CN"/>
              </w:rPr>
              <w:t>228.86</w:t>
            </w:r>
          </w:p>
        </w:tc>
        <w:tc>
          <w:tcPr>
            <w:tcW w:w="720" w:type="dxa"/>
            <w:tcBorders>
              <w:top w:val="single" w:color="auto" w:sz="4" w:space="0"/>
              <w:left w:val="nil"/>
              <w:bottom w:val="single" w:color="auto" w:sz="4" w:space="0"/>
              <w:right w:val="single" w:color="auto" w:sz="4" w:space="0"/>
            </w:tcBorders>
            <w:vAlign w:val="center"/>
          </w:tcPr>
          <w:p>
            <w:pPr>
              <w:jc w:val="right"/>
              <w:rPr>
                <w:rFonts w:hint="default" w:ascii="仿宋_GB2312" w:eastAsia="仿宋_GB2312"/>
                <w:b/>
                <w:bCs/>
                <w:color w:val="auto"/>
                <w:sz w:val="16"/>
                <w:szCs w:val="16"/>
                <w:highlight w:val="none"/>
                <w:lang w:val="en-US" w:eastAsia="zh-CN"/>
              </w:rPr>
            </w:pPr>
            <w:r>
              <w:rPr>
                <w:rFonts w:hint="eastAsia" w:ascii="仿宋_GB2312" w:eastAsia="仿宋_GB2312"/>
                <w:b/>
                <w:bCs/>
                <w:color w:val="auto"/>
                <w:sz w:val="16"/>
                <w:szCs w:val="16"/>
                <w:highlight w:val="none"/>
                <w:lang w:val="en-US" w:eastAsia="zh-CN"/>
              </w:rPr>
              <w:t>228.86</w:t>
            </w:r>
          </w:p>
        </w:tc>
        <w:tc>
          <w:tcPr>
            <w:tcW w:w="744" w:type="dxa"/>
            <w:tcBorders>
              <w:top w:val="single" w:color="auto" w:sz="4" w:space="0"/>
              <w:left w:val="nil"/>
              <w:bottom w:val="single" w:color="auto" w:sz="4" w:space="0"/>
              <w:right w:val="single" w:color="auto" w:sz="4" w:space="0"/>
            </w:tcBorders>
            <w:vAlign w:val="center"/>
          </w:tcPr>
          <w:p>
            <w:pPr>
              <w:jc w:val="right"/>
              <w:rPr>
                <w:rFonts w:hint="default" w:ascii="仿宋_GB2312" w:eastAsia="仿宋_GB2312"/>
                <w:b/>
                <w:bCs/>
                <w:color w:val="auto"/>
                <w:sz w:val="16"/>
                <w:szCs w:val="16"/>
                <w:highlight w:val="none"/>
                <w:lang w:val="en-US" w:eastAsia="zh-CN"/>
              </w:rPr>
            </w:pPr>
            <w:r>
              <w:rPr>
                <w:rFonts w:hint="eastAsia" w:ascii="仿宋_GB2312" w:eastAsia="仿宋_GB2312"/>
                <w:b/>
                <w:bCs/>
                <w:color w:val="auto"/>
                <w:sz w:val="16"/>
                <w:szCs w:val="16"/>
                <w:highlight w:val="none"/>
                <w:lang w:val="en-US" w:eastAsia="zh-CN"/>
              </w:rPr>
              <w:t>228.86</w:t>
            </w:r>
          </w:p>
        </w:tc>
        <w:tc>
          <w:tcPr>
            <w:tcW w:w="660" w:type="dxa"/>
            <w:tcBorders>
              <w:top w:val="single" w:color="auto" w:sz="4" w:space="0"/>
              <w:left w:val="nil"/>
              <w:bottom w:val="single" w:color="auto" w:sz="4" w:space="0"/>
              <w:right w:val="single" w:color="auto" w:sz="4" w:space="0"/>
            </w:tcBorders>
            <w:vAlign w:val="center"/>
          </w:tcPr>
          <w:p>
            <w:pPr>
              <w:jc w:val="right"/>
              <w:rPr>
                <w:rFonts w:ascii="仿宋_GB2312" w:hAnsi="宋体" w:eastAsia="仿宋_GB2312" w:cs="宋体"/>
                <w:b/>
                <w:bCs/>
                <w:color w:val="auto"/>
                <w:sz w:val="20"/>
                <w:szCs w:val="20"/>
                <w:highlight w:val="none"/>
              </w:rPr>
            </w:pPr>
          </w:p>
        </w:tc>
        <w:tc>
          <w:tcPr>
            <w:tcW w:w="348"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636"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576"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840" w:type="dxa"/>
            <w:tcBorders>
              <w:top w:val="single" w:color="auto" w:sz="4" w:space="0"/>
              <w:left w:val="nil"/>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636"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504"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624"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c>
          <w:tcPr>
            <w:tcW w:w="852" w:type="dxa"/>
            <w:tcBorders>
              <w:top w:val="single" w:color="auto" w:sz="4" w:space="0"/>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Times New Roman"/>
          <w:color w:val="auto"/>
          <w:kern w:val="0"/>
          <w:sz w:val="24"/>
          <w:highlight w:val="none"/>
          <w:lang w:eastAsia="zh-CN"/>
        </w:rPr>
        <w:t>中国人民解放军新疆维吾尔自治区呼图壁县人民武装部</w:t>
      </w:r>
      <w:r>
        <w:rPr>
          <w:rFonts w:hint="eastAsia" w:ascii="仿宋_GB2312" w:hAnsi="宋体" w:eastAsia="仿宋_GB2312"/>
          <w:color w:val="auto"/>
          <w:kern w:val="0"/>
          <w:sz w:val="24"/>
          <w:highlight w:val="none"/>
        </w:rPr>
        <w:t xml:space="preserve">    单位：万元                                       </w:t>
      </w:r>
    </w:p>
    <w:tbl>
      <w:tblPr>
        <w:tblStyle w:val="9"/>
        <w:tblW w:w="9420" w:type="dxa"/>
        <w:tblInd w:w="-240" w:type="dxa"/>
        <w:tblLayout w:type="fixed"/>
        <w:tblCellMar>
          <w:top w:w="0" w:type="dxa"/>
          <w:left w:w="108" w:type="dxa"/>
          <w:bottom w:w="0" w:type="dxa"/>
          <w:right w:w="108" w:type="dxa"/>
        </w:tblCellMar>
      </w:tblPr>
      <w:tblGrid>
        <w:gridCol w:w="486"/>
        <w:gridCol w:w="417"/>
        <w:gridCol w:w="417"/>
        <w:gridCol w:w="2566"/>
        <w:gridCol w:w="1830"/>
        <w:gridCol w:w="1831"/>
        <w:gridCol w:w="1873"/>
      </w:tblGrid>
      <w:tr>
        <w:tblPrEx>
          <w:tblCellMar>
            <w:top w:w="0" w:type="dxa"/>
            <w:left w:w="108" w:type="dxa"/>
            <w:bottom w:w="0" w:type="dxa"/>
            <w:right w:w="108" w:type="dxa"/>
          </w:tblCellMar>
        </w:tblPrEx>
        <w:trPr>
          <w:trHeight w:val="328" w:hRule="atLeast"/>
        </w:trPr>
        <w:tc>
          <w:tcPr>
            <w:tcW w:w="3886"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34"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32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66"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0"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1"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73"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6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1"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73"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201</w:t>
            </w:r>
            <w:r>
              <w:rPr>
                <w:rFonts w:hint="eastAsia" w:ascii="仿宋_GB2312" w:hAnsi="仿宋_GB2312" w:eastAsia="仿宋_GB2312" w:cs="仿宋_GB2312"/>
                <w:color w:val="000000"/>
                <w:sz w:val="18"/>
                <w:szCs w:val="18"/>
                <w:highlight w:val="none"/>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rPr>
              <w:t>　</w:t>
            </w:r>
          </w:p>
        </w:tc>
        <w:tc>
          <w:tcPr>
            <w:tcW w:w="2566"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highlight w:val="none"/>
                <w:lang w:eastAsia="zh-CN"/>
              </w:rPr>
              <w:t>一般公共服务支出</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198.16</w:t>
            </w:r>
            <w:r>
              <w:rPr>
                <w:rFonts w:hint="eastAsia" w:ascii="宋体" w:hAnsi="宋体" w:cs="宋体"/>
                <w:b/>
                <w:bCs/>
                <w:color w:val="auto"/>
                <w:kern w:val="0"/>
                <w:sz w:val="22"/>
                <w:szCs w:val="22"/>
                <w:highlight w:val="none"/>
              </w:rPr>
              <w:t>　</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98.16</w:t>
            </w:r>
            <w:r>
              <w:rPr>
                <w:rFonts w:hint="eastAsia" w:ascii="宋体" w:hAnsi="宋体" w:cs="宋体"/>
                <w:b/>
                <w:bCs/>
                <w:color w:val="auto"/>
                <w:kern w:val="0"/>
                <w:sz w:val="22"/>
                <w:szCs w:val="22"/>
                <w:highlight w:val="none"/>
              </w:rPr>
              <w:t>　</w:t>
            </w: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100</w:t>
            </w: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201</w:t>
            </w:r>
            <w:r>
              <w:rPr>
                <w:rFonts w:hint="eastAsia" w:ascii="仿宋_GB2312" w:hAnsi="仿宋_GB2312" w:eastAsia="仿宋_GB2312" w:cs="仿宋_GB2312"/>
                <w:color w:val="000000"/>
                <w:sz w:val="18"/>
                <w:szCs w:val="18"/>
                <w:highlight w:val="none"/>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03</w:t>
            </w:r>
            <w:r>
              <w:rPr>
                <w:rFonts w:hint="eastAsia" w:ascii="仿宋_GB2312" w:hAnsi="仿宋_GB2312" w:eastAsia="仿宋_GB2312" w:cs="仿宋_GB2312"/>
                <w:color w:val="000000"/>
                <w:sz w:val="18"/>
                <w:szCs w:val="18"/>
                <w:highlight w:val="none"/>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rPr>
              <w:t>　</w:t>
            </w:r>
          </w:p>
        </w:tc>
        <w:tc>
          <w:tcPr>
            <w:tcW w:w="2566"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highlight w:val="none"/>
                <w:lang w:eastAsia="zh-CN"/>
              </w:rPr>
              <w:t>政府办公厅（室）及相关机构事务</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198.16</w:t>
            </w:r>
            <w:r>
              <w:rPr>
                <w:rFonts w:hint="eastAsia" w:ascii="宋体" w:hAnsi="宋体" w:cs="宋体"/>
                <w:b/>
                <w:bCs/>
                <w:color w:val="auto"/>
                <w:kern w:val="0"/>
                <w:sz w:val="22"/>
                <w:szCs w:val="22"/>
                <w:highlight w:val="none"/>
              </w:rPr>
              <w:t>　</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98.16</w:t>
            </w:r>
            <w:r>
              <w:rPr>
                <w:rFonts w:hint="eastAsia" w:ascii="宋体" w:hAnsi="宋体" w:cs="宋体"/>
                <w:b/>
                <w:bCs/>
                <w:color w:val="auto"/>
                <w:kern w:val="0"/>
                <w:sz w:val="22"/>
                <w:szCs w:val="22"/>
                <w:highlight w:val="none"/>
              </w:rPr>
              <w:t>　</w:t>
            </w: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100</w:t>
            </w: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201</w:t>
            </w:r>
            <w:r>
              <w:rPr>
                <w:rFonts w:hint="eastAsia" w:ascii="仿宋_GB2312" w:hAnsi="仿宋_GB2312" w:eastAsia="仿宋_GB2312" w:cs="仿宋_GB2312"/>
                <w:color w:val="000000"/>
                <w:sz w:val="18"/>
                <w:szCs w:val="18"/>
                <w:highlight w:val="none"/>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03</w:t>
            </w:r>
            <w:r>
              <w:rPr>
                <w:rFonts w:hint="eastAsia" w:ascii="仿宋_GB2312" w:hAnsi="仿宋_GB2312" w:eastAsia="仿宋_GB2312" w:cs="仿宋_GB2312"/>
                <w:color w:val="000000"/>
                <w:sz w:val="18"/>
                <w:szCs w:val="18"/>
                <w:highlight w:val="none"/>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50</w:t>
            </w:r>
            <w:r>
              <w:rPr>
                <w:rFonts w:hint="eastAsia" w:ascii="仿宋_GB2312" w:hAnsi="仿宋_GB2312" w:eastAsia="仿宋_GB2312" w:cs="仿宋_GB2312"/>
                <w:color w:val="000000"/>
                <w:sz w:val="18"/>
                <w:szCs w:val="18"/>
                <w:highlight w:val="none"/>
              </w:rPr>
              <w:t>　</w:t>
            </w:r>
          </w:p>
        </w:tc>
        <w:tc>
          <w:tcPr>
            <w:tcW w:w="2566"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highlight w:val="none"/>
                <w:lang w:eastAsia="zh-CN"/>
              </w:rPr>
              <w:t>事业运行</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98.16</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98.16</w:t>
            </w:r>
            <w:r>
              <w:rPr>
                <w:rFonts w:hint="eastAsia" w:ascii="宋体" w:hAnsi="宋体" w:cs="宋体"/>
                <w:b/>
                <w:bCs/>
                <w:color w:val="auto"/>
                <w:kern w:val="0"/>
                <w:sz w:val="22"/>
                <w:szCs w:val="22"/>
                <w:highlight w:val="none"/>
              </w:rPr>
              <w:t>　</w:t>
            </w: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201</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03</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99</w:t>
            </w:r>
          </w:p>
        </w:tc>
        <w:tc>
          <w:tcPr>
            <w:tcW w:w="2566"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highlight w:val="none"/>
                <w:lang w:val="en-US" w:eastAsia="zh-CN"/>
              </w:rPr>
              <w:t>其他政府办公厅（室）及相关机构事务支出</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100.00</w:t>
            </w:r>
            <w:r>
              <w:rPr>
                <w:rFonts w:hint="eastAsia" w:ascii="宋体" w:hAnsi="宋体" w:cs="宋体"/>
                <w:b/>
                <w:bCs/>
                <w:color w:val="auto"/>
                <w:kern w:val="0"/>
                <w:sz w:val="22"/>
                <w:szCs w:val="22"/>
                <w:highlight w:val="none"/>
              </w:rPr>
              <w:t>　</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100</w:t>
            </w: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208</w:t>
            </w:r>
            <w:r>
              <w:rPr>
                <w:rFonts w:hint="eastAsia" w:ascii="仿宋_GB2312" w:hAnsi="仿宋_GB2312" w:eastAsia="仿宋_GB2312" w:cs="仿宋_GB2312"/>
                <w:color w:val="000000"/>
                <w:sz w:val="18"/>
                <w:szCs w:val="18"/>
                <w:highlight w:val="none"/>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rPr>
              <w:t>　</w:t>
            </w:r>
          </w:p>
        </w:tc>
        <w:tc>
          <w:tcPr>
            <w:tcW w:w="2566"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highlight w:val="none"/>
                <w:lang w:eastAsia="zh-CN"/>
              </w:rPr>
              <w:t>社会保障和就业支出</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13.75</w:t>
            </w:r>
            <w:r>
              <w:rPr>
                <w:rFonts w:hint="eastAsia" w:ascii="宋体" w:hAnsi="宋体" w:cs="宋体"/>
                <w:b/>
                <w:bCs/>
                <w:color w:val="auto"/>
                <w:kern w:val="0"/>
                <w:sz w:val="22"/>
                <w:szCs w:val="22"/>
                <w:highlight w:val="none"/>
              </w:rPr>
              <w:t>　</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13.75</w:t>
            </w:r>
            <w:r>
              <w:rPr>
                <w:rFonts w:hint="eastAsia" w:ascii="宋体" w:hAnsi="宋体" w:cs="宋体"/>
                <w:b/>
                <w:bCs/>
                <w:color w:val="auto"/>
                <w:kern w:val="0"/>
                <w:sz w:val="22"/>
                <w:szCs w:val="22"/>
                <w:highlight w:val="none"/>
              </w:rPr>
              <w:t>　</w:t>
            </w: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208</w:t>
            </w:r>
            <w:r>
              <w:rPr>
                <w:rFonts w:hint="eastAsia" w:ascii="仿宋_GB2312" w:hAnsi="仿宋_GB2312" w:eastAsia="仿宋_GB2312" w:cs="仿宋_GB2312"/>
                <w:color w:val="000000"/>
                <w:sz w:val="18"/>
                <w:szCs w:val="18"/>
                <w:highlight w:val="none"/>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05</w:t>
            </w:r>
            <w:r>
              <w:rPr>
                <w:rFonts w:hint="eastAsia" w:ascii="仿宋_GB2312" w:hAnsi="仿宋_GB2312" w:eastAsia="仿宋_GB2312" w:cs="仿宋_GB2312"/>
                <w:color w:val="000000"/>
                <w:sz w:val="18"/>
                <w:szCs w:val="18"/>
                <w:highlight w:val="none"/>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rPr>
              <w:t>　</w:t>
            </w:r>
          </w:p>
        </w:tc>
        <w:tc>
          <w:tcPr>
            <w:tcW w:w="2566"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highlight w:val="none"/>
                <w:lang w:eastAsia="zh-CN"/>
              </w:rPr>
              <w:t>行政事业单位养老支出</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13.75</w:t>
            </w:r>
            <w:r>
              <w:rPr>
                <w:rFonts w:hint="eastAsia" w:ascii="宋体" w:hAnsi="宋体" w:cs="宋体"/>
                <w:b/>
                <w:bCs/>
                <w:color w:val="auto"/>
                <w:kern w:val="0"/>
                <w:sz w:val="22"/>
                <w:szCs w:val="22"/>
                <w:highlight w:val="none"/>
              </w:rPr>
              <w:t>　</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13.75</w:t>
            </w:r>
            <w:r>
              <w:rPr>
                <w:rFonts w:hint="eastAsia" w:ascii="宋体" w:hAnsi="宋体" w:cs="宋体"/>
                <w:b/>
                <w:bCs/>
                <w:color w:val="auto"/>
                <w:kern w:val="0"/>
                <w:sz w:val="22"/>
                <w:szCs w:val="22"/>
                <w:highlight w:val="none"/>
              </w:rPr>
              <w:t>　</w:t>
            </w: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208</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05</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02</w:t>
            </w:r>
          </w:p>
        </w:tc>
        <w:tc>
          <w:tcPr>
            <w:tcW w:w="2566"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highlight w:val="none"/>
                <w:lang w:val="en-US" w:eastAsia="zh-CN"/>
              </w:rPr>
              <w:t>事业单位离退休</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3.11</w:t>
            </w:r>
            <w:r>
              <w:rPr>
                <w:rFonts w:hint="eastAsia" w:ascii="宋体" w:hAnsi="宋体" w:cs="宋体"/>
                <w:b/>
                <w:bCs/>
                <w:color w:val="auto"/>
                <w:kern w:val="0"/>
                <w:sz w:val="22"/>
                <w:szCs w:val="22"/>
                <w:highlight w:val="none"/>
              </w:rPr>
              <w:t>　</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3.11</w:t>
            </w:r>
            <w:r>
              <w:rPr>
                <w:rFonts w:hint="eastAsia" w:ascii="宋体" w:hAnsi="宋体" w:cs="宋体"/>
                <w:b/>
                <w:bCs/>
                <w:color w:val="auto"/>
                <w:kern w:val="0"/>
                <w:sz w:val="22"/>
                <w:szCs w:val="22"/>
                <w:highlight w:val="none"/>
              </w:rPr>
              <w:t>　</w:t>
            </w: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208</w:t>
            </w:r>
            <w:r>
              <w:rPr>
                <w:rFonts w:hint="eastAsia" w:ascii="仿宋_GB2312" w:hAnsi="仿宋_GB2312" w:eastAsia="仿宋_GB2312" w:cs="仿宋_GB2312"/>
                <w:color w:val="000000"/>
                <w:sz w:val="18"/>
                <w:szCs w:val="18"/>
                <w:highlight w:val="none"/>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05</w:t>
            </w:r>
            <w:r>
              <w:rPr>
                <w:rFonts w:hint="eastAsia" w:ascii="仿宋_GB2312" w:hAnsi="仿宋_GB2312" w:eastAsia="仿宋_GB2312" w:cs="仿宋_GB2312"/>
                <w:color w:val="000000"/>
                <w:sz w:val="18"/>
                <w:szCs w:val="18"/>
                <w:highlight w:val="none"/>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05</w:t>
            </w:r>
            <w:r>
              <w:rPr>
                <w:rFonts w:hint="eastAsia" w:ascii="仿宋_GB2312" w:hAnsi="仿宋_GB2312" w:eastAsia="仿宋_GB2312" w:cs="仿宋_GB2312"/>
                <w:color w:val="000000"/>
                <w:sz w:val="18"/>
                <w:szCs w:val="18"/>
                <w:highlight w:val="none"/>
              </w:rPr>
              <w:t>　</w:t>
            </w:r>
          </w:p>
        </w:tc>
        <w:tc>
          <w:tcPr>
            <w:tcW w:w="2566"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highlight w:val="none"/>
              </w:rPr>
              <w:t>机关事业单位基本 养老保险缴费支出</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10.64</w:t>
            </w:r>
            <w:r>
              <w:rPr>
                <w:rFonts w:hint="eastAsia" w:ascii="宋体" w:hAnsi="宋体" w:cs="宋体"/>
                <w:b/>
                <w:bCs/>
                <w:color w:val="auto"/>
                <w:kern w:val="0"/>
                <w:sz w:val="22"/>
                <w:szCs w:val="22"/>
                <w:highlight w:val="none"/>
              </w:rPr>
              <w:t>　</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10.64</w:t>
            </w:r>
            <w:r>
              <w:rPr>
                <w:rFonts w:hint="eastAsia" w:ascii="宋体" w:hAnsi="宋体" w:cs="宋体"/>
                <w:b/>
                <w:bCs/>
                <w:color w:val="auto"/>
                <w:kern w:val="0"/>
                <w:sz w:val="22"/>
                <w:szCs w:val="22"/>
                <w:highlight w:val="none"/>
              </w:rPr>
              <w:t>　</w:t>
            </w: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210</w:t>
            </w:r>
            <w:r>
              <w:rPr>
                <w:rFonts w:hint="eastAsia" w:ascii="仿宋_GB2312" w:hAnsi="仿宋_GB2312" w:eastAsia="仿宋_GB2312" w:cs="仿宋_GB2312"/>
                <w:color w:val="000000"/>
                <w:sz w:val="18"/>
                <w:szCs w:val="18"/>
                <w:highlight w:val="none"/>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rPr>
              <w:t>　</w:t>
            </w:r>
          </w:p>
        </w:tc>
        <w:tc>
          <w:tcPr>
            <w:tcW w:w="2566"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highlight w:val="none"/>
                <w:lang w:eastAsia="zh-CN"/>
              </w:rPr>
              <w:t>卫生健康支出</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8.05</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8.05</w:t>
            </w: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210</w:t>
            </w:r>
            <w:r>
              <w:rPr>
                <w:rFonts w:hint="eastAsia" w:ascii="仿宋_GB2312" w:hAnsi="仿宋_GB2312" w:eastAsia="仿宋_GB2312" w:cs="仿宋_GB2312"/>
                <w:color w:val="000000"/>
                <w:sz w:val="18"/>
                <w:szCs w:val="18"/>
                <w:highlight w:val="none"/>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11</w:t>
            </w:r>
            <w:r>
              <w:rPr>
                <w:rFonts w:hint="eastAsia" w:ascii="仿宋_GB2312" w:hAnsi="仿宋_GB2312" w:eastAsia="仿宋_GB2312" w:cs="仿宋_GB2312"/>
                <w:color w:val="000000"/>
                <w:sz w:val="18"/>
                <w:szCs w:val="18"/>
                <w:highlight w:val="none"/>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rPr>
              <w:t>　</w:t>
            </w:r>
          </w:p>
        </w:tc>
        <w:tc>
          <w:tcPr>
            <w:tcW w:w="2566"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highlight w:val="none"/>
                <w:lang w:eastAsia="zh-CN"/>
              </w:rPr>
              <w:t>行政事业单位医疗</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8.05</w:t>
            </w:r>
            <w:r>
              <w:rPr>
                <w:rFonts w:hint="eastAsia" w:ascii="宋体" w:hAnsi="宋体" w:cs="宋体"/>
                <w:b/>
                <w:bCs/>
                <w:color w:val="auto"/>
                <w:kern w:val="0"/>
                <w:sz w:val="22"/>
                <w:szCs w:val="22"/>
                <w:highlight w:val="none"/>
              </w:rPr>
              <w:t>　</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8.05</w:t>
            </w:r>
            <w:r>
              <w:rPr>
                <w:rFonts w:hint="eastAsia" w:ascii="宋体" w:hAnsi="宋体" w:cs="宋体"/>
                <w:b/>
                <w:bCs/>
                <w:color w:val="auto"/>
                <w:kern w:val="0"/>
                <w:sz w:val="22"/>
                <w:szCs w:val="22"/>
                <w:highlight w:val="none"/>
              </w:rPr>
              <w:t>　</w:t>
            </w: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210</w:t>
            </w:r>
            <w:r>
              <w:rPr>
                <w:rFonts w:hint="eastAsia" w:ascii="仿宋_GB2312" w:hAnsi="仿宋_GB2312" w:eastAsia="仿宋_GB2312" w:cs="仿宋_GB2312"/>
                <w:color w:val="000000"/>
                <w:sz w:val="18"/>
                <w:szCs w:val="18"/>
                <w:highlight w:val="none"/>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11</w:t>
            </w:r>
            <w:r>
              <w:rPr>
                <w:rFonts w:hint="eastAsia" w:ascii="仿宋_GB2312" w:hAnsi="仿宋_GB2312" w:eastAsia="仿宋_GB2312" w:cs="仿宋_GB2312"/>
                <w:color w:val="000000"/>
                <w:sz w:val="18"/>
                <w:szCs w:val="18"/>
                <w:highlight w:val="none"/>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02</w:t>
            </w:r>
            <w:r>
              <w:rPr>
                <w:rFonts w:hint="eastAsia" w:ascii="仿宋_GB2312" w:hAnsi="仿宋_GB2312" w:eastAsia="仿宋_GB2312" w:cs="仿宋_GB2312"/>
                <w:color w:val="000000"/>
                <w:sz w:val="18"/>
                <w:szCs w:val="18"/>
                <w:highlight w:val="none"/>
              </w:rPr>
              <w:t>　</w:t>
            </w:r>
          </w:p>
        </w:tc>
        <w:tc>
          <w:tcPr>
            <w:tcW w:w="2566"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highlight w:val="none"/>
                <w:lang w:val="en-US" w:eastAsia="zh-CN"/>
              </w:rPr>
              <w:t>事业</w:t>
            </w:r>
            <w:r>
              <w:rPr>
                <w:rFonts w:hint="eastAsia" w:ascii="仿宋_GB2312" w:hAnsi="仿宋_GB2312" w:eastAsia="仿宋_GB2312" w:cs="仿宋_GB2312"/>
                <w:color w:val="000000"/>
                <w:sz w:val="18"/>
                <w:szCs w:val="18"/>
                <w:highlight w:val="none"/>
              </w:rPr>
              <w:t>单位医疗</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5.32</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5.32</w:t>
            </w: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210</w:t>
            </w:r>
            <w:r>
              <w:rPr>
                <w:rFonts w:hint="eastAsia" w:ascii="仿宋_GB2312" w:hAnsi="仿宋_GB2312" w:eastAsia="仿宋_GB2312" w:cs="仿宋_GB2312"/>
                <w:color w:val="000000"/>
                <w:sz w:val="18"/>
                <w:szCs w:val="18"/>
                <w:highlight w:val="none"/>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11</w:t>
            </w:r>
            <w:r>
              <w:rPr>
                <w:rFonts w:hint="eastAsia" w:ascii="仿宋_GB2312" w:hAnsi="仿宋_GB2312" w:eastAsia="仿宋_GB2312" w:cs="仿宋_GB2312"/>
                <w:color w:val="000000"/>
                <w:sz w:val="18"/>
                <w:szCs w:val="18"/>
                <w:highlight w:val="none"/>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03</w:t>
            </w:r>
            <w:r>
              <w:rPr>
                <w:rFonts w:hint="eastAsia" w:ascii="仿宋_GB2312" w:hAnsi="仿宋_GB2312" w:eastAsia="仿宋_GB2312" w:cs="仿宋_GB2312"/>
                <w:color w:val="000000"/>
                <w:sz w:val="18"/>
                <w:szCs w:val="18"/>
                <w:highlight w:val="none"/>
              </w:rPr>
              <w:t>　</w:t>
            </w:r>
          </w:p>
        </w:tc>
        <w:tc>
          <w:tcPr>
            <w:tcW w:w="2566"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highlight w:val="none"/>
              </w:rPr>
              <w:t>公务员医疗补助</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2.66</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2.66</w:t>
            </w: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210</w:t>
            </w:r>
            <w:r>
              <w:rPr>
                <w:rFonts w:hint="eastAsia" w:ascii="仿宋_GB2312" w:hAnsi="仿宋_GB2312" w:eastAsia="仿宋_GB2312" w:cs="仿宋_GB2312"/>
                <w:color w:val="000000"/>
                <w:sz w:val="18"/>
                <w:szCs w:val="18"/>
                <w:highlight w:val="none"/>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11</w:t>
            </w:r>
            <w:r>
              <w:rPr>
                <w:rFonts w:hint="eastAsia" w:ascii="仿宋_GB2312" w:hAnsi="仿宋_GB2312" w:eastAsia="仿宋_GB2312" w:cs="仿宋_GB2312"/>
                <w:color w:val="000000"/>
                <w:sz w:val="18"/>
                <w:szCs w:val="18"/>
                <w:highlight w:val="none"/>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99</w:t>
            </w:r>
            <w:r>
              <w:rPr>
                <w:rFonts w:hint="eastAsia" w:ascii="仿宋_GB2312" w:hAnsi="仿宋_GB2312" w:eastAsia="仿宋_GB2312" w:cs="仿宋_GB2312"/>
                <w:color w:val="000000"/>
                <w:sz w:val="18"/>
                <w:szCs w:val="18"/>
                <w:highlight w:val="none"/>
              </w:rPr>
              <w:t>　</w:t>
            </w:r>
          </w:p>
        </w:tc>
        <w:tc>
          <w:tcPr>
            <w:tcW w:w="2566"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highlight w:val="none"/>
                <w:lang w:eastAsia="zh-CN"/>
              </w:rPr>
              <w:t>其他行政事业单位医疗支出</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0.07</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0.07</w:t>
            </w: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221</w:t>
            </w:r>
            <w:r>
              <w:rPr>
                <w:rFonts w:hint="eastAsia" w:ascii="仿宋_GB2312" w:hAnsi="仿宋_GB2312" w:eastAsia="仿宋_GB2312" w:cs="仿宋_GB2312"/>
                <w:color w:val="000000"/>
                <w:sz w:val="18"/>
                <w:szCs w:val="18"/>
                <w:highlight w:val="none"/>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rPr>
              <w:t>　</w:t>
            </w:r>
          </w:p>
        </w:tc>
        <w:tc>
          <w:tcPr>
            <w:tcW w:w="2566"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highlight w:val="none"/>
                <w:lang w:eastAsia="zh-CN"/>
              </w:rPr>
              <w:t>住房保障支出</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8.90</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8.90</w:t>
            </w: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221</w:t>
            </w:r>
            <w:r>
              <w:rPr>
                <w:rFonts w:hint="eastAsia" w:ascii="仿宋_GB2312" w:hAnsi="仿宋_GB2312" w:eastAsia="仿宋_GB2312" w:cs="仿宋_GB2312"/>
                <w:color w:val="000000"/>
                <w:sz w:val="18"/>
                <w:szCs w:val="18"/>
                <w:highlight w:val="none"/>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02</w:t>
            </w:r>
            <w:r>
              <w:rPr>
                <w:rFonts w:hint="eastAsia" w:ascii="仿宋_GB2312" w:hAnsi="仿宋_GB2312" w:eastAsia="仿宋_GB2312" w:cs="仿宋_GB2312"/>
                <w:color w:val="000000"/>
                <w:sz w:val="18"/>
                <w:szCs w:val="18"/>
                <w:highlight w:val="none"/>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rPr>
              <w:t>　</w:t>
            </w:r>
          </w:p>
        </w:tc>
        <w:tc>
          <w:tcPr>
            <w:tcW w:w="2566"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highlight w:val="none"/>
                <w:lang w:eastAsia="zh-CN"/>
              </w:rPr>
              <w:t>住房改革支出</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8.90</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8.90</w:t>
            </w: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221</w:t>
            </w:r>
            <w:r>
              <w:rPr>
                <w:rFonts w:hint="eastAsia" w:ascii="仿宋_GB2312" w:hAnsi="仿宋_GB2312" w:eastAsia="仿宋_GB2312" w:cs="仿宋_GB2312"/>
                <w:color w:val="000000"/>
                <w:sz w:val="18"/>
                <w:szCs w:val="18"/>
                <w:highlight w:val="none"/>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02</w:t>
            </w:r>
            <w:r>
              <w:rPr>
                <w:rFonts w:hint="eastAsia" w:ascii="仿宋_GB2312" w:hAnsi="仿宋_GB2312" w:eastAsia="仿宋_GB2312" w:cs="仿宋_GB2312"/>
                <w:color w:val="000000"/>
                <w:sz w:val="18"/>
                <w:szCs w:val="18"/>
                <w:highlight w:val="none"/>
              </w:rPr>
              <w:t>　</w:t>
            </w:r>
          </w:p>
        </w:tc>
        <w:tc>
          <w:tcPr>
            <w:tcW w:w="417" w:type="dxa"/>
            <w:tcBorders>
              <w:top w:val="nil"/>
              <w:left w:val="nil"/>
              <w:bottom w:val="single" w:color="auto" w:sz="4" w:space="0"/>
              <w:right w:val="single" w:color="auto" w:sz="4" w:space="0"/>
            </w:tcBorders>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highlight w:val="none"/>
                <w:lang w:val="en-US" w:eastAsia="zh-CN"/>
              </w:rPr>
              <w:t>01</w:t>
            </w:r>
            <w:r>
              <w:rPr>
                <w:rFonts w:hint="eastAsia" w:ascii="仿宋_GB2312" w:hAnsi="仿宋_GB2312" w:eastAsia="仿宋_GB2312" w:cs="仿宋_GB2312"/>
                <w:color w:val="000000"/>
                <w:sz w:val="18"/>
                <w:szCs w:val="18"/>
                <w:highlight w:val="none"/>
              </w:rPr>
              <w:t>　</w:t>
            </w:r>
          </w:p>
        </w:tc>
        <w:tc>
          <w:tcPr>
            <w:tcW w:w="2566" w:type="dxa"/>
            <w:tcBorders>
              <w:top w:val="nil"/>
              <w:left w:val="nil"/>
              <w:bottom w:val="single" w:color="auto" w:sz="4" w:space="0"/>
              <w:right w:val="single" w:color="auto" w:sz="4" w:space="0"/>
            </w:tcBorders>
            <w:vAlign w:val="center"/>
          </w:tcPr>
          <w:p>
            <w:pPr>
              <w:ind w:firstLine="720" w:firstLineChars="400"/>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highlight w:val="none"/>
              </w:rPr>
              <w:t>住房公积金</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8.90</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8.90</w:t>
            </w: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56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56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56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6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30" w:type="dxa"/>
            <w:tcBorders>
              <w:top w:val="nil"/>
              <w:left w:val="nil"/>
              <w:bottom w:val="single" w:color="auto" w:sz="4" w:space="0"/>
              <w:right w:val="single" w:color="auto" w:sz="4" w:space="0"/>
            </w:tcBorders>
            <w:vAlign w:val="center"/>
          </w:tcPr>
          <w:p>
            <w:pPr>
              <w:widowControl/>
              <w:spacing w:line="280" w:lineRule="exact"/>
              <w:jc w:val="left"/>
              <w:rPr>
                <w:rFonts w:hint="default"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rPr>
              <w:t>　</w:t>
            </w:r>
            <w:r>
              <w:rPr>
                <w:rFonts w:hint="eastAsia" w:ascii="宋体" w:hAnsi="宋体" w:cs="宋体"/>
                <w:b/>
                <w:bCs/>
                <w:color w:val="auto"/>
                <w:kern w:val="0"/>
                <w:sz w:val="24"/>
                <w:highlight w:val="none"/>
                <w:lang w:val="en-US" w:eastAsia="zh-CN"/>
              </w:rPr>
              <w:t xml:space="preserve">  228.86</w:t>
            </w:r>
          </w:p>
        </w:tc>
        <w:tc>
          <w:tcPr>
            <w:tcW w:w="1831" w:type="dxa"/>
            <w:tcBorders>
              <w:top w:val="nil"/>
              <w:left w:val="nil"/>
              <w:bottom w:val="single" w:color="auto" w:sz="4" w:space="0"/>
              <w:right w:val="single" w:color="auto" w:sz="4" w:space="0"/>
            </w:tcBorders>
            <w:vAlign w:val="center"/>
          </w:tcPr>
          <w:p>
            <w:pPr>
              <w:widowControl/>
              <w:spacing w:line="280" w:lineRule="exact"/>
              <w:jc w:val="left"/>
              <w:rPr>
                <w:rFonts w:hint="default"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rPr>
              <w:t>　</w:t>
            </w:r>
            <w:r>
              <w:rPr>
                <w:rFonts w:hint="eastAsia" w:ascii="宋体" w:hAnsi="宋体" w:cs="宋体"/>
                <w:b/>
                <w:bCs/>
                <w:color w:val="auto"/>
                <w:kern w:val="0"/>
                <w:sz w:val="24"/>
                <w:highlight w:val="none"/>
                <w:lang w:val="en-US" w:eastAsia="zh-CN"/>
              </w:rPr>
              <w:t xml:space="preserve">  128.86</w:t>
            </w:r>
          </w:p>
        </w:tc>
        <w:tc>
          <w:tcPr>
            <w:tcW w:w="1873" w:type="dxa"/>
            <w:tcBorders>
              <w:top w:val="nil"/>
              <w:left w:val="nil"/>
              <w:bottom w:val="single" w:color="auto" w:sz="4" w:space="0"/>
              <w:right w:val="single" w:color="auto" w:sz="4" w:space="0"/>
            </w:tcBorders>
            <w:vAlign w:val="center"/>
          </w:tcPr>
          <w:p>
            <w:pPr>
              <w:widowControl/>
              <w:spacing w:line="280" w:lineRule="exact"/>
              <w:jc w:val="left"/>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　</w:t>
            </w:r>
            <w:r>
              <w:rPr>
                <w:rFonts w:hint="eastAsia"/>
                <w:highlight w:val="none"/>
                <w:lang w:val="en-US" w:eastAsia="zh-CN"/>
              </w:rPr>
              <w:t>100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Times New Roman"/>
          <w:color w:val="auto"/>
          <w:kern w:val="0"/>
          <w:sz w:val="24"/>
          <w:highlight w:val="none"/>
          <w:lang w:eastAsia="zh-CN"/>
        </w:rPr>
        <w:t>中国人民解放军新疆维吾尔自治区呼图壁县人民武装部</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szCs w:val="24"/>
          <w:highlight w:val="none"/>
        </w:rPr>
        <w:t xml:space="preserve">                                              </w:t>
      </w:r>
    </w:p>
    <w:tbl>
      <w:tblPr>
        <w:tblStyle w:val="9"/>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228.86</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198.16</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198.16</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228.86</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13.75</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13.75</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8.05</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8.05</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8.9</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8.9</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228.86</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15"/>
                <w:szCs w:val="15"/>
                <w:highlight w:val="none"/>
              </w:rPr>
            </w:pPr>
            <w:r>
              <w:rPr>
                <w:rFonts w:hint="eastAsia" w:ascii="宋体" w:hAnsi="宋体" w:cs="宋体"/>
                <w:b/>
                <w:bCs/>
                <w:color w:val="auto"/>
                <w:kern w:val="0"/>
                <w:sz w:val="20"/>
                <w:szCs w:val="20"/>
                <w:highlight w:val="none"/>
                <w:lang w:val="en-US" w:eastAsia="zh-CN"/>
              </w:rPr>
              <w:t>228.86</w:t>
            </w:r>
            <w:r>
              <w:rPr>
                <w:rFonts w:hint="eastAsia" w:ascii="宋体" w:hAnsi="宋体" w:cs="宋体"/>
                <w:b/>
                <w:bCs/>
                <w:color w:val="auto"/>
                <w:kern w:val="0"/>
                <w:sz w:val="20"/>
                <w:szCs w:val="20"/>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15"/>
                <w:szCs w:val="15"/>
                <w:highlight w:val="none"/>
              </w:rPr>
            </w:pPr>
            <w:r>
              <w:rPr>
                <w:rFonts w:hint="eastAsia" w:ascii="宋体" w:hAnsi="宋体" w:cs="宋体"/>
                <w:b/>
                <w:bCs/>
                <w:color w:val="auto"/>
                <w:kern w:val="0"/>
                <w:sz w:val="20"/>
                <w:szCs w:val="20"/>
                <w:highlight w:val="none"/>
                <w:lang w:val="en-US" w:eastAsia="zh-CN"/>
              </w:rPr>
              <w:t>228.86</w:t>
            </w:r>
            <w:r>
              <w:rPr>
                <w:rFonts w:hint="eastAsia" w:ascii="宋体" w:hAnsi="宋体" w:cs="宋体"/>
                <w:b/>
                <w:bCs/>
                <w:color w:val="auto"/>
                <w:kern w:val="0"/>
                <w:sz w:val="20"/>
                <w:szCs w:val="20"/>
                <w:highlight w:val="none"/>
              </w:rPr>
              <w:t>　</w:t>
            </w:r>
          </w:p>
        </w:tc>
        <w:tc>
          <w:tcPr>
            <w:tcW w:w="2268"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9214" w:type="dxa"/>
        <w:tblInd w:w="-34" w:type="dxa"/>
        <w:tblLayout w:type="fixed"/>
        <w:tblCellMar>
          <w:top w:w="0" w:type="dxa"/>
          <w:left w:w="108" w:type="dxa"/>
          <w:bottom w:w="0" w:type="dxa"/>
          <w:right w:w="108" w:type="dxa"/>
        </w:tblCellMar>
      </w:tblPr>
      <w:tblGrid>
        <w:gridCol w:w="486"/>
        <w:gridCol w:w="500"/>
        <w:gridCol w:w="503"/>
        <w:gridCol w:w="2506"/>
        <w:gridCol w:w="1681"/>
        <w:gridCol w:w="1839"/>
        <w:gridCol w:w="1699"/>
      </w:tblGrid>
      <w:tr>
        <w:tblPrEx>
          <w:tblCellMar>
            <w:top w:w="0" w:type="dxa"/>
            <w:left w:w="108" w:type="dxa"/>
            <w:bottom w:w="0" w:type="dxa"/>
            <w:right w:w="108" w:type="dxa"/>
          </w:tblCellMar>
        </w:tblPrEx>
        <w:trPr>
          <w:trHeight w:val="462" w:hRule="atLeast"/>
        </w:trPr>
        <w:tc>
          <w:tcPr>
            <w:tcW w:w="9214" w:type="dxa"/>
            <w:gridSpan w:val="7"/>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9214" w:type="dxa"/>
            <w:gridSpan w:val="7"/>
            <w:tcBorders>
              <w:top w:val="nil"/>
              <w:left w:val="nil"/>
              <w:bottom w:val="nil"/>
              <w:right w:val="nil"/>
            </w:tcBorders>
            <w:vAlign w:val="center"/>
          </w:tcPr>
          <w:p>
            <w:pPr>
              <w:widowControl/>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Times New Roman"/>
                <w:color w:val="auto"/>
                <w:kern w:val="0"/>
                <w:sz w:val="24"/>
                <w:highlight w:val="none"/>
                <w:lang w:eastAsia="zh-CN"/>
              </w:rPr>
              <w:t>中国人民解放军新疆维吾尔自治区呼图壁县人民武装部</w:t>
            </w:r>
            <w:r>
              <w:rPr>
                <w:rFonts w:hint="eastAsia" w:ascii="仿宋_GB2312" w:hAnsi="宋体" w:eastAsia="仿宋_GB2312" w:cs="Times New Roman"/>
                <w:color w:val="auto"/>
                <w:kern w:val="0"/>
                <w:sz w:val="24"/>
                <w:highlight w:val="none"/>
                <w:lang w:val="en-US" w:eastAsia="zh-CN"/>
              </w:rPr>
              <w:t xml:space="preserve">     单位：万元</w:t>
            </w:r>
          </w:p>
        </w:tc>
      </w:tr>
      <w:tr>
        <w:tblPrEx>
          <w:tblCellMar>
            <w:top w:w="0" w:type="dxa"/>
            <w:left w:w="108" w:type="dxa"/>
            <w:bottom w:w="0" w:type="dxa"/>
            <w:right w:w="108" w:type="dxa"/>
          </w:tblCellMar>
        </w:tblPrEx>
        <w:trPr>
          <w:trHeight w:val="405" w:hRule="atLeast"/>
        </w:trPr>
        <w:tc>
          <w:tcPr>
            <w:tcW w:w="3995"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19" w:type="dxa"/>
            <w:gridSpan w:val="3"/>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489"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06"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1"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9"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9"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48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0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68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83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69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hint="eastAsia" w:ascii="仿宋_GB2312" w:hAnsi="宋体" w:eastAsia="仿宋_GB2312" w:cs="宋体"/>
                <w:b/>
                <w:color w:val="auto"/>
                <w:kern w:val="0"/>
                <w:sz w:val="20"/>
                <w:szCs w:val="20"/>
                <w:highlight w:val="none"/>
                <w:lang w:eastAsia="zh-CN"/>
              </w:rPr>
            </w:pPr>
            <w:r>
              <w:rPr>
                <w:rFonts w:hint="eastAsia" w:ascii="仿宋_GB2312" w:hAnsi="仿宋_GB2312" w:eastAsia="仿宋_GB2312" w:cs="仿宋_GB2312"/>
                <w:color w:val="000000"/>
                <w:sz w:val="18"/>
                <w:szCs w:val="18"/>
                <w:highlight w:val="none"/>
                <w:lang w:val="en-US" w:eastAsia="zh-CN"/>
              </w:rPr>
              <w:t>201</w:t>
            </w:r>
            <w:r>
              <w:rPr>
                <w:rFonts w:hint="eastAsia" w:ascii="仿宋_GB2312" w:hAnsi="仿宋_GB2312" w:eastAsia="仿宋_GB2312" w:cs="仿宋_GB2312"/>
                <w:color w:val="000000"/>
                <w:sz w:val="18"/>
                <w:szCs w:val="18"/>
                <w:highlight w:val="none"/>
              </w:rPr>
              <w:t>　</w:t>
            </w:r>
          </w:p>
        </w:tc>
        <w:tc>
          <w:tcPr>
            <w:tcW w:w="500" w:type="dxa"/>
            <w:tcBorders>
              <w:top w:val="nil"/>
              <w:left w:val="nil"/>
              <w:bottom w:val="single" w:color="auto" w:sz="4" w:space="0"/>
              <w:right w:val="single" w:color="auto" w:sz="4" w:space="0"/>
            </w:tcBorders>
            <w:vAlign w:val="center"/>
          </w:tcPr>
          <w:p>
            <w:pPr>
              <w:jc w:val="left"/>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000000"/>
                <w:sz w:val="18"/>
                <w:szCs w:val="18"/>
                <w:highlight w:val="none"/>
              </w:rPr>
              <w:t>　</w:t>
            </w:r>
          </w:p>
        </w:tc>
        <w:tc>
          <w:tcPr>
            <w:tcW w:w="503" w:type="dxa"/>
            <w:tcBorders>
              <w:top w:val="nil"/>
              <w:left w:val="nil"/>
              <w:bottom w:val="single" w:color="auto" w:sz="4" w:space="0"/>
              <w:right w:val="single" w:color="auto" w:sz="4" w:space="0"/>
            </w:tcBorders>
            <w:vAlign w:val="center"/>
          </w:tcPr>
          <w:p>
            <w:pPr>
              <w:jc w:val="left"/>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000000"/>
                <w:sz w:val="18"/>
                <w:szCs w:val="18"/>
                <w:highlight w:val="none"/>
              </w:rPr>
              <w:t>　</w:t>
            </w:r>
          </w:p>
        </w:tc>
        <w:tc>
          <w:tcPr>
            <w:tcW w:w="2506" w:type="dxa"/>
            <w:tcBorders>
              <w:top w:val="nil"/>
              <w:left w:val="nil"/>
              <w:bottom w:val="single" w:color="auto" w:sz="4" w:space="0"/>
              <w:right w:val="single" w:color="auto" w:sz="4" w:space="0"/>
            </w:tcBorders>
            <w:vAlign w:val="center"/>
          </w:tcPr>
          <w:p>
            <w:pPr>
              <w:jc w:val="center"/>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000000"/>
                <w:sz w:val="18"/>
                <w:szCs w:val="18"/>
                <w:highlight w:val="none"/>
                <w:lang w:eastAsia="zh-CN"/>
              </w:rPr>
              <w:t>一般公共服务支出</w:t>
            </w:r>
          </w:p>
        </w:tc>
        <w:tc>
          <w:tcPr>
            <w:tcW w:w="1681"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198.16</w:t>
            </w:r>
          </w:p>
        </w:tc>
        <w:tc>
          <w:tcPr>
            <w:tcW w:w="1839" w:type="dxa"/>
            <w:tcBorders>
              <w:top w:val="nil"/>
              <w:left w:val="nil"/>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color w:val="000000"/>
                <w:sz w:val="18"/>
                <w:szCs w:val="18"/>
                <w:highlight w:val="none"/>
                <w:lang w:val="en-US" w:eastAsia="zh-CN"/>
              </w:rPr>
              <w:t>98.16</w:t>
            </w:r>
          </w:p>
        </w:tc>
        <w:tc>
          <w:tcPr>
            <w:tcW w:w="1699" w:type="dxa"/>
            <w:tcBorders>
              <w:top w:val="nil"/>
              <w:left w:val="nil"/>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color w:val="000000"/>
                <w:sz w:val="18"/>
                <w:szCs w:val="18"/>
                <w:highlight w:val="none"/>
                <w:lang w:val="en-US" w:eastAsia="zh-CN"/>
              </w:rPr>
              <w:t>　100</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201</w:t>
            </w:r>
            <w:r>
              <w:rPr>
                <w:rFonts w:hint="eastAsia" w:ascii="仿宋_GB2312" w:hAnsi="仿宋_GB2312" w:eastAsia="仿宋_GB2312" w:cs="仿宋_GB2312"/>
                <w:color w:val="000000"/>
                <w:sz w:val="18"/>
                <w:szCs w:val="18"/>
                <w:highlight w:val="none"/>
              </w:rPr>
              <w:t>　</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03</w:t>
            </w:r>
            <w:r>
              <w:rPr>
                <w:rFonts w:hint="eastAsia" w:ascii="仿宋_GB2312" w:hAnsi="仿宋_GB2312" w:eastAsia="仿宋_GB2312" w:cs="仿宋_GB2312"/>
                <w:color w:val="000000"/>
                <w:sz w:val="18"/>
                <w:szCs w:val="18"/>
                <w:highlight w:val="none"/>
              </w:rPr>
              <w:t>　</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rPr>
              <w:t>　</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eastAsia="zh-CN"/>
              </w:rPr>
              <w:t>政府办公厅（室）及相关机构事务</w:t>
            </w:r>
          </w:p>
        </w:tc>
        <w:tc>
          <w:tcPr>
            <w:tcW w:w="1681"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color w:val="000000"/>
                <w:sz w:val="18"/>
                <w:szCs w:val="18"/>
                <w:highlight w:val="none"/>
                <w:lang w:val="en-US" w:eastAsia="zh-CN"/>
              </w:rPr>
              <w:t>198.16</w:t>
            </w:r>
          </w:p>
        </w:tc>
        <w:tc>
          <w:tcPr>
            <w:tcW w:w="1839"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color w:val="000000"/>
                <w:sz w:val="18"/>
                <w:szCs w:val="18"/>
                <w:highlight w:val="none"/>
                <w:lang w:val="en-US" w:eastAsia="zh-CN"/>
              </w:rPr>
              <w:t>98.16</w:t>
            </w:r>
          </w:p>
        </w:tc>
        <w:tc>
          <w:tcPr>
            <w:tcW w:w="1699" w:type="dxa"/>
            <w:tcBorders>
              <w:top w:val="nil"/>
              <w:left w:val="nil"/>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color w:val="000000"/>
                <w:sz w:val="18"/>
                <w:szCs w:val="18"/>
                <w:highlight w:val="none"/>
                <w:lang w:val="en-US" w:eastAsia="zh-CN"/>
              </w:rPr>
              <w:t>　100</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201</w:t>
            </w:r>
            <w:r>
              <w:rPr>
                <w:rFonts w:hint="eastAsia" w:ascii="仿宋_GB2312" w:hAnsi="仿宋_GB2312" w:eastAsia="仿宋_GB2312" w:cs="仿宋_GB2312"/>
                <w:color w:val="000000"/>
                <w:sz w:val="18"/>
                <w:szCs w:val="18"/>
                <w:highlight w:val="none"/>
              </w:rPr>
              <w:t>　</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03</w:t>
            </w:r>
            <w:r>
              <w:rPr>
                <w:rFonts w:hint="eastAsia" w:ascii="仿宋_GB2312" w:hAnsi="仿宋_GB2312" w:eastAsia="仿宋_GB2312" w:cs="仿宋_GB2312"/>
                <w:color w:val="000000"/>
                <w:sz w:val="18"/>
                <w:szCs w:val="18"/>
                <w:highlight w:val="none"/>
              </w:rPr>
              <w:t>　</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50</w:t>
            </w:r>
            <w:r>
              <w:rPr>
                <w:rFonts w:hint="eastAsia" w:ascii="仿宋_GB2312" w:hAnsi="仿宋_GB2312" w:eastAsia="仿宋_GB2312" w:cs="仿宋_GB2312"/>
                <w:color w:val="000000"/>
                <w:sz w:val="18"/>
                <w:szCs w:val="18"/>
                <w:highlight w:val="none"/>
              </w:rPr>
              <w:t>　</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eastAsia="zh-CN"/>
              </w:rPr>
              <w:t>事业运行</w:t>
            </w:r>
          </w:p>
        </w:tc>
        <w:tc>
          <w:tcPr>
            <w:tcW w:w="168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color w:val="000000"/>
                <w:sz w:val="18"/>
                <w:szCs w:val="18"/>
                <w:highlight w:val="none"/>
                <w:lang w:val="en-US" w:eastAsia="zh-CN"/>
              </w:rPr>
              <w:t>98.16</w:t>
            </w:r>
          </w:p>
        </w:tc>
        <w:tc>
          <w:tcPr>
            <w:tcW w:w="1839"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color w:val="000000"/>
                <w:sz w:val="18"/>
                <w:szCs w:val="18"/>
                <w:highlight w:val="none"/>
                <w:lang w:val="en-US" w:eastAsia="zh-CN"/>
              </w:rPr>
              <w:t>98.16</w:t>
            </w:r>
          </w:p>
        </w:tc>
        <w:tc>
          <w:tcPr>
            <w:tcW w:w="1699"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201</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03</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99</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b w:val="0"/>
                <w:bCs w:val="0"/>
                <w:sz w:val="18"/>
                <w:szCs w:val="18"/>
                <w:highlight w:val="none"/>
                <w:lang w:val="en-US" w:eastAsia="zh-CN"/>
              </w:rPr>
              <w:t>其他政府办公厅（室）及相关机构事务支出</w:t>
            </w:r>
          </w:p>
        </w:tc>
        <w:tc>
          <w:tcPr>
            <w:tcW w:w="1681" w:type="dxa"/>
            <w:tcBorders>
              <w:top w:val="nil"/>
              <w:left w:val="nil"/>
              <w:bottom w:val="single" w:color="auto" w:sz="4" w:space="0"/>
              <w:right w:val="single" w:color="auto" w:sz="4" w:space="0"/>
            </w:tcBorders>
            <w:shd w:val="clear" w:color="auto" w:fill="auto"/>
            <w:vAlign w:val="center"/>
          </w:tcPr>
          <w:p>
            <w:pP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w:t>
            </w:r>
          </w:p>
        </w:tc>
        <w:tc>
          <w:tcPr>
            <w:tcW w:w="1839"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highlight w:val="none"/>
                <w:lang w:val="en-US" w:eastAsia="zh-CN"/>
              </w:rPr>
            </w:pPr>
          </w:p>
        </w:tc>
        <w:tc>
          <w:tcPr>
            <w:tcW w:w="1699" w:type="dxa"/>
            <w:tcBorders>
              <w:top w:val="nil"/>
              <w:left w:val="nil"/>
              <w:bottom w:val="single" w:color="auto" w:sz="4" w:space="0"/>
              <w:right w:val="single" w:color="auto" w:sz="4" w:space="0"/>
            </w:tcBorders>
            <w:vAlign w:val="center"/>
          </w:tcPr>
          <w:p>
            <w:pPr>
              <w:widowControl/>
              <w:ind w:firstLine="600" w:firstLineChars="30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208</w:t>
            </w:r>
            <w:r>
              <w:rPr>
                <w:rFonts w:hint="eastAsia" w:ascii="仿宋_GB2312" w:hAnsi="仿宋_GB2312" w:eastAsia="仿宋_GB2312" w:cs="仿宋_GB2312"/>
                <w:color w:val="000000"/>
                <w:sz w:val="18"/>
                <w:szCs w:val="18"/>
                <w:highlight w:val="none"/>
              </w:rPr>
              <w:t>　</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rPr>
              <w:t>　</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rPr>
              <w:t>　</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b w:val="0"/>
                <w:bCs w:val="0"/>
                <w:sz w:val="18"/>
                <w:szCs w:val="18"/>
                <w:highlight w:val="none"/>
                <w:lang w:eastAsia="zh-CN"/>
              </w:rPr>
              <w:t>社会保障和就业支出</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13.75</w:t>
            </w:r>
          </w:p>
        </w:tc>
        <w:tc>
          <w:tcPr>
            <w:tcW w:w="1839"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color w:val="000000"/>
                <w:sz w:val="18"/>
                <w:szCs w:val="18"/>
                <w:highlight w:val="none"/>
                <w:lang w:val="en-US" w:eastAsia="zh-CN"/>
              </w:rPr>
              <w:t>13.75</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208</w:t>
            </w:r>
            <w:r>
              <w:rPr>
                <w:rFonts w:hint="eastAsia" w:ascii="仿宋_GB2312" w:hAnsi="仿宋_GB2312" w:eastAsia="仿宋_GB2312" w:cs="仿宋_GB2312"/>
                <w:color w:val="000000"/>
                <w:sz w:val="18"/>
                <w:szCs w:val="18"/>
                <w:highlight w:val="none"/>
              </w:rPr>
              <w:t>　</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05</w:t>
            </w:r>
            <w:r>
              <w:rPr>
                <w:rFonts w:hint="eastAsia" w:ascii="仿宋_GB2312" w:hAnsi="仿宋_GB2312" w:eastAsia="仿宋_GB2312" w:cs="仿宋_GB2312"/>
                <w:color w:val="000000"/>
                <w:sz w:val="18"/>
                <w:szCs w:val="18"/>
                <w:highlight w:val="none"/>
              </w:rPr>
              <w:t>　</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rPr>
              <w:t>　</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b w:val="0"/>
                <w:bCs w:val="0"/>
                <w:sz w:val="18"/>
                <w:szCs w:val="18"/>
                <w:highlight w:val="none"/>
                <w:lang w:eastAsia="zh-CN"/>
              </w:rPr>
              <w:t>行政事业单位养老支出</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13.75</w:t>
            </w:r>
          </w:p>
        </w:tc>
        <w:tc>
          <w:tcPr>
            <w:tcW w:w="1839"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color w:val="000000"/>
                <w:sz w:val="18"/>
                <w:szCs w:val="18"/>
                <w:highlight w:val="none"/>
                <w:lang w:val="en-US" w:eastAsia="zh-CN"/>
              </w:rPr>
              <w:t>13.75</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208</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05</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02</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b w:val="0"/>
                <w:bCs w:val="0"/>
                <w:sz w:val="18"/>
                <w:szCs w:val="18"/>
                <w:highlight w:val="none"/>
                <w:lang w:val="en-US" w:eastAsia="zh-CN"/>
              </w:rPr>
              <w:t>事业单位离退休</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3.11</w:t>
            </w:r>
          </w:p>
        </w:tc>
        <w:tc>
          <w:tcPr>
            <w:tcW w:w="1839"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color w:val="000000"/>
                <w:sz w:val="18"/>
                <w:szCs w:val="18"/>
                <w:highlight w:val="none"/>
                <w:lang w:val="en-US" w:eastAsia="zh-CN"/>
              </w:rPr>
              <w:t>3.11</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208</w:t>
            </w:r>
            <w:r>
              <w:rPr>
                <w:rFonts w:hint="eastAsia" w:ascii="仿宋_GB2312" w:hAnsi="仿宋_GB2312" w:eastAsia="仿宋_GB2312" w:cs="仿宋_GB2312"/>
                <w:color w:val="000000"/>
                <w:sz w:val="18"/>
                <w:szCs w:val="18"/>
                <w:highlight w:val="none"/>
              </w:rPr>
              <w:t>　</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05</w:t>
            </w:r>
            <w:r>
              <w:rPr>
                <w:rFonts w:hint="eastAsia" w:ascii="仿宋_GB2312" w:hAnsi="仿宋_GB2312" w:eastAsia="仿宋_GB2312" w:cs="仿宋_GB2312"/>
                <w:color w:val="000000"/>
                <w:sz w:val="18"/>
                <w:szCs w:val="18"/>
                <w:highlight w:val="none"/>
              </w:rPr>
              <w:t>　</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05</w:t>
            </w:r>
            <w:r>
              <w:rPr>
                <w:rFonts w:hint="eastAsia" w:ascii="仿宋_GB2312" w:hAnsi="仿宋_GB2312" w:eastAsia="仿宋_GB2312" w:cs="仿宋_GB2312"/>
                <w:color w:val="000000"/>
                <w:sz w:val="18"/>
                <w:szCs w:val="18"/>
                <w:highlight w:val="none"/>
              </w:rPr>
              <w:t>　</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b w:val="0"/>
                <w:bCs w:val="0"/>
                <w:sz w:val="18"/>
                <w:szCs w:val="18"/>
                <w:highlight w:val="none"/>
              </w:rPr>
              <w:t>机关事业单位基本 养老保险缴费支出</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10.64</w:t>
            </w:r>
          </w:p>
        </w:tc>
        <w:tc>
          <w:tcPr>
            <w:tcW w:w="1839"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color w:val="000000"/>
                <w:sz w:val="18"/>
                <w:szCs w:val="18"/>
                <w:highlight w:val="none"/>
                <w:lang w:val="en-US" w:eastAsia="zh-CN"/>
              </w:rPr>
              <w:t>10.64</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210</w:t>
            </w:r>
            <w:r>
              <w:rPr>
                <w:rFonts w:hint="eastAsia" w:ascii="仿宋_GB2312" w:hAnsi="仿宋_GB2312" w:eastAsia="仿宋_GB2312" w:cs="仿宋_GB2312"/>
                <w:color w:val="000000"/>
                <w:sz w:val="18"/>
                <w:szCs w:val="18"/>
                <w:highlight w:val="none"/>
              </w:rPr>
              <w:t>　</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rPr>
              <w:t>　</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rPr>
              <w:t>　</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eastAsia="zh-CN"/>
              </w:rPr>
              <w:t>卫生健康支出</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8.05</w:t>
            </w:r>
          </w:p>
        </w:tc>
        <w:tc>
          <w:tcPr>
            <w:tcW w:w="1839"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color w:val="000000"/>
                <w:sz w:val="18"/>
                <w:szCs w:val="18"/>
                <w:highlight w:val="none"/>
                <w:lang w:val="en-US" w:eastAsia="zh-CN"/>
              </w:rPr>
              <w:t>8.05</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210</w:t>
            </w:r>
            <w:r>
              <w:rPr>
                <w:rFonts w:hint="eastAsia" w:ascii="仿宋_GB2312" w:hAnsi="仿宋_GB2312" w:eastAsia="仿宋_GB2312" w:cs="仿宋_GB2312"/>
                <w:color w:val="000000"/>
                <w:sz w:val="18"/>
                <w:szCs w:val="18"/>
                <w:highlight w:val="none"/>
              </w:rPr>
              <w:t>　</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11</w:t>
            </w:r>
            <w:r>
              <w:rPr>
                <w:rFonts w:hint="eastAsia" w:ascii="仿宋_GB2312" w:hAnsi="仿宋_GB2312" w:eastAsia="仿宋_GB2312" w:cs="仿宋_GB2312"/>
                <w:color w:val="000000"/>
                <w:sz w:val="18"/>
                <w:szCs w:val="18"/>
                <w:highlight w:val="none"/>
              </w:rPr>
              <w:t>　</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rPr>
              <w:t>　</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eastAsia="zh-CN"/>
              </w:rPr>
              <w:t>行政事业单位医疗</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8.05</w:t>
            </w:r>
          </w:p>
        </w:tc>
        <w:tc>
          <w:tcPr>
            <w:tcW w:w="1839"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color w:val="000000"/>
                <w:sz w:val="18"/>
                <w:szCs w:val="18"/>
                <w:highlight w:val="none"/>
                <w:lang w:val="en-US" w:eastAsia="zh-CN"/>
              </w:rPr>
              <w:t>8.05</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210</w:t>
            </w:r>
            <w:r>
              <w:rPr>
                <w:rFonts w:hint="eastAsia" w:ascii="仿宋_GB2312" w:hAnsi="仿宋_GB2312" w:eastAsia="仿宋_GB2312" w:cs="仿宋_GB2312"/>
                <w:color w:val="000000"/>
                <w:sz w:val="18"/>
                <w:szCs w:val="18"/>
                <w:highlight w:val="none"/>
              </w:rPr>
              <w:t>　</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11</w:t>
            </w:r>
            <w:r>
              <w:rPr>
                <w:rFonts w:hint="eastAsia" w:ascii="仿宋_GB2312" w:hAnsi="仿宋_GB2312" w:eastAsia="仿宋_GB2312" w:cs="仿宋_GB2312"/>
                <w:color w:val="000000"/>
                <w:sz w:val="18"/>
                <w:szCs w:val="18"/>
                <w:highlight w:val="none"/>
              </w:rPr>
              <w:t>　</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02</w:t>
            </w:r>
            <w:r>
              <w:rPr>
                <w:rFonts w:hint="eastAsia" w:ascii="仿宋_GB2312" w:hAnsi="仿宋_GB2312" w:eastAsia="仿宋_GB2312" w:cs="仿宋_GB2312"/>
                <w:color w:val="000000"/>
                <w:sz w:val="18"/>
                <w:szCs w:val="18"/>
                <w:highlight w:val="none"/>
              </w:rPr>
              <w:t>　</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事业</w:t>
            </w:r>
            <w:r>
              <w:rPr>
                <w:rFonts w:hint="eastAsia" w:ascii="仿宋_GB2312" w:hAnsi="仿宋_GB2312" w:eastAsia="仿宋_GB2312" w:cs="仿宋_GB2312"/>
                <w:color w:val="000000"/>
                <w:sz w:val="18"/>
                <w:szCs w:val="18"/>
                <w:highlight w:val="none"/>
              </w:rPr>
              <w:t>单位医疗</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5.32</w:t>
            </w:r>
          </w:p>
        </w:tc>
        <w:tc>
          <w:tcPr>
            <w:tcW w:w="1839"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color w:val="000000"/>
                <w:sz w:val="18"/>
                <w:szCs w:val="18"/>
                <w:highlight w:val="none"/>
                <w:lang w:val="en-US" w:eastAsia="zh-CN"/>
              </w:rPr>
              <w:t>5.32</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210</w:t>
            </w:r>
            <w:r>
              <w:rPr>
                <w:rFonts w:hint="eastAsia" w:ascii="仿宋_GB2312" w:hAnsi="仿宋_GB2312" w:eastAsia="仿宋_GB2312" w:cs="仿宋_GB2312"/>
                <w:color w:val="000000"/>
                <w:sz w:val="18"/>
                <w:szCs w:val="18"/>
                <w:highlight w:val="none"/>
              </w:rPr>
              <w:t>　</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11</w:t>
            </w:r>
            <w:r>
              <w:rPr>
                <w:rFonts w:hint="eastAsia" w:ascii="仿宋_GB2312" w:hAnsi="仿宋_GB2312" w:eastAsia="仿宋_GB2312" w:cs="仿宋_GB2312"/>
                <w:color w:val="000000"/>
                <w:sz w:val="18"/>
                <w:szCs w:val="18"/>
                <w:highlight w:val="none"/>
              </w:rPr>
              <w:t>　</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03</w:t>
            </w:r>
            <w:r>
              <w:rPr>
                <w:rFonts w:hint="eastAsia" w:ascii="仿宋_GB2312" w:hAnsi="仿宋_GB2312" w:eastAsia="仿宋_GB2312" w:cs="仿宋_GB2312"/>
                <w:color w:val="000000"/>
                <w:sz w:val="18"/>
                <w:szCs w:val="18"/>
                <w:highlight w:val="none"/>
              </w:rPr>
              <w:t>　</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rPr>
              <w:t>公务员医疗补助</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2.66</w:t>
            </w:r>
          </w:p>
        </w:tc>
        <w:tc>
          <w:tcPr>
            <w:tcW w:w="1839"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color w:val="000000"/>
                <w:sz w:val="18"/>
                <w:szCs w:val="18"/>
                <w:highlight w:val="none"/>
                <w:lang w:val="en-US" w:eastAsia="zh-CN"/>
              </w:rPr>
              <w:t>2.66</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210</w:t>
            </w:r>
            <w:r>
              <w:rPr>
                <w:rFonts w:hint="eastAsia" w:ascii="仿宋_GB2312" w:hAnsi="仿宋_GB2312" w:eastAsia="仿宋_GB2312" w:cs="仿宋_GB2312"/>
                <w:color w:val="000000"/>
                <w:sz w:val="18"/>
                <w:szCs w:val="18"/>
                <w:highlight w:val="none"/>
              </w:rPr>
              <w:t>　</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11</w:t>
            </w:r>
            <w:r>
              <w:rPr>
                <w:rFonts w:hint="eastAsia" w:ascii="仿宋_GB2312" w:hAnsi="仿宋_GB2312" w:eastAsia="仿宋_GB2312" w:cs="仿宋_GB2312"/>
                <w:color w:val="000000"/>
                <w:sz w:val="18"/>
                <w:szCs w:val="18"/>
                <w:highlight w:val="none"/>
              </w:rPr>
              <w:t>　</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99</w:t>
            </w:r>
            <w:r>
              <w:rPr>
                <w:rFonts w:hint="eastAsia" w:ascii="仿宋_GB2312" w:hAnsi="仿宋_GB2312" w:eastAsia="仿宋_GB2312" w:cs="仿宋_GB2312"/>
                <w:color w:val="000000"/>
                <w:sz w:val="18"/>
                <w:szCs w:val="18"/>
                <w:highlight w:val="none"/>
              </w:rPr>
              <w:t>　</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eastAsia="zh-CN"/>
              </w:rPr>
              <w:t>其他行政事业单位医疗支出</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0.07</w:t>
            </w:r>
          </w:p>
        </w:tc>
        <w:tc>
          <w:tcPr>
            <w:tcW w:w="1839"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color w:val="000000"/>
                <w:sz w:val="18"/>
                <w:szCs w:val="18"/>
                <w:highlight w:val="none"/>
                <w:lang w:val="en-US" w:eastAsia="zh-CN"/>
              </w:rPr>
              <w:t>0.07</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221</w:t>
            </w:r>
            <w:r>
              <w:rPr>
                <w:rFonts w:hint="eastAsia" w:ascii="仿宋_GB2312" w:hAnsi="仿宋_GB2312" w:eastAsia="仿宋_GB2312" w:cs="仿宋_GB2312"/>
                <w:color w:val="000000"/>
                <w:sz w:val="18"/>
                <w:szCs w:val="18"/>
                <w:highlight w:val="none"/>
              </w:rPr>
              <w:t>　</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rPr>
              <w:t>　</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rPr>
              <w:t>　</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eastAsia="zh-CN"/>
              </w:rPr>
              <w:t>住房保障支出</w:t>
            </w:r>
          </w:p>
        </w:tc>
        <w:tc>
          <w:tcPr>
            <w:tcW w:w="1681" w:type="dxa"/>
            <w:tcBorders>
              <w:top w:val="nil"/>
              <w:left w:val="nil"/>
              <w:bottom w:val="single" w:color="auto" w:sz="4" w:space="0"/>
              <w:right w:val="single" w:color="auto" w:sz="4" w:space="0"/>
            </w:tcBorders>
            <w:vAlign w:val="center"/>
          </w:tcPr>
          <w:p>
            <w:pPr>
              <w:jc w:val="center"/>
              <w:rPr>
                <w:rFonts w:hint="default" w:ascii="宋体" w:hAnsi="宋体" w:cs="宋体"/>
                <w:color w:val="auto"/>
                <w:kern w:val="0"/>
                <w:sz w:val="20"/>
                <w:szCs w:val="20"/>
                <w:highlight w:val="none"/>
                <w:lang w:val="en-US"/>
              </w:rPr>
            </w:pPr>
            <w:r>
              <w:rPr>
                <w:rFonts w:hint="eastAsia" w:ascii="仿宋_GB2312" w:hAnsi="仿宋_GB2312" w:eastAsia="仿宋_GB2312" w:cs="仿宋_GB2312"/>
                <w:color w:val="000000"/>
                <w:sz w:val="18"/>
                <w:szCs w:val="18"/>
                <w:highlight w:val="none"/>
                <w:lang w:val="en-US" w:eastAsia="zh-CN"/>
              </w:rPr>
              <w:t>8.9</w:t>
            </w:r>
          </w:p>
        </w:tc>
        <w:tc>
          <w:tcPr>
            <w:tcW w:w="1839"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color w:val="000000"/>
                <w:sz w:val="18"/>
                <w:szCs w:val="18"/>
                <w:highlight w:val="none"/>
                <w:lang w:val="en-US" w:eastAsia="zh-CN"/>
              </w:rPr>
              <w:t>8.9</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221</w:t>
            </w:r>
            <w:r>
              <w:rPr>
                <w:rFonts w:hint="eastAsia" w:ascii="仿宋_GB2312" w:hAnsi="仿宋_GB2312" w:eastAsia="仿宋_GB2312" w:cs="仿宋_GB2312"/>
                <w:color w:val="000000"/>
                <w:sz w:val="18"/>
                <w:szCs w:val="18"/>
                <w:highlight w:val="none"/>
              </w:rPr>
              <w:t>　</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02</w:t>
            </w:r>
            <w:r>
              <w:rPr>
                <w:rFonts w:hint="eastAsia" w:ascii="仿宋_GB2312" w:hAnsi="仿宋_GB2312" w:eastAsia="仿宋_GB2312" w:cs="仿宋_GB2312"/>
                <w:color w:val="000000"/>
                <w:sz w:val="18"/>
                <w:szCs w:val="18"/>
                <w:highlight w:val="none"/>
              </w:rPr>
              <w:t>　</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rPr>
              <w:t>　</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eastAsia="zh-CN"/>
              </w:rPr>
              <w:t>住房改革支出</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8.9</w:t>
            </w:r>
          </w:p>
        </w:tc>
        <w:tc>
          <w:tcPr>
            <w:tcW w:w="1839"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color w:val="000000"/>
                <w:sz w:val="18"/>
                <w:szCs w:val="18"/>
                <w:highlight w:val="none"/>
                <w:lang w:val="en-US" w:eastAsia="zh-CN"/>
              </w:rPr>
              <w:t>8.9</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221</w:t>
            </w:r>
            <w:r>
              <w:rPr>
                <w:rFonts w:hint="eastAsia" w:ascii="仿宋_GB2312" w:hAnsi="仿宋_GB2312" w:eastAsia="仿宋_GB2312" w:cs="仿宋_GB2312"/>
                <w:color w:val="000000"/>
                <w:sz w:val="18"/>
                <w:szCs w:val="18"/>
                <w:highlight w:val="none"/>
              </w:rPr>
              <w:t>　</w:t>
            </w:r>
          </w:p>
        </w:tc>
        <w:tc>
          <w:tcPr>
            <w:tcW w:w="500"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02</w:t>
            </w:r>
            <w:r>
              <w:rPr>
                <w:rFonts w:hint="eastAsia" w:ascii="仿宋_GB2312" w:hAnsi="仿宋_GB2312" w:eastAsia="仿宋_GB2312" w:cs="仿宋_GB2312"/>
                <w:color w:val="000000"/>
                <w:sz w:val="18"/>
                <w:szCs w:val="18"/>
                <w:highlight w:val="none"/>
              </w:rPr>
              <w:t>　</w:t>
            </w:r>
          </w:p>
        </w:tc>
        <w:tc>
          <w:tcPr>
            <w:tcW w:w="503" w:type="dxa"/>
            <w:tcBorders>
              <w:top w:val="nil"/>
              <w:left w:val="nil"/>
              <w:bottom w:val="single" w:color="auto" w:sz="4" w:space="0"/>
              <w:right w:val="single" w:color="auto" w:sz="4" w:space="0"/>
            </w:tcBorders>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01</w:t>
            </w:r>
            <w:r>
              <w:rPr>
                <w:rFonts w:hint="eastAsia" w:ascii="仿宋_GB2312" w:hAnsi="仿宋_GB2312" w:eastAsia="仿宋_GB2312" w:cs="仿宋_GB2312"/>
                <w:color w:val="000000"/>
                <w:sz w:val="18"/>
                <w:szCs w:val="18"/>
                <w:highlight w:val="none"/>
              </w:rPr>
              <w:t>　</w:t>
            </w:r>
          </w:p>
        </w:tc>
        <w:tc>
          <w:tcPr>
            <w:tcW w:w="2506" w:type="dxa"/>
            <w:tcBorders>
              <w:top w:val="nil"/>
              <w:left w:val="nil"/>
              <w:bottom w:val="single" w:color="auto" w:sz="4" w:space="0"/>
              <w:right w:val="single" w:color="auto" w:sz="4" w:space="0"/>
            </w:tcBorders>
            <w:vAlign w:val="center"/>
          </w:tcPr>
          <w:p>
            <w:pPr>
              <w:ind w:firstLine="720" w:firstLineChars="400"/>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rPr>
              <w:t>住房公积金</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8.9</w:t>
            </w:r>
          </w:p>
        </w:tc>
        <w:tc>
          <w:tcPr>
            <w:tcW w:w="1839"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color w:val="000000"/>
                <w:sz w:val="18"/>
                <w:szCs w:val="18"/>
                <w:highlight w:val="none"/>
                <w:lang w:val="en-US" w:eastAsia="zh-CN"/>
              </w:rPr>
              <w:t>8.9</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0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0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50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68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83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50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228.86</w:t>
            </w:r>
          </w:p>
        </w:tc>
        <w:tc>
          <w:tcPr>
            <w:tcW w:w="1839"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128.86</w:t>
            </w:r>
          </w:p>
        </w:tc>
        <w:tc>
          <w:tcPr>
            <w:tcW w:w="1699"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100</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328" w:type="dxa"/>
        <w:tblInd w:w="-148" w:type="dxa"/>
        <w:tblLayout w:type="fixed"/>
        <w:tblCellMar>
          <w:top w:w="0" w:type="dxa"/>
          <w:left w:w="108" w:type="dxa"/>
          <w:bottom w:w="0" w:type="dxa"/>
          <w:right w:w="108" w:type="dxa"/>
        </w:tblCellMar>
      </w:tblPr>
      <w:tblGrid>
        <w:gridCol w:w="757"/>
        <w:gridCol w:w="577"/>
        <w:gridCol w:w="2891"/>
        <w:gridCol w:w="1701"/>
        <w:gridCol w:w="1701"/>
        <w:gridCol w:w="1701"/>
      </w:tblGrid>
      <w:tr>
        <w:tblPrEx>
          <w:tblCellMar>
            <w:top w:w="0" w:type="dxa"/>
            <w:left w:w="108" w:type="dxa"/>
            <w:bottom w:w="0" w:type="dxa"/>
            <w:right w:w="108" w:type="dxa"/>
          </w:tblCellMar>
        </w:tblPrEx>
        <w:trPr>
          <w:trHeight w:val="375" w:hRule="atLeast"/>
        </w:trPr>
        <w:tc>
          <w:tcPr>
            <w:tcW w:w="9328" w:type="dxa"/>
            <w:gridSpan w:val="6"/>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9328" w:type="dxa"/>
            <w:gridSpan w:val="6"/>
            <w:tcBorders>
              <w:top w:val="nil"/>
              <w:left w:val="nil"/>
              <w:bottom w:val="nil"/>
              <w:right w:val="nil"/>
            </w:tcBorders>
            <w:vAlign w:val="center"/>
          </w:tcPr>
          <w:p>
            <w:pPr>
              <w:widowControl/>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Times New Roman"/>
                <w:color w:val="auto"/>
                <w:kern w:val="0"/>
                <w:sz w:val="24"/>
                <w:highlight w:val="none"/>
                <w:lang w:eastAsia="zh-CN"/>
              </w:rPr>
              <w:t>中国人民解放军新疆维吾尔自治区呼图壁县人民武装部</w:t>
            </w:r>
            <w:r>
              <w:rPr>
                <w:rFonts w:hint="eastAsia" w:ascii="仿宋_GB2312" w:hAnsi="宋体" w:eastAsia="仿宋_GB2312" w:cs="Times New Roman"/>
                <w:color w:val="auto"/>
                <w:kern w:val="0"/>
                <w:sz w:val="24"/>
                <w:highlight w:val="none"/>
                <w:lang w:val="en-US" w:eastAsia="zh-CN"/>
              </w:rPr>
              <w:t xml:space="preserve">    </w:t>
            </w: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3"/>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仿宋_GB2312" w:eastAsia="仿宋_GB2312" w:cs="仿宋_GB2312"/>
                <w:color w:val="000000"/>
                <w:kern w:val="0"/>
                <w:sz w:val="20"/>
                <w:szCs w:val="20"/>
                <w:highlight w:val="none"/>
                <w:lang w:eastAsia="zh-CN"/>
              </w:rPr>
              <w:t>工资福利支出</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102.03</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102.03</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rPr>
              <w:t>01</w:t>
            </w:r>
          </w:p>
        </w:tc>
        <w:tc>
          <w:tcPr>
            <w:tcW w:w="2891" w:type="dxa"/>
            <w:tcBorders>
              <w:top w:val="nil"/>
              <w:left w:val="nil"/>
              <w:bottom w:val="single" w:color="auto" w:sz="4" w:space="0"/>
              <w:right w:val="single" w:color="auto" w:sz="4" w:space="0"/>
            </w:tcBorders>
            <w:vAlign w:val="center"/>
          </w:tcPr>
          <w:p>
            <w:pPr>
              <w:widowControl/>
              <w:jc w:val="center"/>
              <w:textAlignment w:val="center"/>
              <w:rPr>
                <w:rFonts w:ascii="仿宋_GB2312" w:hAnsi="宋体" w:eastAsia="仿宋_GB2312" w:cs="宋体"/>
                <w:color w:val="auto"/>
                <w:kern w:val="0"/>
                <w:sz w:val="20"/>
                <w:szCs w:val="20"/>
                <w:highlight w:val="none"/>
              </w:rPr>
            </w:pPr>
            <w:r>
              <w:rPr>
                <w:rFonts w:hint="eastAsia" w:ascii="仿宋_GB2312" w:hAnsi="仿宋_GB2312" w:eastAsia="仿宋_GB2312" w:cs="仿宋_GB2312"/>
                <w:color w:val="000000"/>
                <w:sz w:val="18"/>
                <w:szCs w:val="18"/>
                <w:highlight w:val="none"/>
              </w:rPr>
              <w:t>基本工资</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26.88</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26.88</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rPr>
              <w:t>02</w:t>
            </w:r>
          </w:p>
        </w:tc>
        <w:tc>
          <w:tcPr>
            <w:tcW w:w="2891" w:type="dxa"/>
            <w:tcBorders>
              <w:top w:val="nil"/>
              <w:left w:val="nil"/>
              <w:bottom w:val="single" w:color="auto" w:sz="4" w:space="0"/>
              <w:right w:val="single" w:color="auto" w:sz="4" w:space="0"/>
            </w:tcBorders>
            <w:vAlign w:val="center"/>
          </w:tcPr>
          <w:p>
            <w:pPr>
              <w:widowControl/>
              <w:jc w:val="center"/>
              <w:textAlignment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18"/>
                <w:szCs w:val="18"/>
                <w:highlight w:val="none"/>
              </w:rPr>
              <w:t>津贴补贴</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23.62</w:t>
            </w:r>
          </w:p>
        </w:tc>
        <w:tc>
          <w:tcPr>
            <w:tcW w:w="1701" w:type="dxa"/>
            <w:tcBorders>
              <w:top w:val="nil"/>
              <w:left w:val="nil"/>
              <w:bottom w:val="single" w:color="auto" w:sz="4" w:space="0"/>
              <w:right w:val="single" w:color="auto" w:sz="4" w:space="0"/>
            </w:tcBorders>
            <w:vAlign w:val="center"/>
          </w:tcPr>
          <w:p>
            <w:pPr>
              <w:widowControl/>
              <w:ind w:right="147" w:rightChars="7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xml:space="preserve"> 23.62</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03</w:t>
            </w:r>
          </w:p>
        </w:tc>
        <w:tc>
          <w:tcPr>
            <w:tcW w:w="289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lang w:eastAsia="zh-CN"/>
              </w:rPr>
              <w:t>奖金</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21.54</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21.54</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07</w:t>
            </w:r>
          </w:p>
        </w:tc>
        <w:tc>
          <w:tcPr>
            <w:tcW w:w="2891" w:type="dxa"/>
            <w:tcBorders>
              <w:top w:val="nil"/>
              <w:left w:val="nil"/>
              <w:bottom w:val="single" w:color="auto" w:sz="4" w:space="0"/>
              <w:right w:val="single" w:color="auto" w:sz="4" w:space="0"/>
            </w:tcBorders>
            <w:vAlign w:val="center"/>
          </w:tcPr>
          <w:p>
            <w:pPr>
              <w:jc w:val="center"/>
              <w:rPr>
                <w:rFonts w:hint="default" w:ascii="仿宋_GB2312" w:hAnsi="仿宋_GB2312" w:eastAsia="仿宋_GB2312" w:cs="仿宋_GB2312"/>
                <w:color w:val="000000"/>
                <w:sz w:val="18"/>
                <w:szCs w:val="18"/>
                <w:highlight w:val="none"/>
                <w:lang w:val="en-US" w:eastAsia="zh-CN"/>
              </w:rPr>
            </w:pPr>
            <w:r>
              <w:rPr>
                <w:rFonts w:hint="eastAsia" w:ascii="仿宋_GB2312" w:hAnsi="仿宋_GB2312" w:eastAsia="仿宋_GB2312" w:cs="仿宋_GB2312"/>
                <w:color w:val="000000"/>
                <w:sz w:val="18"/>
                <w:szCs w:val="18"/>
                <w:highlight w:val="none"/>
                <w:lang w:val="en-US" w:eastAsia="zh-CN"/>
              </w:rPr>
              <w:t>绩效工资</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2.10</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2.10</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rPr>
              <w:t>08</w:t>
            </w:r>
          </w:p>
        </w:tc>
        <w:tc>
          <w:tcPr>
            <w:tcW w:w="289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rPr>
              <w:t>机关事业单位基本养老保险</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10.64</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10.64</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rPr>
              <w:t>10</w:t>
            </w:r>
          </w:p>
        </w:tc>
        <w:tc>
          <w:tcPr>
            <w:tcW w:w="289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rPr>
              <w:t>职工基本医疗保险缴费</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5.32</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5.32</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rPr>
              <w:t>11</w:t>
            </w:r>
          </w:p>
        </w:tc>
        <w:tc>
          <w:tcPr>
            <w:tcW w:w="289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rPr>
              <w:t>公务员医疗补助缴费</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2.66</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2.66</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rPr>
              <w:t>12</w:t>
            </w:r>
          </w:p>
        </w:tc>
        <w:tc>
          <w:tcPr>
            <w:tcW w:w="289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rPr>
              <w:t>其他社会保障缴费</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0.37</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0.37</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rPr>
              <w:t>13</w:t>
            </w:r>
          </w:p>
        </w:tc>
        <w:tc>
          <w:tcPr>
            <w:tcW w:w="289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highlight w:val="none"/>
              </w:rPr>
              <w:t>住房公积金</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8.9</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8.9</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lang w:eastAsia="zh-CN"/>
              </w:rPr>
              <w:t>商品和服务支出</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23.05</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23.05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05</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lang w:eastAsia="zh-CN"/>
              </w:rPr>
              <w:t>水费</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1.39</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08</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lang w:eastAsia="zh-CN"/>
              </w:rPr>
              <w:t>取暖费</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20.37</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20.37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28</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lang w:eastAsia="zh-CN"/>
              </w:rPr>
              <w:t>工会经费</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1.29</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lang w:eastAsia="zh-CN"/>
              </w:rPr>
              <w:t>对个人和家庭的补助</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3.78</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3.78</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02</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lang w:eastAsia="zh-CN"/>
              </w:rPr>
              <w:t>退休费</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3.11</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3.11</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05</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lang w:eastAsia="zh-CN"/>
              </w:rPr>
              <w:t>生活补助</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0.01</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0.01</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lang w:val="en-US" w:eastAsia="zh-CN"/>
              </w:rPr>
              <w:t>09</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highlight w:val="none"/>
                <w:lang w:eastAsia="zh-CN"/>
              </w:rPr>
              <w:t>奖励金</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0.66</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0.66</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128.86</w:t>
            </w:r>
          </w:p>
        </w:tc>
        <w:tc>
          <w:tcPr>
            <w:tcW w:w="1701"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105.81</w:t>
            </w:r>
          </w:p>
        </w:tc>
        <w:tc>
          <w:tcPr>
            <w:tcW w:w="1701"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 xml:space="preserve">  23.05</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W w:w="9540" w:type="dxa"/>
        <w:tblInd w:w="-360" w:type="dxa"/>
        <w:tblLayout w:type="fixed"/>
        <w:tblCellMar>
          <w:top w:w="0" w:type="dxa"/>
          <w:left w:w="108" w:type="dxa"/>
          <w:bottom w:w="0" w:type="dxa"/>
          <w:right w:w="108" w:type="dxa"/>
        </w:tblCellMar>
      </w:tblPr>
      <w:tblGrid>
        <w:gridCol w:w="9"/>
        <w:gridCol w:w="477"/>
        <w:gridCol w:w="417"/>
        <w:gridCol w:w="417"/>
        <w:gridCol w:w="825"/>
        <w:gridCol w:w="1367"/>
        <w:gridCol w:w="724"/>
        <w:gridCol w:w="555"/>
        <w:gridCol w:w="686"/>
        <w:gridCol w:w="475"/>
        <w:gridCol w:w="630"/>
        <w:gridCol w:w="618"/>
        <w:gridCol w:w="419"/>
        <w:gridCol w:w="618"/>
        <w:gridCol w:w="420"/>
        <w:gridCol w:w="420"/>
        <w:gridCol w:w="387"/>
        <w:gridCol w:w="76"/>
      </w:tblGrid>
      <w:tr>
        <w:tblPrEx>
          <w:tblCellMar>
            <w:top w:w="0" w:type="dxa"/>
            <w:left w:w="108" w:type="dxa"/>
            <w:bottom w:w="0" w:type="dxa"/>
            <w:right w:w="108" w:type="dxa"/>
          </w:tblCellMar>
        </w:tblPrEx>
        <w:trPr>
          <w:gridBefore w:val="1"/>
          <w:gridAfter w:val="1"/>
          <w:wBefore w:w="9" w:type="dxa"/>
          <w:wAfter w:w="76" w:type="dxa"/>
          <w:trHeight w:val="375" w:hRule="atLeast"/>
        </w:trPr>
        <w:tc>
          <w:tcPr>
            <w:tcW w:w="9455" w:type="dxa"/>
            <w:gridSpan w:val="16"/>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9" w:type="dxa"/>
          <w:wAfter w:w="76" w:type="dxa"/>
          <w:trHeight w:val="405" w:hRule="atLeast"/>
        </w:trPr>
        <w:tc>
          <w:tcPr>
            <w:tcW w:w="9455" w:type="dxa"/>
            <w:gridSpan w:val="16"/>
            <w:tcBorders>
              <w:top w:val="nil"/>
              <w:left w:val="nil"/>
              <w:bottom w:val="nil"/>
              <w:right w:val="nil"/>
            </w:tcBorders>
            <w:vAlign w:val="center"/>
          </w:tcPr>
          <w:p>
            <w:pPr>
              <w:widowControl/>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Times New Roman"/>
                <w:color w:val="auto"/>
                <w:kern w:val="0"/>
                <w:sz w:val="24"/>
                <w:highlight w:val="none"/>
                <w:lang w:eastAsia="zh-CN"/>
              </w:rPr>
              <w:t>中国人民解放军新疆维吾尔自治区呼图壁县人民武装部</w:t>
            </w:r>
            <w:r>
              <w:rPr>
                <w:rFonts w:hint="eastAsia" w:ascii="仿宋_GB2312" w:hAnsi="宋体" w:eastAsia="仿宋_GB2312" w:cs="Times New Roman"/>
                <w:color w:val="auto"/>
                <w:kern w:val="0"/>
                <w:sz w:val="24"/>
                <w:highlight w:val="none"/>
                <w:lang w:val="en-US" w:eastAsia="zh-CN"/>
              </w:rPr>
              <w:t xml:space="preserve">      </w:t>
            </w: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20" w:type="dxa"/>
            <w:gridSpan w:val="4"/>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5" w:type="dxa"/>
            <w:vMerge w:val="restart"/>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367"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24"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5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686"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47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3"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86" w:type="dxa"/>
            <w:gridSpan w:val="2"/>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5" w:type="dxa"/>
            <w:vMerge w:val="continue"/>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p>
        </w:tc>
        <w:tc>
          <w:tcPr>
            <w:tcW w:w="1367"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724"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55"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86"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75"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3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63"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vAlign w:val="center"/>
          </w:tcPr>
          <w:p>
            <w:pPr>
              <w:jc w:val="center"/>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highlight w:val="none"/>
                <w:lang w:val="en-US" w:eastAsia="zh-CN"/>
              </w:rPr>
              <w:t>201</w:t>
            </w:r>
          </w:p>
        </w:tc>
        <w:tc>
          <w:tcPr>
            <w:tcW w:w="417" w:type="dxa"/>
            <w:vAlign w:val="center"/>
          </w:tcPr>
          <w:p>
            <w:pPr>
              <w:jc w:val="center"/>
              <w:rPr>
                <w:rFonts w:hint="eastAsia" w:ascii="仿宋_GB2312" w:hAnsi="宋体" w:eastAsia="仿宋_GB2312"/>
                <w:color w:val="auto"/>
                <w:kern w:val="0"/>
                <w:sz w:val="32"/>
                <w:szCs w:val="32"/>
                <w:highlight w:val="none"/>
                <w:lang w:eastAsia="zh-Hans"/>
              </w:rPr>
            </w:pPr>
          </w:p>
        </w:tc>
        <w:tc>
          <w:tcPr>
            <w:tcW w:w="417" w:type="dxa"/>
            <w:vAlign w:val="center"/>
          </w:tcPr>
          <w:p>
            <w:pPr>
              <w:jc w:val="center"/>
              <w:rPr>
                <w:rFonts w:ascii="仿宋_GB2312" w:hAnsi="宋体" w:eastAsia="仿宋_GB2312"/>
                <w:color w:val="auto"/>
                <w:kern w:val="0"/>
                <w:sz w:val="32"/>
                <w:szCs w:val="32"/>
                <w:highlight w:val="none"/>
              </w:rPr>
            </w:pPr>
          </w:p>
        </w:tc>
        <w:tc>
          <w:tcPr>
            <w:tcW w:w="825" w:type="dxa"/>
            <w:vAlign w:val="center"/>
          </w:tcPr>
          <w:p>
            <w:pPr>
              <w:jc w:val="center"/>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highlight w:val="none"/>
                <w:lang w:eastAsia="zh-CN"/>
              </w:rPr>
              <w:t>一般公共服务支出</w:t>
            </w:r>
          </w:p>
        </w:tc>
        <w:tc>
          <w:tcPr>
            <w:tcW w:w="1367" w:type="dxa"/>
            <w:vAlign w:val="center"/>
          </w:tcPr>
          <w:p>
            <w:pPr>
              <w:widowControl/>
              <w:jc w:val="center"/>
              <w:outlineLvl w:val="1"/>
              <w:rPr>
                <w:rFonts w:ascii="仿宋_GB2312" w:hAnsi="宋体" w:eastAsia="仿宋_GB2312"/>
                <w:color w:val="auto"/>
                <w:kern w:val="0"/>
                <w:sz w:val="32"/>
                <w:szCs w:val="32"/>
                <w:highlight w:val="none"/>
              </w:rPr>
            </w:pPr>
          </w:p>
        </w:tc>
        <w:tc>
          <w:tcPr>
            <w:tcW w:w="724" w:type="dxa"/>
            <w:vAlign w:val="center"/>
          </w:tcPr>
          <w:p>
            <w:pPr>
              <w:widowControl/>
              <w:jc w:val="center"/>
              <w:outlineLvl w:val="1"/>
              <w:rPr>
                <w:rFonts w:hint="default" w:ascii="仿宋_GB2312" w:hAnsi="宋体" w:eastAsia="仿宋_GB2312"/>
                <w:color w:val="auto"/>
                <w:kern w:val="0"/>
                <w:sz w:val="22"/>
                <w:szCs w:val="22"/>
                <w:highlight w:val="none"/>
                <w:lang w:val="en-US" w:eastAsia="zh-CN"/>
              </w:rPr>
            </w:pPr>
            <w:r>
              <w:rPr>
                <w:rFonts w:hint="eastAsia" w:ascii="仿宋_GB2312" w:hAnsi="宋体" w:eastAsia="仿宋_GB2312"/>
                <w:color w:val="auto"/>
                <w:kern w:val="0"/>
                <w:sz w:val="22"/>
                <w:szCs w:val="22"/>
                <w:highlight w:val="none"/>
                <w:lang w:val="en-US" w:eastAsia="zh-CN"/>
              </w:rPr>
              <w:t>100</w:t>
            </w:r>
          </w:p>
        </w:tc>
        <w:tc>
          <w:tcPr>
            <w:tcW w:w="555" w:type="dxa"/>
            <w:vAlign w:val="center"/>
          </w:tcPr>
          <w:p>
            <w:pPr>
              <w:widowControl/>
              <w:jc w:val="center"/>
              <w:outlineLvl w:val="1"/>
              <w:rPr>
                <w:rFonts w:ascii="仿宋_GB2312" w:hAnsi="宋体" w:eastAsia="仿宋_GB2312"/>
                <w:color w:val="auto"/>
                <w:kern w:val="0"/>
                <w:sz w:val="32"/>
                <w:szCs w:val="32"/>
                <w:highlight w:val="none"/>
              </w:rPr>
            </w:pPr>
          </w:p>
        </w:tc>
        <w:tc>
          <w:tcPr>
            <w:tcW w:w="686" w:type="dxa"/>
            <w:vAlign w:val="center"/>
          </w:tcPr>
          <w:p>
            <w:pPr>
              <w:widowControl/>
              <w:jc w:val="center"/>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color w:val="auto"/>
                <w:kern w:val="0"/>
                <w:sz w:val="22"/>
                <w:szCs w:val="22"/>
                <w:highlight w:val="none"/>
                <w:lang w:val="en-US" w:eastAsia="zh-CN"/>
              </w:rPr>
              <w:t>100</w:t>
            </w:r>
          </w:p>
        </w:tc>
        <w:tc>
          <w:tcPr>
            <w:tcW w:w="475" w:type="dxa"/>
            <w:vAlign w:val="center"/>
          </w:tcPr>
          <w:p>
            <w:pPr>
              <w:widowControl/>
              <w:jc w:val="center"/>
              <w:outlineLvl w:val="1"/>
              <w:rPr>
                <w:rFonts w:ascii="仿宋_GB2312" w:hAnsi="宋体" w:eastAsia="仿宋_GB2312"/>
                <w:color w:val="auto"/>
                <w:kern w:val="0"/>
                <w:sz w:val="32"/>
                <w:szCs w:val="32"/>
                <w:highlight w:val="none"/>
              </w:rPr>
            </w:pPr>
          </w:p>
        </w:tc>
        <w:tc>
          <w:tcPr>
            <w:tcW w:w="6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vAlign w:val="center"/>
          </w:tcPr>
          <w:p>
            <w:pPr>
              <w:jc w:val="center"/>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highlight w:val="none"/>
                <w:lang w:val="en-US" w:eastAsia="zh-CN"/>
              </w:rPr>
              <w:t>201</w:t>
            </w:r>
          </w:p>
        </w:tc>
        <w:tc>
          <w:tcPr>
            <w:tcW w:w="417" w:type="dxa"/>
            <w:vAlign w:val="center"/>
          </w:tcPr>
          <w:p>
            <w:pPr>
              <w:jc w:val="center"/>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highlight w:val="none"/>
                <w:lang w:val="en-US" w:eastAsia="zh-CN"/>
              </w:rPr>
              <w:t>03</w:t>
            </w:r>
          </w:p>
        </w:tc>
        <w:tc>
          <w:tcPr>
            <w:tcW w:w="417" w:type="dxa"/>
            <w:vAlign w:val="center"/>
          </w:tcPr>
          <w:p>
            <w:pPr>
              <w:jc w:val="center"/>
              <w:rPr>
                <w:rFonts w:ascii="仿宋_GB2312" w:hAnsi="宋体" w:eastAsia="仿宋_GB2312"/>
                <w:color w:val="auto"/>
                <w:kern w:val="0"/>
                <w:sz w:val="32"/>
                <w:szCs w:val="32"/>
                <w:highlight w:val="none"/>
              </w:rPr>
            </w:pPr>
          </w:p>
        </w:tc>
        <w:tc>
          <w:tcPr>
            <w:tcW w:w="825" w:type="dxa"/>
            <w:vAlign w:val="center"/>
          </w:tcPr>
          <w:p>
            <w:pPr>
              <w:jc w:val="center"/>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highlight w:val="none"/>
                <w:lang w:eastAsia="zh-CN"/>
              </w:rPr>
              <w:t>政府办公厅（室）及相关机构事务</w:t>
            </w:r>
          </w:p>
        </w:tc>
        <w:tc>
          <w:tcPr>
            <w:tcW w:w="1367" w:type="dxa"/>
            <w:vAlign w:val="center"/>
          </w:tcPr>
          <w:p>
            <w:pPr>
              <w:widowControl/>
              <w:jc w:val="center"/>
              <w:outlineLvl w:val="1"/>
              <w:rPr>
                <w:rFonts w:ascii="仿宋_GB2312" w:hAnsi="宋体" w:eastAsia="仿宋_GB2312"/>
                <w:color w:val="auto"/>
                <w:kern w:val="0"/>
                <w:sz w:val="22"/>
                <w:szCs w:val="22"/>
                <w:highlight w:val="none"/>
              </w:rPr>
            </w:pPr>
          </w:p>
        </w:tc>
        <w:tc>
          <w:tcPr>
            <w:tcW w:w="724" w:type="dxa"/>
            <w:vAlign w:val="center"/>
          </w:tcPr>
          <w:p>
            <w:pPr>
              <w:widowControl/>
              <w:jc w:val="center"/>
              <w:outlineLvl w:val="1"/>
              <w:rPr>
                <w:rFonts w:hint="default" w:ascii="仿宋_GB2312" w:hAnsi="宋体" w:eastAsia="仿宋_GB2312"/>
                <w:color w:val="auto"/>
                <w:kern w:val="0"/>
                <w:sz w:val="22"/>
                <w:szCs w:val="22"/>
                <w:highlight w:val="none"/>
                <w:lang w:val="en-US" w:eastAsia="zh-CN"/>
              </w:rPr>
            </w:pPr>
            <w:r>
              <w:rPr>
                <w:rFonts w:hint="eastAsia" w:ascii="仿宋_GB2312" w:hAnsi="宋体" w:eastAsia="仿宋_GB2312"/>
                <w:color w:val="auto"/>
                <w:kern w:val="0"/>
                <w:sz w:val="22"/>
                <w:szCs w:val="22"/>
                <w:highlight w:val="none"/>
                <w:lang w:val="en-US" w:eastAsia="zh-CN"/>
              </w:rPr>
              <w:t>100</w:t>
            </w:r>
          </w:p>
        </w:tc>
        <w:tc>
          <w:tcPr>
            <w:tcW w:w="555" w:type="dxa"/>
            <w:vAlign w:val="center"/>
          </w:tcPr>
          <w:p>
            <w:pPr>
              <w:widowControl/>
              <w:jc w:val="center"/>
              <w:outlineLvl w:val="1"/>
              <w:rPr>
                <w:rFonts w:ascii="仿宋_GB2312" w:hAnsi="宋体" w:eastAsia="仿宋_GB2312"/>
                <w:color w:val="auto"/>
                <w:kern w:val="0"/>
                <w:sz w:val="22"/>
                <w:szCs w:val="22"/>
                <w:highlight w:val="none"/>
              </w:rPr>
            </w:pPr>
          </w:p>
        </w:tc>
        <w:tc>
          <w:tcPr>
            <w:tcW w:w="686" w:type="dxa"/>
            <w:vAlign w:val="center"/>
          </w:tcPr>
          <w:p>
            <w:pPr>
              <w:widowControl/>
              <w:jc w:val="center"/>
              <w:outlineLvl w:val="1"/>
              <w:rPr>
                <w:rFonts w:hint="default" w:ascii="仿宋_GB2312" w:hAnsi="宋体" w:eastAsia="仿宋_GB2312"/>
                <w:color w:val="auto"/>
                <w:kern w:val="0"/>
                <w:sz w:val="22"/>
                <w:szCs w:val="22"/>
                <w:highlight w:val="none"/>
                <w:lang w:val="en-US" w:eastAsia="zh-CN"/>
              </w:rPr>
            </w:pPr>
            <w:r>
              <w:rPr>
                <w:rFonts w:hint="eastAsia" w:ascii="仿宋_GB2312" w:hAnsi="宋体" w:eastAsia="仿宋_GB2312"/>
                <w:color w:val="auto"/>
                <w:kern w:val="0"/>
                <w:sz w:val="22"/>
                <w:szCs w:val="22"/>
                <w:highlight w:val="none"/>
                <w:lang w:val="en-US" w:eastAsia="zh-CN"/>
              </w:rPr>
              <w:t>100</w:t>
            </w:r>
          </w:p>
        </w:tc>
        <w:tc>
          <w:tcPr>
            <w:tcW w:w="475" w:type="dxa"/>
            <w:vAlign w:val="center"/>
          </w:tcPr>
          <w:p>
            <w:pPr>
              <w:widowControl/>
              <w:jc w:val="center"/>
              <w:outlineLvl w:val="1"/>
              <w:rPr>
                <w:rFonts w:ascii="仿宋_GB2312" w:hAnsi="宋体" w:eastAsia="仿宋_GB2312"/>
                <w:color w:val="auto"/>
                <w:kern w:val="0"/>
                <w:sz w:val="32"/>
                <w:szCs w:val="32"/>
                <w:highlight w:val="none"/>
              </w:rPr>
            </w:pPr>
          </w:p>
        </w:tc>
        <w:tc>
          <w:tcPr>
            <w:tcW w:w="6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vAlign w:val="center"/>
          </w:tcPr>
          <w:p>
            <w:pPr>
              <w:jc w:val="center"/>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highlight w:val="none"/>
                <w:lang w:val="en-US" w:eastAsia="zh-CN"/>
              </w:rPr>
              <w:t>201</w:t>
            </w:r>
          </w:p>
        </w:tc>
        <w:tc>
          <w:tcPr>
            <w:tcW w:w="417" w:type="dxa"/>
            <w:vAlign w:val="center"/>
          </w:tcPr>
          <w:p>
            <w:pPr>
              <w:jc w:val="center"/>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highlight w:val="none"/>
                <w:lang w:val="en-US" w:eastAsia="zh-CN"/>
              </w:rPr>
              <w:t>03</w:t>
            </w:r>
          </w:p>
        </w:tc>
        <w:tc>
          <w:tcPr>
            <w:tcW w:w="417" w:type="dxa"/>
            <w:vAlign w:val="center"/>
          </w:tcPr>
          <w:p>
            <w:pPr>
              <w:jc w:val="center"/>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highlight w:val="none"/>
                <w:lang w:val="en-US" w:eastAsia="zh-CN"/>
              </w:rPr>
              <w:t>99</w:t>
            </w:r>
          </w:p>
        </w:tc>
        <w:tc>
          <w:tcPr>
            <w:tcW w:w="825" w:type="dxa"/>
            <w:vAlign w:val="center"/>
          </w:tcPr>
          <w:p>
            <w:pPr>
              <w:jc w:val="center"/>
              <w:rPr>
                <w:rFonts w:ascii="仿宋_GB2312" w:hAnsi="宋体" w:eastAsia="仿宋_GB2312"/>
                <w:color w:val="auto"/>
                <w:kern w:val="0"/>
                <w:sz w:val="32"/>
                <w:szCs w:val="32"/>
                <w:highlight w:val="none"/>
              </w:rPr>
            </w:pPr>
            <w:r>
              <w:rPr>
                <w:rFonts w:hint="eastAsia" w:ascii="仿宋_GB2312" w:hAnsi="仿宋_GB2312" w:eastAsia="仿宋_GB2312" w:cs="仿宋_GB2312"/>
                <w:b w:val="0"/>
                <w:bCs w:val="0"/>
                <w:sz w:val="18"/>
                <w:szCs w:val="18"/>
                <w:highlight w:val="none"/>
                <w:lang w:val="en-US" w:eastAsia="zh-CN"/>
              </w:rPr>
              <w:t>其他政府办公厅（室）及相关机构事务支出</w:t>
            </w:r>
          </w:p>
        </w:tc>
        <w:tc>
          <w:tcPr>
            <w:tcW w:w="1367" w:type="dxa"/>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cs="宋体"/>
                <w:color w:val="auto"/>
                <w:kern w:val="0"/>
                <w:sz w:val="18"/>
                <w:szCs w:val="18"/>
                <w:highlight w:val="none"/>
                <w:lang w:val="en-US" w:eastAsia="zh-CN"/>
              </w:rPr>
              <w:t>完全不予公开</w:t>
            </w:r>
          </w:p>
        </w:tc>
        <w:tc>
          <w:tcPr>
            <w:tcW w:w="724" w:type="dxa"/>
            <w:vAlign w:val="center"/>
          </w:tcPr>
          <w:p>
            <w:pPr>
              <w:widowControl/>
              <w:jc w:val="center"/>
              <w:outlineLvl w:val="1"/>
              <w:rPr>
                <w:rFonts w:hint="eastAsia" w:ascii="仿宋_GB2312" w:hAnsi="宋体" w:eastAsia="仿宋_GB2312"/>
                <w:color w:val="auto"/>
                <w:kern w:val="0"/>
                <w:sz w:val="22"/>
                <w:szCs w:val="22"/>
                <w:highlight w:val="none"/>
                <w:lang w:val="en-US" w:eastAsia="zh-CN"/>
              </w:rPr>
            </w:pPr>
          </w:p>
          <w:p>
            <w:pPr>
              <w:widowControl/>
              <w:jc w:val="center"/>
              <w:outlineLvl w:val="1"/>
              <w:rPr>
                <w:rFonts w:hint="eastAsia" w:ascii="仿宋_GB2312" w:hAnsi="宋体" w:eastAsia="仿宋_GB2312"/>
                <w:color w:val="auto"/>
                <w:kern w:val="0"/>
                <w:sz w:val="22"/>
                <w:szCs w:val="22"/>
                <w:highlight w:val="none"/>
                <w:lang w:val="en-US" w:eastAsia="zh-CN"/>
              </w:rPr>
            </w:pPr>
          </w:p>
          <w:p>
            <w:pPr>
              <w:widowControl/>
              <w:jc w:val="center"/>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lang w:val="en-US" w:eastAsia="zh-CN"/>
              </w:rPr>
              <w:t>100</w:t>
            </w:r>
          </w:p>
        </w:tc>
        <w:tc>
          <w:tcPr>
            <w:tcW w:w="555" w:type="dxa"/>
            <w:vAlign w:val="center"/>
          </w:tcPr>
          <w:p>
            <w:pPr>
              <w:widowControl/>
              <w:jc w:val="center"/>
              <w:outlineLvl w:val="1"/>
              <w:rPr>
                <w:rFonts w:ascii="仿宋_GB2312" w:hAnsi="宋体" w:eastAsia="仿宋_GB2312"/>
                <w:color w:val="auto"/>
                <w:kern w:val="0"/>
                <w:sz w:val="32"/>
                <w:szCs w:val="32"/>
                <w:highlight w:val="none"/>
              </w:rPr>
            </w:pPr>
          </w:p>
        </w:tc>
        <w:tc>
          <w:tcPr>
            <w:tcW w:w="686" w:type="dxa"/>
            <w:vAlign w:val="center"/>
          </w:tcPr>
          <w:p>
            <w:pPr>
              <w:widowControl/>
              <w:jc w:val="center"/>
              <w:outlineLvl w:val="1"/>
              <w:rPr>
                <w:rFonts w:hint="eastAsia" w:ascii="仿宋_GB2312" w:hAnsi="宋体" w:eastAsia="仿宋_GB2312"/>
                <w:color w:val="auto"/>
                <w:kern w:val="0"/>
                <w:sz w:val="32"/>
                <w:szCs w:val="32"/>
                <w:highlight w:val="none"/>
                <w:lang w:val="en-US" w:eastAsia="zh-CN"/>
              </w:rPr>
            </w:pPr>
          </w:p>
          <w:p>
            <w:pPr>
              <w:widowControl/>
              <w:jc w:val="center"/>
              <w:outlineLvl w:val="1"/>
              <w:rPr>
                <w:rFonts w:hint="eastAsia" w:ascii="仿宋_GB2312" w:hAnsi="宋体" w:eastAsia="仿宋_GB2312"/>
                <w:color w:val="auto"/>
                <w:kern w:val="0"/>
                <w:sz w:val="21"/>
                <w:szCs w:val="21"/>
                <w:highlight w:val="none"/>
                <w:lang w:val="en-US" w:eastAsia="zh-CN"/>
              </w:rPr>
            </w:pPr>
          </w:p>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100</w:t>
            </w:r>
          </w:p>
        </w:tc>
        <w:tc>
          <w:tcPr>
            <w:tcW w:w="475" w:type="dxa"/>
            <w:vAlign w:val="center"/>
          </w:tcPr>
          <w:p>
            <w:pPr>
              <w:widowControl/>
              <w:jc w:val="center"/>
              <w:outlineLvl w:val="1"/>
              <w:rPr>
                <w:rFonts w:ascii="仿宋_GB2312" w:hAnsi="宋体" w:eastAsia="仿宋_GB2312"/>
                <w:color w:val="auto"/>
                <w:kern w:val="0"/>
                <w:sz w:val="32"/>
                <w:szCs w:val="32"/>
                <w:highlight w:val="none"/>
              </w:rPr>
            </w:pPr>
          </w:p>
        </w:tc>
        <w:tc>
          <w:tcPr>
            <w:tcW w:w="6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825" w:type="dxa"/>
            <w:vAlign w:val="center"/>
          </w:tcPr>
          <w:p>
            <w:pPr>
              <w:widowControl/>
              <w:jc w:val="center"/>
              <w:outlineLvl w:val="1"/>
              <w:rPr>
                <w:rFonts w:ascii="仿宋_GB2312" w:hAnsi="宋体" w:eastAsia="仿宋_GB2312"/>
                <w:color w:val="auto"/>
                <w:kern w:val="0"/>
                <w:sz w:val="32"/>
                <w:szCs w:val="32"/>
                <w:highlight w:val="none"/>
              </w:rPr>
            </w:pPr>
          </w:p>
        </w:tc>
        <w:tc>
          <w:tcPr>
            <w:tcW w:w="1367" w:type="dxa"/>
            <w:vAlign w:val="center"/>
          </w:tcPr>
          <w:p>
            <w:pPr>
              <w:widowControl/>
              <w:jc w:val="center"/>
              <w:outlineLvl w:val="1"/>
              <w:rPr>
                <w:rFonts w:ascii="仿宋_GB2312" w:hAnsi="宋体" w:eastAsia="仿宋_GB2312"/>
                <w:color w:val="auto"/>
                <w:kern w:val="0"/>
                <w:sz w:val="32"/>
                <w:szCs w:val="32"/>
                <w:highlight w:val="none"/>
              </w:rPr>
            </w:pPr>
          </w:p>
        </w:tc>
        <w:tc>
          <w:tcPr>
            <w:tcW w:w="724" w:type="dxa"/>
            <w:vAlign w:val="center"/>
          </w:tcPr>
          <w:p>
            <w:pPr>
              <w:widowControl/>
              <w:jc w:val="center"/>
              <w:outlineLvl w:val="1"/>
              <w:rPr>
                <w:rFonts w:ascii="仿宋_GB2312" w:hAnsi="宋体" w:eastAsia="仿宋_GB2312"/>
                <w:color w:val="auto"/>
                <w:kern w:val="0"/>
                <w:sz w:val="32"/>
                <w:szCs w:val="32"/>
                <w:highlight w:val="none"/>
              </w:rPr>
            </w:pPr>
          </w:p>
        </w:tc>
        <w:tc>
          <w:tcPr>
            <w:tcW w:w="555" w:type="dxa"/>
            <w:vAlign w:val="center"/>
          </w:tcPr>
          <w:p>
            <w:pPr>
              <w:widowControl/>
              <w:jc w:val="center"/>
              <w:outlineLvl w:val="1"/>
              <w:rPr>
                <w:rFonts w:ascii="仿宋_GB2312" w:hAnsi="宋体" w:eastAsia="仿宋_GB2312"/>
                <w:color w:val="auto"/>
                <w:kern w:val="0"/>
                <w:sz w:val="32"/>
                <w:szCs w:val="32"/>
                <w:highlight w:val="none"/>
              </w:rPr>
            </w:pPr>
          </w:p>
        </w:tc>
        <w:tc>
          <w:tcPr>
            <w:tcW w:w="686" w:type="dxa"/>
            <w:vAlign w:val="center"/>
          </w:tcPr>
          <w:p>
            <w:pPr>
              <w:widowControl/>
              <w:jc w:val="center"/>
              <w:outlineLvl w:val="1"/>
              <w:rPr>
                <w:rFonts w:ascii="仿宋_GB2312" w:hAnsi="宋体" w:eastAsia="仿宋_GB2312"/>
                <w:color w:val="auto"/>
                <w:kern w:val="0"/>
                <w:sz w:val="32"/>
                <w:szCs w:val="32"/>
                <w:highlight w:val="none"/>
              </w:rPr>
            </w:pPr>
          </w:p>
        </w:tc>
        <w:tc>
          <w:tcPr>
            <w:tcW w:w="475" w:type="dxa"/>
            <w:vAlign w:val="center"/>
          </w:tcPr>
          <w:p>
            <w:pPr>
              <w:widowControl/>
              <w:jc w:val="center"/>
              <w:outlineLvl w:val="1"/>
              <w:rPr>
                <w:rFonts w:ascii="仿宋_GB2312" w:hAnsi="宋体" w:eastAsia="仿宋_GB2312"/>
                <w:color w:val="auto"/>
                <w:kern w:val="0"/>
                <w:sz w:val="32"/>
                <w:szCs w:val="32"/>
                <w:highlight w:val="none"/>
              </w:rPr>
            </w:pPr>
          </w:p>
        </w:tc>
        <w:tc>
          <w:tcPr>
            <w:tcW w:w="6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825" w:type="dxa"/>
            <w:vAlign w:val="center"/>
          </w:tcPr>
          <w:p>
            <w:pPr>
              <w:widowControl/>
              <w:jc w:val="center"/>
              <w:outlineLvl w:val="1"/>
              <w:rPr>
                <w:rFonts w:ascii="仿宋_GB2312" w:hAnsi="宋体" w:eastAsia="仿宋_GB2312"/>
                <w:color w:val="auto"/>
                <w:kern w:val="0"/>
                <w:sz w:val="32"/>
                <w:szCs w:val="32"/>
                <w:highlight w:val="none"/>
              </w:rPr>
            </w:pPr>
          </w:p>
        </w:tc>
        <w:tc>
          <w:tcPr>
            <w:tcW w:w="1367" w:type="dxa"/>
            <w:vAlign w:val="center"/>
          </w:tcPr>
          <w:p>
            <w:pPr>
              <w:widowControl/>
              <w:jc w:val="center"/>
              <w:outlineLvl w:val="1"/>
              <w:rPr>
                <w:rFonts w:ascii="仿宋_GB2312" w:hAnsi="宋体" w:eastAsia="仿宋_GB2312"/>
                <w:color w:val="auto"/>
                <w:kern w:val="0"/>
                <w:sz w:val="32"/>
                <w:szCs w:val="32"/>
                <w:highlight w:val="none"/>
              </w:rPr>
            </w:pPr>
          </w:p>
        </w:tc>
        <w:tc>
          <w:tcPr>
            <w:tcW w:w="724" w:type="dxa"/>
            <w:vAlign w:val="center"/>
          </w:tcPr>
          <w:p>
            <w:pPr>
              <w:widowControl/>
              <w:jc w:val="center"/>
              <w:outlineLvl w:val="1"/>
              <w:rPr>
                <w:rFonts w:ascii="仿宋_GB2312" w:hAnsi="宋体" w:eastAsia="仿宋_GB2312"/>
                <w:color w:val="auto"/>
                <w:kern w:val="0"/>
                <w:sz w:val="32"/>
                <w:szCs w:val="32"/>
                <w:highlight w:val="none"/>
              </w:rPr>
            </w:pPr>
          </w:p>
        </w:tc>
        <w:tc>
          <w:tcPr>
            <w:tcW w:w="555" w:type="dxa"/>
            <w:vAlign w:val="center"/>
          </w:tcPr>
          <w:p>
            <w:pPr>
              <w:widowControl/>
              <w:jc w:val="center"/>
              <w:outlineLvl w:val="1"/>
              <w:rPr>
                <w:rFonts w:ascii="仿宋_GB2312" w:hAnsi="宋体" w:eastAsia="仿宋_GB2312"/>
                <w:color w:val="auto"/>
                <w:kern w:val="0"/>
                <w:sz w:val="32"/>
                <w:szCs w:val="32"/>
                <w:highlight w:val="none"/>
              </w:rPr>
            </w:pPr>
          </w:p>
        </w:tc>
        <w:tc>
          <w:tcPr>
            <w:tcW w:w="686" w:type="dxa"/>
            <w:vAlign w:val="center"/>
          </w:tcPr>
          <w:p>
            <w:pPr>
              <w:widowControl/>
              <w:jc w:val="center"/>
              <w:outlineLvl w:val="1"/>
              <w:rPr>
                <w:rFonts w:ascii="仿宋_GB2312" w:hAnsi="宋体" w:eastAsia="仿宋_GB2312"/>
                <w:color w:val="auto"/>
                <w:kern w:val="0"/>
                <w:sz w:val="32"/>
                <w:szCs w:val="32"/>
                <w:highlight w:val="none"/>
              </w:rPr>
            </w:pPr>
          </w:p>
        </w:tc>
        <w:tc>
          <w:tcPr>
            <w:tcW w:w="475" w:type="dxa"/>
            <w:vAlign w:val="center"/>
          </w:tcPr>
          <w:p>
            <w:pPr>
              <w:widowControl/>
              <w:jc w:val="center"/>
              <w:outlineLvl w:val="1"/>
              <w:rPr>
                <w:rFonts w:ascii="仿宋_GB2312" w:hAnsi="宋体" w:eastAsia="仿宋_GB2312"/>
                <w:color w:val="auto"/>
                <w:kern w:val="0"/>
                <w:sz w:val="32"/>
                <w:szCs w:val="32"/>
                <w:highlight w:val="none"/>
              </w:rPr>
            </w:pPr>
          </w:p>
        </w:tc>
        <w:tc>
          <w:tcPr>
            <w:tcW w:w="6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825" w:type="dxa"/>
            <w:vAlign w:val="center"/>
          </w:tcPr>
          <w:p>
            <w:pPr>
              <w:widowControl/>
              <w:jc w:val="center"/>
              <w:outlineLvl w:val="1"/>
              <w:rPr>
                <w:rFonts w:ascii="仿宋_GB2312" w:hAnsi="宋体" w:eastAsia="仿宋_GB2312"/>
                <w:color w:val="auto"/>
                <w:kern w:val="0"/>
                <w:sz w:val="32"/>
                <w:szCs w:val="32"/>
                <w:highlight w:val="none"/>
              </w:rPr>
            </w:pPr>
          </w:p>
        </w:tc>
        <w:tc>
          <w:tcPr>
            <w:tcW w:w="1367" w:type="dxa"/>
            <w:vAlign w:val="center"/>
          </w:tcPr>
          <w:p>
            <w:pPr>
              <w:widowControl/>
              <w:jc w:val="center"/>
              <w:outlineLvl w:val="1"/>
              <w:rPr>
                <w:rFonts w:ascii="仿宋_GB2312" w:hAnsi="宋体" w:eastAsia="仿宋_GB2312"/>
                <w:color w:val="auto"/>
                <w:kern w:val="0"/>
                <w:sz w:val="32"/>
                <w:szCs w:val="32"/>
                <w:highlight w:val="none"/>
              </w:rPr>
            </w:pPr>
          </w:p>
        </w:tc>
        <w:tc>
          <w:tcPr>
            <w:tcW w:w="724" w:type="dxa"/>
            <w:vAlign w:val="center"/>
          </w:tcPr>
          <w:p>
            <w:pPr>
              <w:widowControl/>
              <w:jc w:val="center"/>
              <w:outlineLvl w:val="1"/>
              <w:rPr>
                <w:rFonts w:ascii="仿宋_GB2312" w:hAnsi="宋体" w:eastAsia="仿宋_GB2312"/>
                <w:color w:val="auto"/>
                <w:kern w:val="0"/>
                <w:sz w:val="32"/>
                <w:szCs w:val="32"/>
                <w:highlight w:val="none"/>
              </w:rPr>
            </w:pPr>
          </w:p>
        </w:tc>
        <w:tc>
          <w:tcPr>
            <w:tcW w:w="555" w:type="dxa"/>
            <w:vAlign w:val="center"/>
          </w:tcPr>
          <w:p>
            <w:pPr>
              <w:widowControl/>
              <w:jc w:val="center"/>
              <w:outlineLvl w:val="1"/>
              <w:rPr>
                <w:rFonts w:ascii="仿宋_GB2312" w:hAnsi="宋体" w:eastAsia="仿宋_GB2312"/>
                <w:color w:val="auto"/>
                <w:kern w:val="0"/>
                <w:sz w:val="32"/>
                <w:szCs w:val="32"/>
                <w:highlight w:val="none"/>
              </w:rPr>
            </w:pPr>
          </w:p>
        </w:tc>
        <w:tc>
          <w:tcPr>
            <w:tcW w:w="686" w:type="dxa"/>
            <w:vAlign w:val="center"/>
          </w:tcPr>
          <w:p>
            <w:pPr>
              <w:widowControl/>
              <w:jc w:val="center"/>
              <w:outlineLvl w:val="1"/>
              <w:rPr>
                <w:rFonts w:ascii="仿宋_GB2312" w:hAnsi="宋体" w:eastAsia="仿宋_GB2312"/>
                <w:color w:val="auto"/>
                <w:kern w:val="0"/>
                <w:sz w:val="32"/>
                <w:szCs w:val="32"/>
                <w:highlight w:val="none"/>
              </w:rPr>
            </w:pPr>
          </w:p>
        </w:tc>
        <w:tc>
          <w:tcPr>
            <w:tcW w:w="475" w:type="dxa"/>
            <w:vAlign w:val="center"/>
          </w:tcPr>
          <w:p>
            <w:pPr>
              <w:widowControl/>
              <w:jc w:val="center"/>
              <w:outlineLvl w:val="1"/>
              <w:rPr>
                <w:rFonts w:ascii="仿宋_GB2312" w:hAnsi="宋体" w:eastAsia="仿宋_GB2312"/>
                <w:color w:val="auto"/>
                <w:kern w:val="0"/>
                <w:sz w:val="32"/>
                <w:szCs w:val="32"/>
                <w:highlight w:val="none"/>
              </w:rPr>
            </w:pPr>
          </w:p>
        </w:tc>
        <w:tc>
          <w:tcPr>
            <w:tcW w:w="6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825" w:type="dxa"/>
            <w:vAlign w:val="center"/>
          </w:tcPr>
          <w:p>
            <w:pPr>
              <w:widowControl/>
              <w:jc w:val="center"/>
              <w:outlineLvl w:val="1"/>
              <w:rPr>
                <w:rFonts w:ascii="仿宋_GB2312" w:hAnsi="宋体" w:eastAsia="仿宋_GB2312"/>
                <w:color w:val="auto"/>
                <w:kern w:val="0"/>
                <w:sz w:val="32"/>
                <w:szCs w:val="32"/>
                <w:highlight w:val="none"/>
              </w:rPr>
            </w:pPr>
          </w:p>
        </w:tc>
        <w:tc>
          <w:tcPr>
            <w:tcW w:w="1367" w:type="dxa"/>
            <w:vAlign w:val="center"/>
          </w:tcPr>
          <w:p>
            <w:pPr>
              <w:widowControl/>
              <w:jc w:val="center"/>
              <w:outlineLvl w:val="1"/>
              <w:rPr>
                <w:rFonts w:ascii="仿宋_GB2312" w:hAnsi="宋体" w:eastAsia="仿宋_GB2312"/>
                <w:color w:val="auto"/>
                <w:kern w:val="0"/>
                <w:sz w:val="32"/>
                <w:szCs w:val="32"/>
                <w:highlight w:val="none"/>
              </w:rPr>
            </w:pPr>
          </w:p>
        </w:tc>
        <w:tc>
          <w:tcPr>
            <w:tcW w:w="724" w:type="dxa"/>
            <w:vAlign w:val="center"/>
          </w:tcPr>
          <w:p>
            <w:pPr>
              <w:widowControl/>
              <w:jc w:val="center"/>
              <w:outlineLvl w:val="1"/>
              <w:rPr>
                <w:rFonts w:ascii="仿宋_GB2312" w:hAnsi="宋体" w:eastAsia="仿宋_GB2312"/>
                <w:color w:val="auto"/>
                <w:kern w:val="0"/>
                <w:sz w:val="32"/>
                <w:szCs w:val="32"/>
                <w:highlight w:val="none"/>
              </w:rPr>
            </w:pPr>
          </w:p>
        </w:tc>
        <w:tc>
          <w:tcPr>
            <w:tcW w:w="555" w:type="dxa"/>
            <w:vAlign w:val="center"/>
          </w:tcPr>
          <w:p>
            <w:pPr>
              <w:widowControl/>
              <w:jc w:val="center"/>
              <w:outlineLvl w:val="1"/>
              <w:rPr>
                <w:rFonts w:ascii="仿宋_GB2312" w:hAnsi="宋体" w:eastAsia="仿宋_GB2312"/>
                <w:color w:val="auto"/>
                <w:kern w:val="0"/>
                <w:sz w:val="32"/>
                <w:szCs w:val="32"/>
                <w:highlight w:val="none"/>
              </w:rPr>
            </w:pPr>
          </w:p>
        </w:tc>
        <w:tc>
          <w:tcPr>
            <w:tcW w:w="686" w:type="dxa"/>
            <w:vAlign w:val="center"/>
          </w:tcPr>
          <w:p>
            <w:pPr>
              <w:widowControl/>
              <w:jc w:val="center"/>
              <w:outlineLvl w:val="1"/>
              <w:rPr>
                <w:rFonts w:ascii="仿宋_GB2312" w:hAnsi="宋体" w:eastAsia="仿宋_GB2312"/>
                <w:color w:val="auto"/>
                <w:kern w:val="0"/>
                <w:sz w:val="32"/>
                <w:szCs w:val="32"/>
                <w:highlight w:val="none"/>
              </w:rPr>
            </w:pPr>
          </w:p>
        </w:tc>
        <w:tc>
          <w:tcPr>
            <w:tcW w:w="475" w:type="dxa"/>
            <w:vAlign w:val="center"/>
          </w:tcPr>
          <w:p>
            <w:pPr>
              <w:widowControl/>
              <w:jc w:val="center"/>
              <w:outlineLvl w:val="1"/>
              <w:rPr>
                <w:rFonts w:ascii="仿宋_GB2312" w:hAnsi="宋体" w:eastAsia="仿宋_GB2312"/>
                <w:color w:val="auto"/>
                <w:kern w:val="0"/>
                <w:sz w:val="32"/>
                <w:szCs w:val="32"/>
                <w:highlight w:val="none"/>
              </w:rPr>
            </w:pPr>
          </w:p>
        </w:tc>
        <w:tc>
          <w:tcPr>
            <w:tcW w:w="6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825" w:type="dxa"/>
            <w:vAlign w:val="center"/>
          </w:tcPr>
          <w:p>
            <w:pPr>
              <w:widowControl/>
              <w:jc w:val="center"/>
              <w:outlineLvl w:val="1"/>
              <w:rPr>
                <w:rFonts w:ascii="仿宋_GB2312" w:hAnsi="宋体" w:eastAsia="仿宋_GB2312"/>
                <w:color w:val="auto"/>
                <w:kern w:val="0"/>
                <w:sz w:val="32"/>
                <w:szCs w:val="32"/>
                <w:highlight w:val="none"/>
              </w:rPr>
            </w:pPr>
          </w:p>
        </w:tc>
        <w:tc>
          <w:tcPr>
            <w:tcW w:w="1367" w:type="dxa"/>
            <w:vAlign w:val="center"/>
          </w:tcPr>
          <w:p>
            <w:pPr>
              <w:widowControl/>
              <w:jc w:val="center"/>
              <w:outlineLvl w:val="1"/>
              <w:rPr>
                <w:rFonts w:ascii="仿宋_GB2312" w:hAnsi="宋体" w:eastAsia="仿宋_GB2312"/>
                <w:color w:val="auto"/>
                <w:kern w:val="0"/>
                <w:sz w:val="32"/>
                <w:szCs w:val="32"/>
                <w:highlight w:val="none"/>
              </w:rPr>
            </w:pPr>
          </w:p>
        </w:tc>
        <w:tc>
          <w:tcPr>
            <w:tcW w:w="724" w:type="dxa"/>
            <w:vAlign w:val="center"/>
          </w:tcPr>
          <w:p>
            <w:pPr>
              <w:widowControl/>
              <w:jc w:val="center"/>
              <w:outlineLvl w:val="1"/>
              <w:rPr>
                <w:rFonts w:ascii="仿宋_GB2312" w:hAnsi="宋体" w:eastAsia="仿宋_GB2312"/>
                <w:color w:val="auto"/>
                <w:kern w:val="0"/>
                <w:sz w:val="32"/>
                <w:szCs w:val="32"/>
                <w:highlight w:val="none"/>
              </w:rPr>
            </w:pPr>
          </w:p>
        </w:tc>
        <w:tc>
          <w:tcPr>
            <w:tcW w:w="555" w:type="dxa"/>
            <w:vAlign w:val="center"/>
          </w:tcPr>
          <w:p>
            <w:pPr>
              <w:widowControl/>
              <w:jc w:val="center"/>
              <w:outlineLvl w:val="1"/>
              <w:rPr>
                <w:rFonts w:ascii="仿宋_GB2312" w:hAnsi="宋体" w:eastAsia="仿宋_GB2312"/>
                <w:color w:val="auto"/>
                <w:kern w:val="0"/>
                <w:sz w:val="32"/>
                <w:szCs w:val="32"/>
                <w:highlight w:val="none"/>
              </w:rPr>
            </w:pPr>
          </w:p>
        </w:tc>
        <w:tc>
          <w:tcPr>
            <w:tcW w:w="686" w:type="dxa"/>
            <w:vAlign w:val="center"/>
          </w:tcPr>
          <w:p>
            <w:pPr>
              <w:widowControl/>
              <w:jc w:val="center"/>
              <w:outlineLvl w:val="1"/>
              <w:rPr>
                <w:rFonts w:ascii="仿宋_GB2312" w:hAnsi="宋体" w:eastAsia="仿宋_GB2312"/>
                <w:color w:val="auto"/>
                <w:kern w:val="0"/>
                <w:sz w:val="32"/>
                <w:szCs w:val="32"/>
                <w:highlight w:val="none"/>
              </w:rPr>
            </w:pPr>
          </w:p>
        </w:tc>
        <w:tc>
          <w:tcPr>
            <w:tcW w:w="475" w:type="dxa"/>
            <w:vAlign w:val="center"/>
          </w:tcPr>
          <w:p>
            <w:pPr>
              <w:widowControl/>
              <w:jc w:val="center"/>
              <w:outlineLvl w:val="1"/>
              <w:rPr>
                <w:rFonts w:ascii="仿宋_GB2312" w:hAnsi="宋体" w:eastAsia="仿宋_GB2312"/>
                <w:color w:val="auto"/>
                <w:kern w:val="0"/>
                <w:sz w:val="32"/>
                <w:szCs w:val="32"/>
                <w:highlight w:val="none"/>
              </w:rPr>
            </w:pPr>
          </w:p>
        </w:tc>
        <w:tc>
          <w:tcPr>
            <w:tcW w:w="6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825" w:type="dxa"/>
            <w:vAlign w:val="center"/>
          </w:tcPr>
          <w:p>
            <w:pPr>
              <w:widowControl/>
              <w:jc w:val="center"/>
              <w:outlineLvl w:val="1"/>
              <w:rPr>
                <w:rFonts w:ascii="仿宋_GB2312" w:hAnsi="宋体" w:eastAsia="仿宋_GB2312"/>
                <w:color w:val="auto"/>
                <w:kern w:val="0"/>
                <w:sz w:val="32"/>
                <w:szCs w:val="32"/>
                <w:highlight w:val="none"/>
              </w:rPr>
            </w:pPr>
          </w:p>
        </w:tc>
        <w:tc>
          <w:tcPr>
            <w:tcW w:w="1367" w:type="dxa"/>
            <w:vAlign w:val="center"/>
          </w:tcPr>
          <w:p>
            <w:pPr>
              <w:widowControl/>
              <w:jc w:val="center"/>
              <w:outlineLvl w:val="1"/>
              <w:rPr>
                <w:rFonts w:ascii="仿宋_GB2312" w:hAnsi="宋体" w:eastAsia="仿宋_GB2312"/>
                <w:color w:val="auto"/>
                <w:kern w:val="0"/>
                <w:sz w:val="32"/>
                <w:szCs w:val="32"/>
                <w:highlight w:val="none"/>
              </w:rPr>
            </w:pPr>
          </w:p>
        </w:tc>
        <w:tc>
          <w:tcPr>
            <w:tcW w:w="724" w:type="dxa"/>
            <w:vAlign w:val="center"/>
          </w:tcPr>
          <w:p>
            <w:pPr>
              <w:widowControl/>
              <w:jc w:val="center"/>
              <w:outlineLvl w:val="1"/>
              <w:rPr>
                <w:rFonts w:ascii="仿宋_GB2312" w:hAnsi="宋体" w:eastAsia="仿宋_GB2312"/>
                <w:color w:val="auto"/>
                <w:kern w:val="0"/>
                <w:sz w:val="32"/>
                <w:szCs w:val="32"/>
                <w:highlight w:val="none"/>
              </w:rPr>
            </w:pPr>
          </w:p>
        </w:tc>
        <w:tc>
          <w:tcPr>
            <w:tcW w:w="555" w:type="dxa"/>
            <w:vAlign w:val="center"/>
          </w:tcPr>
          <w:p>
            <w:pPr>
              <w:widowControl/>
              <w:jc w:val="center"/>
              <w:outlineLvl w:val="1"/>
              <w:rPr>
                <w:rFonts w:ascii="仿宋_GB2312" w:hAnsi="宋体" w:eastAsia="仿宋_GB2312"/>
                <w:color w:val="auto"/>
                <w:kern w:val="0"/>
                <w:sz w:val="32"/>
                <w:szCs w:val="32"/>
                <w:highlight w:val="none"/>
              </w:rPr>
            </w:pPr>
          </w:p>
        </w:tc>
        <w:tc>
          <w:tcPr>
            <w:tcW w:w="686" w:type="dxa"/>
            <w:vAlign w:val="center"/>
          </w:tcPr>
          <w:p>
            <w:pPr>
              <w:widowControl/>
              <w:jc w:val="center"/>
              <w:outlineLvl w:val="1"/>
              <w:rPr>
                <w:rFonts w:ascii="仿宋_GB2312" w:hAnsi="宋体" w:eastAsia="仿宋_GB2312"/>
                <w:color w:val="auto"/>
                <w:kern w:val="0"/>
                <w:sz w:val="32"/>
                <w:szCs w:val="32"/>
                <w:highlight w:val="none"/>
              </w:rPr>
            </w:pPr>
          </w:p>
        </w:tc>
        <w:tc>
          <w:tcPr>
            <w:tcW w:w="475" w:type="dxa"/>
            <w:vAlign w:val="center"/>
          </w:tcPr>
          <w:p>
            <w:pPr>
              <w:widowControl/>
              <w:jc w:val="center"/>
              <w:outlineLvl w:val="1"/>
              <w:rPr>
                <w:rFonts w:ascii="仿宋_GB2312" w:hAnsi="宋体" w:eastAsia="仿宋_GB2312"/>
                <w:color w:val="auto"/>
                <w:kern w:val="0"/>
                <w:sz w:val="32"/>
                <w:szCs w:val="32"/>
                <w:highlight w:val="none"/>
              </w:rPr>
            </w:pPr>
          </w:p>
        </w:tc>
        <w:tc>
          <w:tcPr>
            <w:tcW w:w="6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825" w:type="dxa"/>
            <w:vAlign w:val="center"/>
          </w:tcPr>
          <w:p>
            <w:pPr>
              <w:widowControl/>
              <w:jc w:val="center"/>
              <w:outlineLvl w:val="1"/>
              <w:rPr>
                <w:rFonts w:ascii="仿宋_GB2312" w:hAnsi="宋体" w:eastAsia="仿宋_GB2312"/>
                <w:color w:val="auto"/>
                <w:kern w:val="0"/>
                <w:sz w:val="32"/>
                <w:szCs w:val="32"/>
                <w:highlight w:val="none"/>
              </w:rPr>
            </w:pPr>
          </w:p>
        </w:tc>
        <w:tc>
          <w:tcPr>
            <w:tcW w:w="1367" w:type="dxa"/>
            <w:vAlign w:val="center"/>
          </w:tcPr>
          <w:p>
            <w:pPr>
              <w:widowControl/>
              <w:jc w:val="center"/>
              <w:outlineLvl w:val="1"/>
              <w:rPr>
                <w:rFonts w:ascii="仿宋_GB2312" w:hAnsi="宋体" w:eastAsia="仿宋_GB2312"/>
                <w:color w:val="auto"/>
                <w:kern w:val="0"/>
                <w:sz w:val="32"/>
                <w:szCs w:val="32"/>
                <w:highlight w:val="none"/>
              </w:rPr>
            </w:pPr>
          </w:p>
        </w:tc>
        <w:tc>
          <w:tcPr>
            <w:tcW w:w="724" w:type="dxa"/>
            <w:vAlign w:val="center"/>
          </w:tcPr>
          <w:p>
            <w:pPr>
              <w:widowControl/>
              <w:jc w:val="center"/>
              <w:outlineLvl w:val="1"/>
              <w:rPr>
                <w:rFonts w:ascii="仿宋_GB2312" w:hAnsi="宋体" w:eastAsia="仿宋_GB2312"/>
                <w:color w:val="auto"/>
                <w:kern w:val="0"/>
                <w:sz w:val="32"/>
                <w:szCs w:val="32"/>
                <w:highlight w:val="none"/>
              </w:rPr>
            </w:pPr>
          </w:p>
        </w:tc>
        <w:tc>
          <w:tcPr>
            <w:tcW w:w="555" w:type="dxa"/>
            <w:vAlign w:val="center"/>
          </w:tcPr>
          <w:p>
            <w:pPr>
              <w:widowControl/>
              <w:jc w:val="center"/>
              <w:outlineLvl w:val="1"/>
              <w:rPr>
                <w:rFonts w:ascii="仿宋_GB2312" w:hAnsi="宋体" w:eastAsia="仿宋_GB2312"/>
                <w:color w:val="auto"/>
                <w:kern w:val="0"/>
                <w:sz w:val="32"/>
                <w:szCs w:val="32"/>
                <w:highlight w:val="none"/>
              </w:rPr>
            </w:pPr>
          </w:p>
        </w:tc>
        <w:tc>
          <w:tcPr>
            <w:tcW w:w="686" w:type="dxa"/>
            <w:vAlign w:val="center"/>
          </w:tcPr>
          <w:p>
            <w:pPr>
              <w:widowControl/>
              <w:jc w:val="center"/>
              <w:outlineLvl w:val="1"/>
              <w:rPr>
                <w:rFonts w:ascii="仿宋_GB2312" w:hAnsi="宋体" w:eastAsia="仿宋_GB2312"/>
                <w:color w:val="auto"/>
                <w:kern w:val="0"/>
                <w:sz w:val="32"/>
                <w:szCs w:val="32"/>
                <w:highlight w:val="none"/>
              </w:rPr>
            </w:pPr>
          </w:p>
        </w:tc>
        <w:tc>
          <w:tcPr>
            <w:tcW w:w="475" w:type="dxa"/>
            <w:vAlign w:val="center"/>
          </w:tcPr>
          <w:p>
            <w:pPr>
              <w:widowControl/>
              <w:jc w:val="center"/>
              <w:outlineLvl w:val="1"/>
              <w:rPr>
                <w:rFonts w:ascii="仿宋_GB2312" w:hAnsi="宋体" w:eastAsia="仿宋_GB2312"/>
                <w:color w:val="auto"/>
                <w:kern w:val="0"/>
                <w:sz w:val="32"/>
                <w:szCs w:val="32"/>
                <w:highlight w:val="none"/>
              </w:rPr>
            </w:pPr>
          </w:p>
        </w:tc>
        <w:tc>
          <w:tcPr>
            <w:tcW w:w="6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825" w:type="dxa"/>
            <w:vAlign w:val="center"/>
          </w:tcPr>
          <w:p>
            <w:pPr>
              <w:widowControl/>
              <w:jc w:val="center"/>
              <w:outlineLvl w:val="1"/>
              <w:rPr>
                <w:rFonts w:ascii="仿宋_GB2312" w:hAnsi="宋体" w:eastAsia="仿宋_GB2312"/>
                <w:color w:val="auto"/>
                <w:kern w:val="0"/>
                <w:sz w:val="32"/>
                <w:szCs w:val="32"/>
                <w:highlight w:val="none"/>
              </w:rPr>
            </w:pPr>
          </w:p>
        </w:tc>
        <w:tc>
          <w:tcPr>
            <w:tcW w:w="1367" w:type="dxa"/>
            <w:vAlign w:val="center"/>
          </w:tcPr>
          <w:p>
            <w:pPr>
              <w:widowControl/>
              <w:jc w:val="center"/>
              <w:outlineLvl w:val="1"/>
              <w:rPr>
                <w:rFonts w:ascii="仿宋_GB2312" w:hAnsi="宋体" w:eastAsia="仿宋_GB2312"/>
                <w:color w:val="auto"/>
                <w:kern w:val="0"/>
                <w:sz w:val="32"/>
                <w:szCs w:val="32"/>
                <w:highlight w:val="none"/>
              </w:rPr>
            </w:pPr>
          </w:p>
        </w:tc>
        <w:tc>
          <w:tcPr>
            <w:tcW w:w="724" w:type="dxa"/>
            <w:vAlign w:val="center"/>
          </w:tcPr>
          <w:p>
            <w:pPr>
              <w:widowControl/>
              <w:jc w:val="center"/>
              <w:outlineLvl w:val="1"/>
              <w:rPr>
                <w:rFonts w:ascii="仿宋_GB2312" w:hAnsi="宋体" w:eastAsia="仿宋_GB2312"/>
                <w:color w:val="auto"/>
                <w:kern w:val="0"/>
                <w:sz w:val="32"/>
                <w:szCs w:val="32"/>
                <w:highlight w:val="none"/>
              </w:rPr>
            </w:pPr>
          </w:p>
        </w:tc>
        <w:tc>
          <w:tcPr>
            <w:tcW w:w="555" w:type="dxa"/>
            <w:vAlign w:val="center"/>
          </w:tcPr>
          <w:p>
            <w:pPr>
              <w:widowControl/>
              <w:jc w:val="center"/>
              <w:outlineLvl w:val="1"/>
              <w:rPr>
                <w:rFonts w:ascii="仿宋_GB2312" w:hAnsi="宋体" w:eastAsia="仿宋_GB2312"/>
                <w:color w:val="auto"/>
                <w:kern w:val="0"/>
                <w:sz w:val="32"/>
                <w:szCs w:val="32"/>
                <w:highlight w:val="none"/>
              </w:rPr>
            </w:pPr>
          </w:p>
        </w:tc>
        <w:tc>
          <w:tcPr>
            <w:tcW w:w="686" w:type="dxa"/>
            <w:vAlign w:val="center"/>
          </w:tcPr>
          <w:p>
            <w:pPr>
              <w:widowControl/>
              <w:jc w:val="center"/>
              <w:outlineLvl w:val="1"/>
              <w:rPr>
                <w:rFonts w:ascii="仿宋_GB2312" w:hAnsi="宋体" w:eastAsia="仿宋_GB2312"/>
                <w:color w:val="auto"/>
                <w:kern w:val="0"/>
                <w:sz w:val="32"/>
                <w:szCs w:val="32"/>
                <w:highlight w:val="none"/>
              </w:rPr>
            </w:pPr>
          </w:p>
        </w:tc>
        <w:tc>
          <w:tcPr>
            <w:tcW w:w="475" w:type="dxa"/>
            <w:vAlign w:val="center"/>
          </w:tcPr>
          <w:p>
            <w:pPr>
              <w:widowControl/>
              <w:jc w:val="center"/>
              <w:outlineLvl w:val="1"/>
              <w:rPr>
                <w:rFonts w:ascii="仿宋_GB2312" w:hAnsi="宋体" w:eastAsia="仿宋_GB2312"/>
                <w:color w:val="auto"/>
                <w:kern w:val="0"/>
                <w:sz w:val="32"/>
                <w:szCs w:val="32"/>
                <w:highlight w:val="none"/>
              </w:rPr>
            </w:pPr>
          </w:p>
        </w:tc>
        <w:tc>
          <w:tcPr>
            <w:tcW w:w="6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417" w:type="dxa"/>
            <w:vAlign w:val="center"/>
          </w:tcPr>
          <w:p>
            <w:pPr>
              <w:widowControl/>
              <w:jc w:val="center"/>
              <w:outlineLvl w:val="1"/>
              <w:rPr>
                <w:rFonts w:ascii="仿宋_GB2312" w:hAnsi="宋体" w:eastAsia="仿宋_GB2312"/>
                <w:color w:val="auto"/>
                <w:kern w:val="0"/>
                <w:sz w:val="32"/>
                <w:szCs w:val="32"/>
                <w:highlight w:val="none"/>
              </w:rPr>
            </w:pPr>
          </w:p>
        </w:tc>
        <w:tc>
          <w:tcPr>
            <w:tcW w:w="825" w:type="dxa"/>
            <w:vAlign w:val="center"/>
          </w:tcPr>
          <w:p>
            <w:pPr>
              <w:widowControl/>
              <w:jc w:val="center"/>
              <w:outlineLvl w:val="1"/>
              <w:rPr>
                <w:rFonts w:ascii="仿宋_GB2312" w:hAnsi="宋体" w:eastAsia="仿宋_GB2312"/>
                <w:color w:val="auto"/>
                <w:kern w:val="0"/>
                <w:sz w:val="32"/>
                <w:szCs w:val="32"/>
                <w:highlight w:val="none"/>
              </w:rPr>
            </w:pPr>
          </w:p>
        </w:tc>
        <w:tc>
          <w:tcPr>
            <w:tcW w:w="1367" w:type="dxa"/>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24" w:type="dxa"/>
            <w:vAlign w:val="center"/>
          </w:tcPr>
          <w:p>
            <w:pPr>
              <w:widowControl/>
              <w:jc w:val="center"/>
              <w:outlineLvl w:val="1"/>
              <w:rPr>
                <w:rFonts w:hint="eastAsia" w:ascii="仿宋_GB2312" w:hAnsi="宋体" w:eastAsia="仿宋_GB2312"/>
                <w:b/>
                <w:bCs/>
                <w:color w:val="auto"/>
                <w:kern w:val="0"/>
                <w:szCs w:val="21"/>
                <w:highlight w:val="none"/>
                <w:lang w:val="en-US" w:eastAsia="zh-CN"/>
              </w:rPr>
            </w:pPr>
          </w:p>
          <w:p>
            <w:pPr>
              <w:widowControl/>
              <w:jc w:val="center"/>
              <w:outlineLvl w:val="1"/>
              <w:rPr>
                <w:rFonts w:hint="default" w:ascii="仿宋_GB2312" w:hAnsi="宋体" w:eastAsia="仿宋_GB2312"/>
                <w:b/>
                <w:bCs/>
                <w:color w:val="auto"/>
                <w:kern w:val="0"/>
                <w:szCs w:val="21"/>
                <w:highlight w:val="none"/>
                <w:lang w:val="en-US" w:eastAsia="zh-CN"/>
              </w:rPr>
            </w:pPr>
            <w:r>
              <w:rPr>
                <w:rFonts w:hint="eastAsia" w:ascii="仿宋_GB2312" w:hAnsi="宋体" w:eastAsia="仿宋_GB2312"/>
                <w:b/>
                <w:bCs/>
                <w:color w:val="auto"/>
                <w:kern w:val="0"/>
                <w:szCs w:val="21"/>
                <w:highlight w:val="none"/>
                <w:lang w:val="en-US" w:eastAsia="zh-CN"/>
              </w:rPr>
              <w:t>100</w:t>
            </w:r>
          </w:p>
        </w:tc>
        <w:tc>
          <w:tcPr>
            <w:tcW w:w="555" w:type="dxa"/>
            <w:vAlign w:val="center"/>
          </w:tcPr>
          <w:p>
            <w:pPr>
              <w:widowControl/>
              <w:jc w:val="center"/>
              <w:outlineLvl w:val="1"/>
              <w:rPr>
                <w:rFonts w:ascii="仿宋_GB2312" w:hAnsi="宋体" w:eastAsia="仿宋_GB2312"/>
                <w:b/>
                <w:bCs/>
                <w:color w:val="auto"/>
                <w:kern w:val="0"/>
                <w:sz w:val="32"/>
                <w:szCs w:val="32"/>
                <w:highlight w:val="none"/>
              </w:rPr>
            </w:pPr>
          </w:p>
        </w:tc>
        <w:tc>
          <w:tcPr>
            <w:tcW w:w="686" w:type="dxa"/>
            <w:vAlign w:val="center"/>
          </w:tcPr>
          <w:p>
            <w:pPr>
              <w:widowControl/>
              <w:jc w:val="center"/>
              <w:outlineLvl w:val="1"/>
              <w:rPr>
                <w:rFonts w:hint="eastAsia" w:ascii="仿宋_GB2312" w:hAnsi="宋体" w:eastAsia="仿宋_GB2312"/>
                <w:b/>
                <w:bCs/>
                <w:color w:val="auto"/>
                <w:kern w:val="0"/>
                <w:szCs w:val="21"/>
                <w:highlight w:val="none"/>
                <w:lang w:val="en-US" w:eastAsia="zh-CN"/>
              </w:rPr>
            </w:pPr>
          </w:p>
          <w:p>
            <w:pPr>
              <w:widowControl/>
              <w:jc w:val="center"/>
              <w:outlineLvl w:val="1"/>
              <w:rPr>
                <w:rFonts w:hint="default" w:ascii="仿宋_GB2312" w:hAnsi="宋体" w:eastAsia="仿宋_GB2312"/>
                <w:b/>
                <w:bCs/>
                <w:color w:val="auto"/>
                <w:kern w:val="0"/>
                <w:sz w:val="32"/>
                <w:szCs w:val="32"/>
                <w:highlight w:val="none"/>
                <w:lang w:val="en-US" w:eastAsia="zh-CN"/>
              </w:rPr>
            </w:pPr>
            <w:r>
              <w:rPr>
                <w:rFonts w:hint="eastAsia" w:ascii="仿宋_GB2312" w:hAnsi="宋体" w:eastAsia="仿宋_GB2312"/>
                <w:b/>
                <w:bCs/>
                <w:color w:val="auto"/>
                <w:kern w:val="0"/>
                <w:szCs w:val="21"/>
                <w:highlight w:val="none"/>
                <w:lang w:val="en-US" w:eastAsia="zh-CN"/>
              </w:rPr>
              <w:t>100</w:t>
            </w:r>
          </w:p>
        </w:tc>
        <w:tc>
          <w:tcPr>
            <w:tcW w:w="475" w:type="dxa"/>
            <w:vAlign w:val="center"/>
          </w:tcPr>
          <w:p>
            <w:pPr>
              <w:widowControl/>
              <w:jc w:val="center"/>
              <w:outlineLvl w:val="1"/>
              <w:rPr>
                <w:rFonts w:ascii="仿宋_GB2312" w:hAnsi="宋体" w:eastAsia="仿宋_GB2312"/>
                <w:color w:val="auto"/>
                <w:kern w:val="0"/>
                <w:sz w:val="32"/>
                <w:szCs w:val="32"/>
                <w:highlight w:val="none"/>
              </w:rPr>
            </w:pPr>
          </w:p>
        </w:tc>
        <w:tc>
          <w:tcPr>
            <w:tcW w:w="6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jc w:val="left"/>
        <w:rPr>
          <w:rFonts w:hint="eastAsia"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中国人民解放军新疆维吾尔自治区呼图壁县人民武装部</w:t>
      </w:r>
      <w:r>
        <w:rPr>
          <w:rFonts w:hint="eastAsia" w:ascii="仿宋_GB2312" w:hAnsi="宋体" w:eastAsia="仿宋_GB2312" w:cs="宋体"/>
          <w:color w:val="auto"/>
          <w:kern w:val="0"/>
          <w:sz w:val="24"/>
          <w:highlight w:val="none"/>
          <w:lang w:val="en-US" w:eastAsia="zh-CN"/>
        </w:rPr>
        <w:t xml:space="preserve">  </w:t>
      </w:r>
      <w:r>
        <w:rPr>
          <w:rFonts w:hint="eastAsia" w:ascii="仿宋_GB2312" w:hAnsi="宋体" w:eastAsia="仿宋_GB2312" w:cs="宋体"/>
          <w:color w:val="auto"/>
          <w:kern w:val="0"/>
          <w:sz w:val="24"/>
          <w:highlight w:val="none"/>
        </w:rPr>
        <w:t xml:space="preserve">   单位：万元                                    </w:t>
      </w:r>
      <w:r>
        <w:rPr>
          <w:rFonts w:hint="eastAsia" w:ascii="仿宋_GB2312" w:hAnsi="宋体" w:eastAsia="仿宋_GB2312" w:cs="宋体"/>
          <w:color w:val="auto"/>
          <w:kern w:val="0"/>
          <w:sz w:val="24"/>
          <w:highlight w:val="none"/>
          <w:lang w:val="en-US" w:eastAsia="zh-CN"/>
        </w:rPr>
        <w:t xml:space="preserve">   </w:t>
      </w:r>
      <w:r>
        <w:rPr>
          <w:rFonts w:hint="eastAsia" w:ascii="仿宋_GB2312" w:hAnsi="宋体" w:eastAsia="仿宋_GB2312" w:cs="宋体"/>
          <w:color w:val="auto"/>
          <w:kern w:val="0"/>
          <w:sz w:val="24"/>
          <w:highlight w:val="none"/>
        </w:rPr>
        <w:t xml:space="preserve">  </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keepNext w:val="0"/>
        <w:keepLines w:val="0"/>
        <w:widowControl/>
        <w:suppressLineNumbers w:val="0"/>
        <w:jc w:val="left"/>
        <w:textAlignment w:val="bottom"/>
        <w:rPr>
          <w:rFonts w:hint="eastAsia" w:ascii="仿宋_GB2312" w:hAnsi="宋体" w:eastAsia="仿宋_GB2312"/>
          <w:b/>
          <w:color w:val="auto"/>
          <w:kern w:val="0"/>
          <w:sz w:val="32"/>
          <w:szCs w:val="32"/>
          <w:highlight w:val="none"/>
          <w:lang w:val="en-US" w:eastAsia="zh-CN"/>
        </w:rPr>
      </w:pPr>
      <w:r>
        <w:rPr>
          <w:rFonts w:hint="eastAsia" w:ascii="仿宋_GB2312" w:hAnsi="宋体" w:eastAsia="仿宋_GB2312"/>
          <w:b/>
          <w:color w:val="auto"/>
          <w:kern w:val="0"/>
          <w:sz w:val="32"/>
          <w:szCs w:val="32"/>
          <w:highlight w:val="none"/>
          <w:lang w:val="en-US" w:eastAsia="zh-CN"/>
        </w:rPr>
        <w:t>中国人民解放军新疆维吾尔自治区呼图壁县人民武装部2025年没有政府性基金预算支出安排，此表为空表。</w:t>
      </w:r>
    </w:p>
    <w:p>
      <w:pPr>
        <w:keepNext w:val="0"/>
        <w:keepLines w:val="0"/>
        <w:widowControl/>
        <w:suppressLineNumbers w:val="0"/>
        <w:jc w:val="left"/>
        <w:textAlignment w:val="bottom"/>
        <w:rPr>
          <w:rFonts w:hint="eastAsia" w:ascii="仿宋_GB2312" w:hAnsi="宋体" w:eastAsia="仿宋_GB2312"/>
          <w:b/>
          <w:color w:val="auto"/>
          <w:kern w:val="0"/>
          <w:sz w:val="32"/>
          <w:szCs w:val="32"/>
          <w:highlight w:val="none"/>
          <w:lang w:val="en-US" w:eastAsia="zh-CN"/>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highlight w:val="none"/>
          <w:lang w:eastAsia="zh-CN"/>
        </w:rPr>
        <w:t>中国人民解放军新疆维吾尔自治区呼图壁县人民武装部</w:t>
      </w:r>
      <w:r>
        <w:rPr>
          <w:rFonts w:hint="eastAsia" w:ascii="仿宋_GB2312" w:hAnsi="宋体" w:eastAsia="仿宋_GB2312" w:cs="宋体"/>
          <w:color w:val="auto"/>
          <w:kern w:val="0"/>
          <w:sz w:val="24"/>
          <w:highlight w:val="none"/>
          <w:lang w:val="en-US" w:eastAsia="zh-CN"/>
        </w:rPr>
        <w:t xml:space="preserve">  </w:t>
      </w:r>
      <w:r>
        <w:rPr>
          <w:rFonts w:hint="eastAsia" w:ascii="仿宋_GB2312" w:hAnsi="宋体" w:eastAsia="仿宋_GB2312" w:cs="宋体"/>
          <w:color w:val="auto"/>
          <w:kern w:val="0"/>
          <w:sz w:val="24"/>
          <w:highlight w:val="none"/>
        </w:rPr>
        <w:t xml:space="preserve">   单位：万元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widowControl/>
        <w:suppressLineNumbers w:val="0"/>
        <w:jc w:val="left"/>
        <w:textAlignment w:val="bottom"/>
        <w:rPr>
          <w:rFonts w:hint="eastAsia" w:ascii="仿宋_GB2312" w:hAnsi="宋体" w:eastAsia="仿宋_GB2312"/>
          <w:b/>
          <w:color w:val="auto"/>
          <w:kern w:val="0"/>
          <w:sz w:val="32"/>
          <w:szCs w:val="32"/>
          <w:highlight w:val="none"/>
          <w:lang w:val="en-US" w:eastAsia="zh-CN"/>
        </w:rPr>
      </w:pPr>
      <w:r>
        <w:rPr>
          <w:rFonts w:hint="eastAsia" w:ascii="仿宋_GB2312" w:hAnsi="宋体" w:eastAsia="仿宋_GB2312"/>
          <w:b/>
          <w:color w:val="auto"/>
          <w:kern w:val="0"/>
          <w:sz w:val="32"/>
          <w:szCs w:val="32"/>
          <w:highlight w:val="none"/>
          <w:lang w:val="en-US" w:eastAsia="zh-CN"/>
        </w:rPr>
        <w:t>中国人民解放军新疆维吾尔自治区呼图壁县人民武装部2025年没有国有资本经营预算支出安排，此表为空表。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highlight w:val="none"/>
          <w:lang w:val="en-US" w:eastAsia="zh-CN"/>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Times New Roman"/>
          <w:color w:val="auto"/>
          <w:kern w:val="0"/>
          <w:sz w:val="24"/>
          <w:highlight w:val="none"/>
          <w:lang w:eastAsia="zh-CN"/>
        </w:rPr>
        <w:t>中国人民解放军新疆维吾尔自治区呼图壁县人民武装部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p>
    <w:tbl>
      <w:tblPr>
        <w:tblStyle w:val="10"/>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因公出国（境）费</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公务接待费</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widowControl/>
              <w:ind w:firstLine="280" w:firstLineChars="100"/>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其中：公务用车购置费</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widowControl/>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 xml:space="preserve">     </w:t>
            </w:r>
            <w:r>
              <w:rPr>
                <w:rFonts w:hint="default" w:ascii="仿宋_GB2312" w:hAnsi="宋体" w:eastAsia="仿宋_GB2312"/>
                <w:b w:val="0"/>
                <w:bCs/>
                <w:color w:val="auto"/>
                <w:kern w:val="0"/>
                <w:sz w:val="28"/>
                <w:szCs w:val="32"/>
                <w:highlight w:val="none"/>
                <w:vertAlign w:val="baseline"/>
              </w:rPr>
              <w:t xml:space="preserve">  </w:t>
            </w:r>
            <w:r>
              <w:rPr>
                <w:rFonts w:hint="eastAsia" w:ascii="仿宋_GB2312" w:hAnsi="宋体" w:eastAsia="仿宋_GB2312"/>
                <w:b w:val="0"/>
                <w:bCs/>
                <w:color w:val="auto"/>
                <w:kern w:val="0"/>
                <w:sz w:val="28"/>
                <w:szCs w:val="32"/>
                <w:highlight w:val="none"/>
                <w:vertAlign w:val="baseline"/>
              </w:rPr>
              <w:t xml:space="preserve"> 公务用车运行费</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jc w:val="both"/>
        <w:rPr>
          <w:rFonts w:hint="eastAsia" w:ascii="仿宋" w:hAnsi="仿宋" w:eastAsia="仿宋" w:cs="仿宋_GB2312"/>
          <w:bCs/>
          <w:color w:val="auto"/>
          <w:kern w:val="0"/>
          <w:sz w:val="28"/>
          <w:szCs w:val="28"/>
          <w:highlight w:val="none"/>
        </w:rPr>
      </w:pPr>
      <w:r>
        <w:rPr>
          <w:rFonts w:hint="eastAsia" w:ascii="仿宋_GB2312" w:hAnsi="宋体" w:eastAsia="仿宋_GB2312"/>
          <w:b/>
          <w:color w:val="auto"/>
          <w:kern w:val="0"/>
          <w:sz w:val="28"/>
          <w:szCs w:val="28"/>
          <w:highlight w:val="none"/>
          <w:lang w:val="en-US" w:eastAsia="zh-CN"/>
        </w:rPr>
        <w:t>中国人民解放军新疆维吾尔自治区呼图壁县人民武装部2025年没有</w:t>
      </w:r>
      <w:r>
        <w:rPr>
          <w:rFonts w:hint="eastAsia" w:ascii="仿宋_GB2312" w:hAnsi="宋体" w:eastAsia="仿宋_GB2312"/>
          <w:b/>
          <w:color w:val="auto"/>
          <w:kern w:val="0"/>
          <w:sz w:val="28"/>
          <w:szCs w:val="28"/>
          <w:highlight w:val="none"/>
          <w:lang w:val="en-US" w:eastAsia="zh-Hans"/>
        </w:rPr>
        <w:t>财政拨款</w:t>
      </w:r>
      <w:r>
        <w:rPr>
          <w:rFonts w:hint="eastAsia" w:ascii="仿宋_GB2312" w:hAnsi="宋体" w:eastAsia="仿宋_GB2312"/>
          <w:b/>
          <w:color w:val="auto"/>
          <w:kern w:val="0"/>
          <w:sz w:val="28"/>
          <w:szCs w:val="28"/>
          <w:highlight w:val="none"/>
          <w:lang w:val="en-US" w:eastAsia="zh-CN"/>
        </w:rPr>
        <w:t>“三公”经费支出安排，此表为空表。</w:t>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left"/>
        <w:rPr>
          <w:rFonts w:hint="eastAsia" w:ascii="仿宋_GB2312" w:hAnsi="宋体" w:eastAsia="仿宋_GB2312"/>
          <w:color w:val="auto"/>
          <w:kern w:val="0"/>
          <w:sz w:val="24"/>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中国人民解放军新疆维吾尔自治区呼图壁县人民武装部</w:t>
      </w:r>
      <w:r>
        <w:rPr>
          <w:rFonts w:hint="eastAsia" w:ascii="仿宋_GB2312" w:hAnsi="宋体" w:eastAsia="仿宋_GB2312"/>
          <w:color w:val="auto"/>
          <w:kern w:val="0"/>
          <w:sz w:val="24"/>
          <w:highlight w:val="none"/>
        </w:rPr>
        <w:t xml:space="preserve">   单位：万元                                        </w:t>
      </w:r>
    </w:p>
    <w:tbl>
      <w:tblPr>
        <w:tblStyle w:val="10"/>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bl>
    <w:p>
      <w:pPr>
        <w:keepNext w:val="0"/>
        <w:keepLines w:val="0"/>
        <w:pageBreakBefore w:val="0"/>
        <w:widowControl/>
        <w:kinsoku/>
        <w:wordWrap/>
        <w:overflowPunct/>
        <w:topLinePunct w:val="0"/>
        <w:autoSpaceDE/>
        <w:autoSpaceDN/>
        <w:bidi w:val="0"/>
        <w:adjustRightInd w:val="0"/>
        <w:snapToGrid w:val="0"/>
        <w:jc w:val="left"/>
        <w:textAlignment w:val="auto"/>
        <w:rPr>
          <w:rFonts w:ascii="仿宋_GB2312" w:hAnsi="宋体" w:eastAsia="仿宋_GB2312"/>
          <w:color w:val="FF0000"/>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r>
        <w:rPr>
          <w:rFonts w:hint="eastAsia" w:ascii="仿宋_GB2312" w:hAnsi="宋体" w:eastAsia="仿宋_GB2312"/>
          <w:b/>
          <w:color w:val="auto"/>
          <w:kern w:val="0"/>
          <w:sz w:val="28"/>
          <w:szCs w:val="28"/>
          <w:highlight w:val="none"/>
          <w:lang w:val="en-US" w:eastAsia="zh-CN"/>
        </w:rPr>
        <w:t>中国人民解放军新疆维吾尔自治区呼图壁县人民武装部2025年没有上年结转结余资金，此表为空表。</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w:t>
      </w:r>
      <w:r>
        <w:rPr>
          <w:rFonts w:hint="eastAsia" w:ascii="黑体" w:hAnsi="黑体" w:eastAsia="黑体"/>
          <w:color w:val="auto"/>
          <w:kern w:val="0"/>
          <w:sz w:val="32"/>
          <w:szCs w:val="32"/>
          <w:highlight w:val="none"/>
          <w:lang w:val="en-US" w:eastAsia="zh-CN"/>
        </w:rPr>
        <w:t>5</w:t>
      </w:r>
      <w:r>
        <w:rPr>
          <w:rFonts w:hint="eastAsia" w:ascii="黑体" w:hAnsi="黑体" w:eastAsia="黑体"/>
          <w:color w:val="auto"/>
          <w:kern w:val="0"/>
          <w:sz w:val="32"/>
          <w:szCs w:val="32"/>
          <w:highlight w:val="none"/>
          <w:lang w:eastAsia="zh-CN"/>
        </w:rPr>
        <w:t>年</w:t>
      </w:r>
      <w:r>
        <w:rPr>
          <w:rFonts w:hint="eastAsia" w:ascii="黑体" w:hAnsi="黑体" w:eastAsia="黑体"/>
          <w:color w:val="auto"/>
          <w:kern w:val="0"/>
          <w:sz w:val="32"/>
          <w:szCs w:val="32"/>
          <w:highlight w:val="none"/>
          <w:lang w:val="en-US"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一、关于中国人民解放军新疆维吾尔自治区呼图壁县人民武装部</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按照全口径预算的原则，中国人民解放军新疆维吾尔自治区呼图壁县人民武装部</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228.86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支出预算包括：一般公共服务支出、社会保障和就业支出、卫生健康支出、住房保障支出。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中国人民解放军新疆维吾尔自治区呼图壁县人民武装部收入预算</w:t>
      </w:r>
      <w:r>
        <w:rPr>
          <w:rFonts w:hint="eastAsia" w:ascii="仿宋_GB2312" w:hAnsi="宋体" w:eastAsia="仿宋_GB2312" w:cs="宋体"/>
          <w:color w:val="auto"/>
          <w:kern w:val="0"/>
          <w:sz w:val="32"/>
          <w:szCs w:val="32"/>
          <w:highlight w:val="none"/>
          <w:lang w:val="en-US" w:eastAsia="zh-CN"/>
        </w:rPr>
        <w:t>228.86</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228.86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0.02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0.02 %，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人员增加</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国有资本经营预算未安排。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中国人民解放军新疆维吾尔自治区呼图壁县人民武装部</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228.86</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128.86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56.31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0.02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人员增加，相关预算增加</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43.69</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增加0万元，增长0 %，主要原因是此项经费为每年全县固定支出，所以此项目金额无变动。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228.86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228.86</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198.16</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kern w:val="0"/>
          <w:sz w:val="32"/>
          <w:szCs w:val="32"/>
          <w:highlight w:val="none"/>
          <w:lang w:val="en-US" w:eastAsia="zh-CN"/>
        </w:rPr>
        <w:t>保障机关运行的商品和服务支出；</w:t>
      </w:r>
      <w:r>
        <w:rPr>
          <w:rFonts w:hint="eastAsia" w:ascii="仿宋_GB2312" w:hAnsi="宋体" w:eastAsia="仿宋_GB2312" w:cs="宋体"/>
          <w:kern w:val="0"/>
          <w:sz w:val="32"/>
          <w:szCs w:val="32"/>
          <w:highlight w:val="none"/>
          <w:lang w:eastAsia="zh-CN"/>
        </w:rPr>
        <w:t>社会保障和就业支出</w:t>
      </w:r>
      <w:r>
        <w:rPr>
          <w:rFonts w:hint="eastAsia" w:ascii="仿宋_GB2312" w:hAnsi="宋体" w:eastAsia="仿宋_GB2312" w:cs="宋体"/>
          <w:kern w:val="0"/>
          <w:sz w:val="32"/>
          <w:szCs w:val="32"/>
          <w:highlight w:val="none"/>
          <w:lang w:val="en-US" w:eastAsia="zh-CN"/>
        </w:rPr>
        <w:t>13.75万元，主要用于在职职工机关养老保险支出；卫生健康支出8.05万元，主要用于在职及退休职工基本医疗、公务员医疗补助、大病医疗支出；住房保障支出8.9万元，主要用于在职职工住房公积金支出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228.86</w:t>
      </w:r>
      <w:r>
        <w:rPr>
          <w:rFonts w:hint="eastAsia" w:ascii="仿宋_GB2312" w:hAnsi="仿宋_GB2312" w:eastAsia="仿宋_GB2312" w:cs="仿宋_GB2312"/>
          <w:color w:val="auto"/>
          <w:kern w:val="0"/>
          <w:sz w:val="32"/>
          <w:szCs w:val="32"/>
          <w:highlight w:val="none"/>
        </w:rPr>
        <w:t>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rPr>
        <w:t>基本支出</w:t>
      </w:r>
      <w:r>
        <w:rPr>
          <w:rFonts w:hint="eastAsia" w:ascii="仿宋_GB2312" w:hAnsi="仿宋_GB2312" w:eastAsia="仿宋_GB2312" w:cs="仿宋_GB2312"/>
          <w:color w:val="auto"/>
          <w:kern w:val="0"/>
          <w:sz w:val="32"/>
          <w:szCs w:val="32"/>
          <w:highlight w:val="none"/>
          <w:lang w:val="en-US" w:eastAsia="zh-CN"/>
        </w:rPr>
        <w:t>128.86</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0.02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0.02</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人员增加，相关预算增加</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比上年预算增加0.00万元，增长0.00%。主要原因</w:t>
      </w:r>
      <w:r>
        <w:rPr>
          <w:rFonts w:hint="eastAsia" w:ascii="仿宋_GB2312" w:hAnsi="宋体" w:eastAsia="仿宋_GB2312" w:cs="宋体"/>
          <w:color w:val="auto"/>
          <w:kern w:val="0"/>
          <w:sz w:val="32"/>
          <w:szCs w:val="32"/>
          <w:highlight w:val="none"/>
          <w:lang w:val="en-US" w:eastAsia="zh-CN"/>
        </w:rPr>
        <w:t>是此项经费为每年全县固定支出，所以此项目金额无变动</w:t>
      </w:r>
      <w:r>
        <w:rPr>
          <w:rFonts w:hint="eastAsia" w:ascii="仿宋_GB2312" w:hAnsi="仿宋_GB2312" w:eastAsia="仿宋_GB2312" w:cs="仿宋_GB2312"/>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1、一般公共服务支出（类）198.16万元，占86.59%。</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仿宋_GB2312" w:eastAsia="仿宋_GB2312" w:cs="仿宋_GB2312"/>
          <w:sz w:val="32"/>
          <w:szCs w:val="32"/>
          <w:highlight w:val="none"/>
          <w:lang w:val="en-US" w:eastAsia="zh-CN"/>
        </w:rPr>
        <w:t>2、</w:t>
      </w:r>
      <w:r>
        <w:rPr>
          <w:rFonts w:hint="eastAsia" w:ascii="仿宋_GB2312" w:hAnsi="宋体" w:eastAsia="仿宋_GB2312" w:cs="宋体"/>
          <w:kern w:val="0"/>
          <w:sz w:val="32"/>
          <w:szCs w:val="32"/>
          <w:highlight w:val="none"/>
          <w:lang w:eastAsia="zh-CN"/>
        </w:rPr>
        <w:t>社会保障和就业支出（类）</w:t>
      </w:r>
      <w:r>
        <w:rPr>
          <w:rFonts w:hint="eastAsia" w:ascii="仿宋_GB2312" w:hAnsi="宋体" w:eastAsia="仿宋_GB2312" w:cs="宋体"/>
          <w:kern w:val="0"/>
          <w:sz w:val="32"/>
          <w:szCs w:val="32"/>
          <w:highlight w:val="none"/>
          <w:lang w:val="en-US" w:eastAsia="zh-CN"/>
        </w:rPr>
        <w:t>13.75万元，占6.01%。</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3、卫生健康支出（类）8.05万元，占3.52%。</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4、住房保障支出（类）8.9万元，占3.89%。</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pStyle w:val="2"/>
        <w:ind w:left="0" w:leftChars="0"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1、一般公共服务支出（类）政府办公厅（室）</w:t>
      </w:r>
      <w:r>
        <w:rPr>
          <w:rFonts w:hint="eastAsia" w:ascii="仿宋_GB2312" w:hAnsi="宋体" w:eastAsia="仿宋_GB2312" w:cs="宋体"/>
          <w:kern w:val="0"/>
          <w:sz w:val="32"/>
          <w:szCs w:val="32"/>
          <w:highlight w:val="none"/>
          <w:lang w:val="en-US" w:eastAsia="zh-CN"/>
        </w:rPr>
        <w:t>及相关机构事务（款）事业运行（项）：2025年预算数为98.16万元，比上年预算数增加0.11万元，增长0.11%，主要原因是人员增加。</w:t>
      </w:r>
    </w:p>
    <w:p>
      <w:pPr>
        <w:pStyle w:val="2"/>
        <w:ind w:left="0" w:leftChars="0"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2、一般公共服务支出（类）政府办公厅（室）及相关机构事务（款）其他政府办公厅（室）及相关机构事务（项）：2025年预算数为100万元，比上年预算增加0万元，增长0%。主要原因是根据相关工作要求，县级需每年安排此项经费预算100万元。</w:t>
      </w:r>
    </w:p>
    <w:p>
      <w:pPr>
        <w:pStyle w:val="2"/>
        <w:ind w:left="0" w:leftChars="0" w:firstLine="640" w:firstLineChars="20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3、社会保障和就业支出（类）机关事业单位基本养老保险缴费支出（款）事业单位离退休（项）：2025年预算数为3.11万元，比上年预算数增加3.11万元，增长100%，主要原因是本年科目调整，上年未使用此科目列支事业退休人员经费。</w:t>
      </w:r>
    </w:p>
    <w:p>
      <w:pPr>
        <w:pStyle w:val="2"/>
        <w:numPr>
          <w:ilvl w:val="0"/>
          <w:numId w:val="1"/>
        </w:numPr>
        <w:ind w:left="-10" w:leftChars="0" w:firstLine="640" w:firstLineChars="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社会保障和就业支出（类）机关事业单位基本养老保险缴费支出（款）机关事业单位基本养老保险缴费支出（项）：2025年预算数为10.64万元，比上年预算数减少0.42万元，下降3.80%，主要原因是退休1人，新招录1人，人员变动，工资变化，机关养老缴费支出减少。</w:t>
      </w:r>
    </w:p>
    <w:p>
      <w:pPr>
        <w:pStyle w:val="2"/>
        <w:numPr>
          <w:ilvl w:val="0"/>
          <w:numId w:val="1"/>
        </w:numPr>
        <w:ind w:left="-10" w:leftChars="0" w:firstLine="640" w:firstLineChars="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卫生健康支出（类）行政事业单位医疗支出（款）事业单位医疗（项）：2025年预算数为5.32万元，比上年预算数增加5.32万元，增长100%，主要原因是上年未使用此科目列支在职人员医疗缴费，本年科目调整。</w:t>
      </w:r>
    </w:p>
    <w:p>
      <w:pPr>
        <w:pStyle w:val="2"/>
        <w:numPr>
          <w:ilvl w:val="0"/>
          <w:numId w:val="1"/>
        </w:numPr>
        <w:ind w:left="-10" w:leftChars="0" w:firstLine="640" w:firstLineChars="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卫生健康支出（类）行政事业单位医疗支出（款）公务员医疗补助（项）：2025年预算数为2.66万元，比上年预算增加1.14万元，增长75.00%，主要原因是本年公务员缴费比例调整为社保基数的4%，上年为社保缴费基数的2.2%，导致公务员医疗缴费支出增加。</w:t>
      </w:r>
    </w:p>
    <w:p>
      <w:pPr>
        <w:pStyle w:val="2"/>
        <w:numPr>
          <w:ilvl w:val="0"/>
          <w:numId w:val="0"/>
        </w:numPr>
        <w:rPr>
          <w:rFonts w:hint="default" w:ascii="仿宋_GB2312" w:hAnsi="宋体" w:eastAsia="仿宋_GB2312" w:cs="宋体"/>
          <w:kern w:val="0"/>
          <w:sz w:val="32"/>
          <w:szCs w:val="32"/>
          <w:highlight w:val="none"/>
          <w:lang w:val="en-US" w:eastAsia="zh-CN" w:bidi="ar-SA"/>
        </w:rPr>
      </w:pPr>
      <w:r>
        <w:rPr>
          <w:rFonts w:hint="eastAsia" w:ascii="仿宋_GB2312" w:hAnsi="宋体" w:eastAsia="仿宋_GB2312" w:cs="宋体"/>
          <w:kern w:val="0"/>
          <w:sz w:val="32"/>
          <w:szCs w:val="32"/>
          <w:highlight w:val="none"/>
          <w:lang w:val="en-US" w:eastAsia="zh-CN"/>
        </w:rPr>
        <w:t>7、住房保障支出（类）住房改革支出（款）住房公积金（项）：2025年预算数为8.9万元，比上年预算数减少0.32万元，下降3.47%，主要原因是退休1人，新招录1人，人员变动，工资变化，住房保障支出减少。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rPr>
        <w:t>中国人民解放军新疆维吾尔自治区呼图壁县人民武装部</w:t>
      </w:r>
      <w:r>
        <w:rPr>
          <w:rFonts w:hint="eastAsia" w:ascii="仿宋_GB2312" w:hAnsi="宋体" w:eastAsia="仿宋_GB2312" w:cs="宋体"/>
          <w:color w:val="auto"/>
          <w:spacing w:val="-6"/>
          <w:kern w:val="0"/>
          <w:sz w:val="32"/>
          <w:szCs w:val="32"/>
          <w:highlight w:val="none"/>
          <w:lang w:eastAsia="zh-CN"/>
        </w:rPr>
        <w:t>202</w:t>
      </w:r>
      <w:r>
        <w:rPr>
          <w:rFonts w:hint="eastAsia" w:ascii="仿宋_GB2312" w:hAnsi="宋体" w:eastAsia="仿宋_GB2312" w:cs="宋体"/>
          <w:color w:val="auto"/>
          <w:spacing w:val="-6"/>
          <w:kern w:val="0"/>
          <w:sz w:val="32"/>
          <w:szCs w:val="32"/>
          <w:highlight w:val="none"/>
          <w:lang w:val="en-US" w:eastAsia="zh-CN"/>
        </w:rPr>
        <w:t>5</w:t>
      </w:r>
      <w:r>
        <w:rPr>
          <w:rFonts w:hint="eastAsia" w:ascii="仿宋_GB2312" w:hAnsi="宋体" w:eastAsia="仿宋_GB2312" w:cs="宋体"/>
          <w:color w:val="auto"/>
          <w:spacing w:val="-6"/>
          <w:kern w:val="0"/>
          <w:sz w:val="32"/>
          <w:szCs w:val="32"/>
          <w:highlight w:val="none"/>
          <w:lang w:eastAsia="zh-CN"/>
        </w:rPr>
        <w:t>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128.86</w:t>
      </w:r>
      <w:r>
        <w:rPr>
          <w:rFonts w:hint="eastAsia" w:ascii="仿宋_GB2312" w:hAnsi="宋体" w:eastAsia="仿宋_GB2312" w:cs="宋体"/>
          <w:color w:val="auto"/>
          <w:spacing w:val="-6"/>
          <w:kern w:val="0"/>
          <w:sz w:val="32"/>
          <w:szCs w:val="32"/>
          <w:highlight w:val="none"/>
        </w:rPr>
        <w:t>万元， 其中：</w:t>
      </w:r>
    </w:p>
    <w:p>
      <w:pPr>
        <w:pStyle w:val="8"/>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105.81</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退休费、生活补助、奖励金。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23.05</w:t>
      </w:r>
      <w:r>
        <w:rPr>
          <w:rFonts w:hint="eastAsia" w:ascii="仿宋_GB2312" w:hAnsi="宋体" w:eastAsia="仿宋_GB2312" w:cs="宋体"/>
          <w:color w:val="auto"/>
          <w:kern w:val="0"/>
          <w:sz w:val="32"/>
          <w:szCs w:val="32"/>
          <w:highlight w:val="none"/>
        </w:rPr>
        <w:t>万元，主要包括：水费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取暖费、工会经费。</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pStyle w:val="2"/>
        <w:numPr>
          <w:ilvl w:val="0"/>
          <w:numId w:val="0"/>
        </w:numPr>
        <w:ind w:leftChars="400"/>
        <w:rPr>
          <w:rFonts w:hint="eastAsia"/>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设立的政策依据：呼财预字[2025]5号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lang w:val="en-US" w:eastAsia="zh-CN"/>
        </w:rPr>
        <w:t>100万元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lang w:val="en-US" w:eastAsia="zh-CN"/>
        </w:rPr>
        <w:t>中国人民解放军新疆维吾尔自治区呼图壁县人民武装部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rPr>
        <w:t>资金执行时间：2025年1月</w:t>
      </w:r>
      <w:r>
        <w:rPr>
          <w:rFonts w:hint="eastAsia" w:ascii="仿宋_GB2312" w:hAnsi="黑体" w:eastAsia="仿宋_GB2312"/>
          <w:color w:val="auto"/>
          <w:sz w:val="32"/>
          <w:szCs w:val="32"/>
          <w:highlight w:val="none"/>
          <w:lang w:val="en-US" w:eastAsia="zh-CN"/>
        </w:rPr>
        <w:t>1日</w:t>
      </w:r>
      <w:r>
        <w:rPr>
          <w:rFonts w:hint="eastAsia" w:ascii="仿宋_GB2312" w:hAnsi="黑体" w:eastAsia="仿宋_GB2312"/>
          <w:color w:val="auto"/>
          <w:sz w:val="32"/>
          <w:szCs w:val="32"/>
          <w:highlight w:val="none"/>
        </w:rPr>
        <w:t>-2025年12月</w:t>
      </w:r>
      <w:r>
        <w:rPr>
          <w:rFonts w:hint="eastAsia" w:ascii="仿宋_GB2312" w:hAnsi="黑体" w:eastAsia="仿宋_GB2312"/>
          <w:color w:val="auto"/>
          <w:sz w:val="32"/>
          <w:szCs w:val="32"/>
          <w:highlight w:val="none"/>
          <w:lang w:val="en-US" w:eastAsia="zh-CN"/>
        </w:rPr>
        <w:t>31</w:t>
      </w:r>
      <w:r>
        <w:rPr>
          <w:rFonts w:hint="eastAsia" w:ascii="仿宋_GB2312" w:hAnsi="宋体" w:eastAsia="仿宋_GB2312" w:cs="宋体"/>
          <w:kern w:val="0"/>
          <w:sz w:val="32"/>
          <w:szCs w:val="32"/>
          <w:highlight w:val="none"/>
          <w:lang w:val="en-US" w:eastAsia="zh-CN"/>
        </w:rPr>
        <w:t>日</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中国人民解放军新疆维吾尔自治区呼图壁县人民武装部</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eastAsia="zh-Hans"/>
        </w:rPr>
        <w:t>财政拨款</w:t>
      </w:r>
      <w:r>
        <w:rPr>
          <w:rFonts w:hint="eastAsia" w:ascii="仿宋_GB2312" w:hAnsi="宋体" w:eastAsia="仿宋_GB2312" w:cs="宋体"/>
          <w:kern w:val="0"/>
          <w:sz w:val="32"/>
          <w:szCs w:val="32"/>
          <w:highlight w:val="none"/>
        </w:rPr>
        <w:t>“三公”经费比上年</w:t>
      </w:r>
      <w:r>
        <w:rPr>
          <w:rFonts w:hint="eastAsia" w:ascii="仿宋_GB2312" w:hAnsi="宋体" w:eastAsia="仿宋_GB2312" w:cs="宋体"/>
          <w:kern w:val="0"/>
          <w:sz w:val="32"/>
          <w:szCs w:val="32"/>
          <w:highlight w:val="none"/>
          <w:lang w:eastAsia="zh-Hans"/>
        </w:rPr>
        <w:t>预算</w:t>
      </w:r>
      <w:r>
        <w:rPr>
          <w:rFonts w:hint="eastAsia" w:ascii="仿宋_GB2312" w:hAnsi="宋体" w:eastAsia="仿宋_GB2312" w:cs="宋体"/>
          <w:kern w:val="0"/>
          <w:sz w:val="32"/>
          <w:szCs w:val="32"/>
          <w:highlight w:val="none"/>
        </w:rPr>
        <w:t>增加</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%，其中：因公出国（境）费增加</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2024年、2025</w:t>
      </w:r>
      <w:r>
        <w:rPr>
          <w:rFonts w:hint="eastAsia"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均</w:t>
      </w:r>
      <w:r>
        <w:rPr>
          <w:rFonts w:hint="eastAsia" w:ascii="仿宋_GB2312" w:hAnsi="宋体" w:eastAsia="仿宋_GB2312" w:cs="宋体"/>
          <w:kern w:val="0"/>
          <w:sz w:val="32"/>
          <w:szCs w:val="32"/>
          <w:highlight w:val="none"/>
        </w:rPr>
        <w:t>未安排</w:t>
      </w:r>
      <w:r>
        <w:rPr>
          <w:rFonts w:hint="eastAsia" w:ascii="仿宋_GB2312" w:hAnsi="宋体" w:eastAsia="仿宋_GB2312" w:cs="宋体"/>
          <w:kern w:val="0"/>
          <w:sz w:val="32"/>
          <w:szCs w:val="32"/>
          <w:highlight w:val="none"/>
          <w:lang w:val="en-US" w:eastAsia="zh-CN"/>
        </w:rPr>
        <w:t>此项</w:t>
      </w:r>
      <w:r>
        <w:rPr>
          <w:rFonts w:hint="eastAsia" w:ascii="仿宋_GB2312" w:hAnsi="宋体" w:eastAsia="仿宋_GB2312" w:cs="宋体"/>
          <w:kern w:val="0"/>
          <w:sz w:val="32"/>
          <w:szCs w:val="32"/>
          <w:highlight w:val="none"/>
        </w:rPr>
        <w:t>预算；公务用车购置费增加</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2024年、2025</w:t>
      </w:r>
      <w:r>
        <w:rPr>
          <w:rFonts w:hint="eastAsia"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均</w:t>
      </w:r>
      <w:r>
        <w:rPr>
          <w:rFonts w:hint="eastAsia" w:ascii="仿宋_GB2312" w:hAnsi="宋体" w:eastAsia="仿宋_GB2312" w:cs="宋体"/>
          <w:kern w:val="0"/>
          <w:sz w:val="32"/>
          <w:szCs w:val="32"/>
          <w:highlight w:val="none"/>
        </w:rPr>
        <w:t>未安排</w:t>
      </w:r>
      <w:r>
        <w:rPr>
          <w:rFonts w:hint="eastAsia" w:ascii="仿宋_GB2312" w:hAnsi="宋体" w:eastAsia="仿宋_GB2312" w:cs="宋体"/>
          <w:kern w:val="0"/>
          <w:sz w:val="32"/>
          <w:szCs w:val="32"/>
          <w:highlight w:val="none"/>
          <w:lang w:val="en-US" w:eastAsia="zh-CN"/>
        </w:rPr>
        <w:t>此项</w:t>
      </w:r>
      <w:r>
        <w:rPr>
          <w:rFonts w:hint="eastAsia" w:ascii="仿宋_GB2312" w:hAnsi="宋体" w:eastAsia="仿宋_GB2312" w:cs="宋体"/>
          <w:kern w:val="0"/>
          <w:sz w:val="32"/>
          <w:szCs w:val="32"/>
          <w:highlight w:val="none"/>
        </w:rPr>
        <w:t>预算；公务用车运行费增加</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2024年、2025</w:t>
      </w:r>
      <w:r>
        <w:rPr>
          <w:rFonts w:hint="eastAsia"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均</w:t>
      </w:r>
      <w:r>
        <w:rPr>
          <w:rFonts w:hint="eastAsia" w:ascii="仿宋_GB2312" w:hAnsi="宋体" w:eastAsia="仿宋_GB2312" w:cs="宋体"/>
          <w:kern w:val="0"/>
          <w:sz w:val="32"/>
          <w:szCs w:val="32"/>
          <w:highlight w:val="none"/>
        </w:rPr>
        <w:t>未安排</w:t>
      </w:r>
      <w:r>
        <w:rPr>
          <w:rFonts w:hint="eastAsia" w:ascii="仿宋_GB2312" w:hAnsi="宋体" w:eastAsia="仿宋_GB2312" w:cs="宋体"/>
          <w:kern w:val="0"/>
          <w:sz w:val="32"/>
          <w:szCs w:val="32"/>
          <w:highlight w:val="none"/>
          <w:lang w:val="en-US" w:eastAsia="zh-CN"/>
        </w:rPr>
        <w:t>此项</w:t>
      </w:r>
      <w:r>
        <w:rPr>
          <w:rFonts w:hint="eastAsia" w:ascii="仿宋_GB2312" w:hAnsi="宋体" w:eastAsia="仿宋_GB2312" w:cs="宋体"/>
          <w:kern w:val="0"/>
          <w:sz w:val="32"/>
          <w:szCs w:val="32"/>
          <w:highlight w:val="none"/>
        </w:rPr>
        <w:t>预算；公务接待费增加</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2024年、2025</w:t>
      </w:r>
      <w:r>
        <w:rPr>
          <w:rFonts w:hint="eastAsia"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均</w:t>
      </w:r>
      <w:r>
        <w:rPr>
          <w:rFonts w:hint="eastAsia" w:ascii="仿宋_GB2312" w:hAnsi="宋体" w:eastAsia="仿宋_GB2312" w:cs="宋体"/>
          <w:kern w:val="0"/>
          <w:sz w:val="32"/>
          <w:szCs w:val="32"/>
          <w:highlight w:val="none"/>
        </w:rPr>
        <w:t>未安排</w:t>
      </w:r>
      <w:r>
        <w:rPr>
          <w:rFonts w:hint="eastAsia" w:ascii="仿宋_GB2312" w:hAnsi="宋体" w:eastAsia="仿宋_GB2312" w:cs="宋体"/>
          <w:kern w:val="0"/>
          <w:sz w:val="32"/>
          <w:szCs w:val="32"/>
          <w:highlight w:val="none"/>
          <w:lang w:val="en-US" w:eastAsia="zh-CN"/>
        </w:rPr>
        <w:t>此项</w:t>
      </w:r>
      <w:r>
        <w:rPr>
          <w:rFonts w:hint="eastAsia" w:ascii="仿宋_GB2312" w:hAnsi="宋体" w:eastAsia="仿宋_GB2312" w:cs="宋体"/>
          <w:kern w:val="0"/>
          <w:sz w:val="32"/>
          <w:szCs w:val="32"/>
          <w:highlight w:val="none"/>
        </w:rPr>
        <w:t>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事业部门</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23.05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8.99</w:t>
      </w:r>
      <w:r>
        <w:rPr>
          <w:rFonts w:hint="eastAsia" w:ascii="仿宋_GB2312" w:hAnsi="仿宋_GB2312" w:eastAsia="仿宋_GB2312" w:cs="仿宋_GB2312"/>
          <w:color w:val="auto"/>
          <w:kern w:val="0"/>
          <w:sz w:val="32"/>
          <w:szCs w:val="32"/>
          <w:highlight w:val="none"/>
        </w:rPr>
        <w:t>万元，增</w:t>
      </w:r>
      <w:r>
        <w:rPr>
          <w:rFonts w:hint="eastAsia" w:ascii="仿宋_GB2312" w:hAnsi="仿宋_GB2312" w:eastAsia="仿宋_GB2312" w:cs="仿宋_GB2312"/>
          <w:color w:val="auto"/>
          <w:kern w:val="0"/>
          <w:sz w:val="32"/>
          <w:szCs w:val="32"/>
          <w:highlight w:val="none"/>
          <w:lang w:val="en-US" w:eastAsia="zh-CN"/>
        </w:rPr>
        <w:t>长63.94</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增加了民兵训练基地取暖费用，导致运行经费增加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年，中国人民解放军新疆维吾尔自治区呼图壁县人民武装部政府采购预算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万元，其中：政府采购货物预算     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年，中国人民解放军新疆维吾尔自治区呼图壁县人民武装部</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截至202</w:t>
      </w:r>
      <w:r>
        <w:rPr>
          <w:rFonts w:hint="eastAsia" w:ascii="仿宋_GB2312" w:hAnsi="仿宋_GB2312" w:eastAsia="仿宋_GB2312" w:cs="仿宋_GB2312"/>
          <w:kern w:val="0"/>
          <w:sz w:val="32"/>
          <w:szCs w:val="32"/>
          <w:highlight w:val="none"/>
          <w:lang w:val="en-US" w:eastAsia="zh-CN"/>
        </w:rPr>
        <w:t>4</w:t>
      </w:r>
      <w:r>
        <w:rPr>
          <w:rFonts w:hint="eastAsia" w:ascii="仿宋_GB2312" w:hAnsi="仿宋_GB2312" w:eastAsia="仿宋_GB2312" w:cs="仿宋_GB2312"/>
          <w:kern w:val="0"/>
          <w:sz w:val="32"/>
          <w:szCs w:val="32"/>
          <w:highlight w:val="none"/>
        </w:rPr>
        <w:t>年底，</w:t>
      </w:r>
      <w:r>
        <w:rPr>
          <w:rFonts w:hint="eastAsia" w:ascii="仿宋_GB2312" w:hAnsi="仿宋_GB2312" w:eastAsia="仿宋_GB2312" w:cs="仿宋_GB2312"/>
          <w:color w:val="auto"/>
          <w:kern w:val="0"/>
          <w:sz w:val="32"/>
          <w:szCs w:val="32"/>
          <w:highlight w:val="none"/>
        </w:rPr>
        <w:t>中国人民解放军新疆维吾尔自治区呼图壁县人民武装部</w:t>
      </w:r>
      <w:r>
        <w:rPr>
          <w:rFonts w:hint="eastAsia" w:ascii="仿宋_GB2312" w:hAnsi="仿宋_GB2312" w:eastAsia="仿宋_GB2312" w:cs="仿宋_GB2312"/>
          <w:kern w:val="0"/>
          <w:sz w:val="32"/>
          <w:szCs w:val="32"/>
          <w:highlight w:val="none"/>
        </w:rPr>
        <w:t>占用使用国有资产总体情况为</w:t>
      </w:r>
    </w:p>
    <w:p>
      <w:pPr>
        <w:widowControl/>
        <w:spacing w:line="580" w:lineRule="exact"/>
        <w:ind w:firstLine="640"/>
        <w:jc w:val="left"/>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w:t>
      </w:r>
      <w:r>
        <w:rPr>
          <w:rFonts w:hint="eastAsia" w:ascii="仿宋_GB2312" w:hAnsi="宋体" w:eastAsia="仿宋_GB2312" w:cs="宋体"/>
          <w:kern w:val="0"/>
          <w:sz w:val="32"/>
          <w:szCs w:val="32"/>
          <w:highlight w:val="none"/>
        </w:rPr>
        <w:t>房屋4028 平方米，价值 247.54万元。</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2.车辆</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辆，价值</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万元；其中：一般公务用车</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辆，价值</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万元；执法执勤用车</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辆，价值</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万元；其他车辆</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辆，价值</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万元。</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3.办公家具价值</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万元。</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4.其他资产价值</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万元。</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部门</w:t>
      </w:r>
      <w:r>
        <w:rPr>
          <w:rFonts w:hint="eastAsia" w:ascii="仿宋_GB2312" w:hAnsi="仿宋_GB2312" w:eastAsia="仿宋_GB2312" w:cs="仿宋_GB2312"/>
          <w:kern w:val="0"/>
          <w:sz w:val="32"/>
          <w:szCs w:val="32"/>
          <w:highlight w:val="none"/>
        </w:rPr>
        <w:t>价值50万元以上大型设备</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台，</w:t>
      </w:r>
      <w:r>
        <w:rPr>
          <w:rFonts w:hint="eastAsia" w:ascii="仿宋_GB2312" w:hAnsi="仿宋_GB2312" w:eastAsia="仿宋_GB2312" w:cs="仿宋_GB2312"/>
          <w:kern w:val="0"/>
          <w:sz w:val="32"/>
          <w:szCs w:val="32"/>
          <w:highlight w:val="none"/>
          <w:lang w:val="en-US" w:eastAsia="zh-CN"/>
        </w:rPr>
        <w:t>部门</w:t>
      </w:r>
      <w:r>
        <w:rPr>
          <w:rFonts w:hint="eastAsia" w:ascii="仿宋_GB2312" w:hAnsi="仿宋_GB2312" w:eastAsia="仿宋_GB2312" w:cs="仿宋_GB2312"/>
          <w:kern w:val="0"/>
          <w:sz w:val="32"/>
          <w:szCs w:val="32"/>
          <w:highlight w:val="none"/>
        </w:rPr>
        <w:t>价值100万元以上大型设备</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台。</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w:t>
      </w:r>
      <w:r>
        <w:rPr>
          <w:rFonts w:hint="eastAsia" w:ascii="仿宋_GB2312" w:hAnsi="仿宋_GB2312" w:eastAsia="仿宋_GB2312" w:cs="仿宋_GB2312"/>
          <w:kern w:val="0"/>
          <w:sz w:val="32"/>
          <w:szCs w:val="32"/>
          <w:highlight w:val="none"/>
          <w:lang w:val="en-US" w:eastAsia="zh-CN"/>
        </w:rPr>
        <w:t>部门</w:t>
      </w:r>
      <w:r>
        <w:rPr>
          <w:rFonts w:hint="eastAsia" w:ascii="仿宋_GB2312" w:hAnsi="仿宋_GB2312" w:eastAsia="仿宋_GB2312" w:cs="仿宋_GB2312"/>
          <w:kern w:val="0"/>
          <w:sz w:val="32"/>
          <w:szCs w:val="32"/>
          <w:highlight w:val="none"/>
        </w:rPr>
        <w:t>预算未安排购置车辆经费，安排购置50万元以上大型设备</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台，</w:t>
      </w:r>
      <w:r>
        <w:rPr>
          <w:rFonts w:hint="eastAsia" w:ascii="仿宋_GB2312" w:hAnsi="仿宋_GB2312" w:eastAsia="仿宋_GB2312" w:cs="仿宋_GB2312"/>
          <w:kern w:val="0"/>
          <w:sz w:val="32"/>
          <w:szCs w:val="32"/>
          <w:highlight w:val="none"/>
          <w:lang w:val="en-US" w:eastAsia="zh-CN"/>
        </w:rPr>
        <w:t>部门</w:t>
      </w:r>
      <w:r>
        <w:rPr>
          <w:rFonts w:hint="eastAsia" w:ascii="仿宋_GB2312" w:hAnsi="仿宋_GB2312" w:eastAsia="仿宋_GB2312" w:cs="仿宋_GB2312"/>
          <w:kern w:val="0"/>
          <w:sz w:val="32"/>
          <w:szCs w:val="32"/>
          <w:highlight w:val="none"/>
        </w:rPr>
        <w:t>价值100万元以上大型设备</w:t>
      </w:r>
      <w:r>
        <w:rPr>
          <w:rFonts w:hint="eastAsia" w:ascii="仿宋_GB2312" w:hAnsi="仿宋_GB2312" w:eastAsia="仿宋_GB2312" w:cs="仿宋_GB2312"/>
          <w:kern w:val="0"/>
          <w:sz w:val="32"/>
          <w:szCs w:val="32"/>
          <w:highlight w:val="none"/>
          <w:lang w:val="en-US" w:eastAsia="zh-CN"/>
        </w:rPr>
        <w:t>0</w:t>
      </w:r>
      <w:r>
        <w:rPr>
          <w:rFonts w:hint="eastAsia" w:ascii="仿宋_GB2312" w:hAnsi="仿宋_GB2312" w:eastAsia="仿宋_GB2312" w:cs="仿宋_GB2312"/>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整体预算绩效目标1个，涉及预算金额228.86万元；当年预算安排项目共1个，其中: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涉及预算金额100万元；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val="en-US" w:eastAsia="zh-CN"/>
        </w:rPr>
        <w:t xml:space="preserve"> </w:t>
      </w:r>
      <w:bookmarkEnd w:id="0"/>
    </w:p>
    <w:tbl>
      <w:tblPr>
        <w:tblStyle w:val="9"/>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ind w:firstLine="643" w:firstLineChars="200"/>
              <w:jc w:val="both"/>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中国人民解放军新疆维吾尔自治区呼图壁县人民武装部</w:t>
            </w: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仿宋_GB2312" w:hAnsi="宋体" w:eastAsia="仿宋_GB2312" w:cs="仿宋_GB2312"/>
                <w:b w:val="0"/>
                <w:bCs/>
                <w:color w:val="000000"/>
                <w:kern w:val="0"/>
                <w:sz w:val="24"/>
                <w:szCs w:val="24"/>
                <w:highlight w:val="none"/>
                <w:lang w:val="en-US" w:eastAsia="zh-CN" w:bidi="ar"/>
              </w:rPr>
              <w:t>中国人民解放军新疆维吾尔自治区呼图壁县人民武装部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吕钢峰</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13364903858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color w:val="000000"/>
                <w:sz w:val="18"/>
                <w:szCs w:val="18"/>
                <w:highlight w:val="none"/>
                <w:lang w:val="en-US" w:eastAsia="zh-CN"/>
              </w:rPr>
              <w:t>本年完成300名民兵训练，完成春秋两季征兵任务，做好本地区民兵、预备役工作，提高本地区民兵组织建设、政治教育、军事训练和武器装备管理水平。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228.86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开展民兵训练次数</w:t>
            </w: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default" w:ascii="宋体" w:hAnsi="宋体" w:eastAsia="宋体" w:cs="宋体"/>
                <w:i w:val="0"/>
                <w:iCs w:val="0"/>
                <w:color w:val="000000"/>
                <w:sz w:val="20"/>
                <w:szCs w:val="20"/>
                <w:highlight w:val="none"/>
                <w:u w:val="none"/>
                <w:lang w:val="en-US" w:eastAsia="zh-CN"/>
              </w:rPr>
              <w:t>&gt;=8次</w:t>
            </w: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组织实施国防动员活动次数</w:t>
            </w: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&gt;=4次</w:t>
            </w: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sz w:val="24"/>
                <w:szCs w:val="24"/>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开展征兵工作次数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=2次</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sz w:val="24"/>
                <w:szCs w:val="24"/>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开展征兵宣传工作时间</w:t>
            </w: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2024年1月-12月</w:t>
            </w: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sz w:val="24"/>
                <w:szCs w:val="24"/>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auto"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预征入伍青年人数</w:t>
            </w: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=35人</w:t>
            </w:r>
          </w:p>
        </w:tc>
        <w:tc>
          <w:tcPr>
            <w:tcW w:w="2114" w:type="dxa"/>
            <w:tcBorders>
              <w:top w:val="single" w:color="000000" w:sz="4" w:space="0"/>
              <w:left w:val="single" w:color="000000" w:sz="4" w:space="0"/>
              <w:bottom w:val="single" w:color="000000" w:sz="4" w:space="0"/>
              <w:right w:val="single" w:color="000000" w:sz="4" w:space="0"/>
            </w:tcBorders>
            <w:vAlign w:val="center"/>
          </w:tcPr>
          <w:p>
            <w:pPr>
              <w:ind w:firstLine="600" w:firstLineChars="300"/>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sz w:val="24"/>
                <w:szCs w:val="24"/>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各项任务达标率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=100%</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sz w:val="24"/>
                <w:szCs w:val="24"/>
                <w:highlight w:val="none"/>
                <w:u w:val="none"/>
                <w:lang w:val="en-US" w:eastAsia="zh-CN"/>
              </w:rPr>
              <w:t>15</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numPr>
          <w:ilvl w:val="0"/>
          <w:numId w:val="3"/>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left"/>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本年度财政安排项目</w:t>
      </w:r>
      <w:r>
        <w:rPr>
          <w:rFonts w:hint="eastAsia" w:ascii="仿宋_GB2312" w:eastAsia="仿宋_GB2312" w:cs="Times New Roman"/>
          <w:kern w:val="2"/>
          <w:sz w:val="32"/>
          <w:szCs w:val="32"/>
          <w:highlight w:val="none"/>
          <w:lang w:val="en-US" w:eastAsia="zh-CN" w:bidi="ar-SA"/>
        </w:rPr>
        <w:t>1</w:t>
      </w:r>
      <w:r>
        <w:rPr>
          <w:rFonts w:hint="eastAsia" w:ascii="仿宋_GB2312" w:hAnsi="Times New Roman" w:eastAsia="仿宋_GB2312" w:cs="Times New Roman"/>
          <w:kern w:val="2"/>
          <w:sz w:val="32"/>
          <w:szCs w:val="32"/>
          <w:highlight w:val="none"/>
          <w:lang w:val="en-US" w:eastAsia="zh-CN" w:bidi="ar-SA"/>
        </w:rPr>
        <w:t>个，未公开</w:t>
      </w:r>
      <w:r>
        <w:rPr>
          <w:rFonts w:hint="eastAsia" w:ascii="仿宋_GB2312" w:eastAsia="仿宋_GB2312" w:cs="Times New Roman"/>
          <w:kern w:val="2"/>
          <w:sz w:val="32"/>
          <w:szCs w:val="32"/>
          <w:highlight w:val="none"/>
          <w:lang w:val="en-US" w:eastAsia="zh-CN" w:bidi="ar-SA"/>
        </w:rPr>
        <w:t>1</w:t>
      </w:r>
      <w:r>
        <w:rPr>
          <w:rFonts w:hint="eastAsia" w:ascii="仿宋_GB2312" w:hAnsi="Times New Roman" w:eastAsia="仿宋_GB2312" w:cs="Times New Roman"/>
          <w:kern w:val="2"/>
          <w:sz w:val="32"/>
          <w:szCs w:val="32"/>
          <w:highlight w:val="none"/>
          <w:lang w:val="en-US" w:eastAsia="zh-CN" w:bidi="ar-SA"/>
        </w:rPr>
        <w:t>个，涉及金额</w:t>
      </w:r>
      <w:r>
        <w:rPr>
          <w:rFonts w:hint="eastAsia" w:ascii="仿宋_GB2312" w:eastAsia="仿宋_GB2312" w:cs="Times New Roman"/>
          <w:kern w:val="2"/>
          <w:sz w:val="32"/>
          <w:szCs w:val="32"/>
          <w:highlight w:val="none"/>
          <w:lang w:val="en-US" w:eastAsia="zh-CN" w:bidi="ar-SA"/>
        </w:rPr>
        <w:t>100</w:t>
      </w:r>
      <w:r>
        <w:rPr>
          <w:rFonts w:hint="eastAsia" w:ascii="仿宋_GB2312" w:hAnsi="Times New Roman" w:eastAsia="仿宋_GB2312" w:cs="Times New Roman"/>
          <w:kern w:val="2"/>
          <w:sz w:val="32"/>
          <w:szCs w:val="32"/>
          <w:highlight w:val="none"/>
          <w:lang w:val="en-US" w:eastAsia="zh-CN" w:bidi="ar-SA"/>
        </w:rPr>
        <w:t>万元，</w:t>
      </w:r>
      <w:r>
        <w:rPr>
          <w:rFonts w:hint="eastAsia" w:ascii="仿宋_GB2312" w:eastAsia="仿宋_GB2312" w:cs="Times New Roman"/>
          <w:kern w:val="2"/>
          <w:sz w:val="32"/>
          <w:szCs w:val="32"/>
          <w:highlight w:val="none"/>
          <w:lang w:val="en-US" w:eastAsia="zh-CN" w:bidi="ar-SA"/>
        </w:rPr>
        <w:t>此项目为SM项目，不公开绩效目标表。</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仿宋_GB2312" w:hAnsi="Times New Roman" w:eastAsia="仿宋_GB2312" w:cs="Times New Roman"/>
          <w:kern w:val="2"/>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right"/>
        <w:textAlignment w:val="auto"/>
        <w:outlineLvl w:val="9"/>
        <w:rPr>
          <w:rFonts w:hint="eastAsia" w:ascii="仿宋_GB2312" w:hAnsi="Times New Roman" w:eastAsia="仿宋_GB2312" w:cs="Times New Roman"/>
          <w:color w:val="auto"/>
          <w:spacing w:val="-11"/>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Times New Roman" w:eastAsia="仿宋_GB2312" w:cs="Times New Roman"/>
          <w:color w:val="auto"/>
          <w:spacing w:val="-11"/>
          <w:sz w:val="32"/>
          <w:szCs w:val="32"/>
          <w:highlight w:val="none"/>
          <w:lang w:val="en-US" w:eastAsia="zh-CN"/>
        </w:rPr>
        <w:t>中国人民解放军新疆维吾尔自治区呼图壁县人民武装部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bookmarkEnd w:id="1"/>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p>
                          <w:pPr>
                            <w:pStyle w:val="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5"/>
                    </w:pPr>
                  </w:p>
                  <w:p>
                    <w:pPr>
                      <w:pStyle w:val="5"/>
                    </w:pPr>
                    <w:r>
                      <w:fldChar w:fldCharType="begin"/>
                    </w:r>
                    <w:r>
                      <w:instrText xml:space="preserve"> PAGE  \* MERGEFORMAT </w:instrText>
                    </w:r>
                    <w:r>
                      <w:fldChar w:fldCharType="separate"/>
                    </w:r>
                    <w:r>
                      <w:t>4</w:t>
                    </w:r>
                    <w:r>
                      <w:fldChar w:fldCharType="end"/>
                    </w:r>
                  </w:p>
                </w:txbxContent>
              </v:textbox>
            </v:shape>
          </w:pict>
        </mc:Fallback>
      </mc:AlternateContent>
    </w:r>
  </w:p>
  <w:p>
    <w:pPr>
      <w:pStyle w:val="5"/>
      <w:jc w:val="right"/>
      <w:rPr>
        <w:rFonts w:ascii="宋体" w:hAnsi="宋体" w:eastAsia="宋体"/>
        <w:sz w:val="28"/>
        <w:szCs w:val="28"/>
      </w:rPr>
    </w:pP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09FCB7"/>
    <w:multiLevelType w:val="singleLevel"/>
    <w:tmpl w:val="0A09FCB7"/>
    <w:lvl w:ilvl="0" w:tentative="0">
      <w:start w:val="7"/>
      <w:numFmt w:val="chineseCounting"/>
      <w:suff w:val="nothing"/>
      <w:lvlText w:val="%1、"/>
      <w:lvlJc w:val="left"/>
      <w:rPr>
        <w:rFonts w:hint="eastAsia"/>
      </w:rPr>
    </w:lvl>
  </w:abstractNum>
  <w:abstractNum w:abstractNumId="1">
    <w:nsid w:val="17050BC8"/>
    <w:multiLevelType w:val="singleLevel"/>
    <w:tmpl w:val="17050BC8"/>
    <w:lvl w:ilvl="0" w:tentative="0">
      <w:start w:val="5"/>
      <w:numFmt w:val="chineseCounting"/>
      <w:suff w:val="nothing"/>
      <w:lvlText w:val="（%1）"/>
      <w:lvlJc w:val="left"/>
      <w:rPr>
        <w:rFonts w:hint="eastAsia"/>
      </w:rPr>
    </w:lvl>
  </w:abstractNum>
  <w:abstractNum w:abstractNumId="2">
    <w:nsid w:val="621DBD17"/>
    <w:multiLevelType w:val="singleLevel"/>
    <w:tmpl w:val="621DBD17"/>
    <w:lvl w:ilvl="0" w:tentative="0">
      <w:start w:val="4"/>
      <w:numFmt w:val="decimal"/>
      <w:suff w:val="nothing"/>
      <w:lvlText w:val="%1、"/>
      <w:lvlJc w:val="left"/>
      <w:pPr>
        <w:ind w:left="-1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0YjQ2NDZjZjY3YmU2MTQwZjdlNTY5Y2M2YmFmYmMifQ=="/>
  </w:docVars>
  <w:rsids>
    <w:rsidRoot w:val="10587512"/>
    <w:rsid w:val="00E41A1F"/>
    <w:rsid w:val="015754F6"/>
    <w:rsid w:val="017B2F92"/>
    <w:rsid w:val="01890E69"/>
    <w:rsid w:val="020E507E"/>
    <w:rsid w:val="02732F8E"/>
    <w:rsid w:val="02CB7F49"/>
    <w:rsid w:val="037800D1"/>
    <w:rsid w:val="04267087"/>
    <w:rsid w:val="04267B2D"/>
    <w:rsid w:val="044C330C"/>
    <w:rsid w:val="05397FD9"/>
    <w:rsid w:val="057A5F58"/>
    <w:rsid w:val="05CA273A"/>
    <w:rsid w:val="070E6657"/>
    <w:rsid w:val="080E3E4F"/>
    <w:rsid w:val="084451C2"/>
    <w:rsid w:val="08450B28"/>
    <w:rsid w:val="08681E03"/>
    <w:rsid w:val="08762705"/>
    <w:rsid w:val="088F5575"/>
    <w:rsid w:val="08E81855"/>
    <w:rsid w:val="0A4168EC"/>
    <w:rsid w:val="0AD672A7"/>
    <w:rsid w:val="0B247F12"/>
    <w:rsid w:val="0B7C3034"/>
    <w:rsid w:val="0B841FFD"/>
    <w:rsid w:val="0BD56A2F"/>
    <w:rsid w:val="0C0A3890"/>
    <w:rsid w:val="0C221FBD"/>
    <w:rsid w:val="0CD20198"/>
    <w:rsid w:val="0CEC568C"/>
    <w:rsid w:val="0D6E5FD0"/>
    <w:rsid w:val="0E320E7D"/>
    <w:rsid w:val="0E711374"/>
    <w:rsid w:val="0E9208E7"/>
    <w:rsid w:val="10587512"/>
    <w:rsid w:val="105D0E37"/>
    <w:rsid w:val="10916BDA"/>
    <w:rsid w:val="11036B00"/>
    <w:rsid w:val="11301FEB"/>
    <w:rsid w:val="11B6451D"/>
    <w:rsid w:val="121E62E8"/>
    <w:rsid w:val="1697741D"/>
    <w:rsid w:val="17153277"/>
    <w:rsid w:val="17C31EA1"/>
    <w:rsid w:val="18DA3EDB"/>
    <w:rsid w:val="19A215AC"/>
    <w:rsid w:val="1A132B78"/>
    <w:rsid w:val="1A934268"/>
    <w:rsid w:val="1AC437A4"/>
    <w:rsid w:val="1B153D26"/>
    <w:rsid w:val="1BEB54C3"/>
    <w:rsid w:val="1C3C6084"/>
    <w:rsid w:val="1C8C02F2"/>
    <w:rsid w:val="1D3E1AFE"/>
    <w:rsid w:val="1E6432D4"/>
    <w:rsid w:val="1E89232D"/>
    <w:rsid w:val="1EB61656"/>
    <w:rsid w:val="1EBF49AE"/>
    <w:rsid w:val="20407429"/>
    <w:rsid w:val="20CF3CE4"/>
    <w:rsid w:val="20DD55C0"/>
    <w:rsid w:val="22353CA2"/>
    <w:rsid w:val="22922CB8"/>
    <w:rsid w:val="22D64BAD"/>
    <w:rsid w:val="22DB78DD"/>
    <w:rsid w:val="244D65B8"/>
    <w:rsid w:val="2492221D"/>
    <w:rsid w:val="24B42D8E"/>
    <w:rsid w:val="250855AF"/>
    <w:rsid w:val="258B383C"/>
    <w:rsid w:val="263B7010"/>
    <w:rsid w:val="26B4291F"/>
    <w:rsid w:val="26BD282A"/>
    <w:rsid w:val="26E769FA"/>
    <w:rsid w:val="286D65BC"/>
    <w:rsid w:val="28D9041B"/>
    <w:rsid w:val="293B2E83"/>
    <w:rsid w:val="2A1758D5"/>
    <w:rsid w:val="2AD10FC0"/>
    <w:rsid w:val="2AFC4894"/>
    <w:rsid w:val="2B3A05DE"/>
    <w:rsid w:val="2B6901C6"/>
    <w:rsid w:val="2D14002F"/>
    <w:rsid w:val="2D480265"/>
    <w:rsid w:val="2D977453"/>
    <w:rsid w:val="2E2943BA"/>
    <w:rsid w:val="2EF22236"/>
    <w:rsid w:val="2FED29FE"/>
    <w:rsid w:val="2FF41FDE"/>
    <w:rsid w:val="300E1D4A"/>
    <w:rsid w:val="30B05F05"/>
    <w:rsid w:val="310F3573"/>
    <w:rsid w:val="32D560F7"/>
    <w:rsid w:val="33A76F60"/>
    <w:rsid w:val="33AA3731"/>
    <w:rsid w:val="341E7629"/>
    <w:rsid w:val="35052887"/>
    <w:rsid w:val="35F117C8"/>
    <w:rsid w:val="38284F1B"/>
    <w:rsid w:val="3936665A"/>
    <w:rsid w:val="39B0409D"/>
    <w:rsid w:val="3BE45FB7"/>
    <w:rsid w:val="3BF21AC7"/>
    <w:rsid w:val="3C013037"/>
    <w:rsid w:val="3CB04B0A"/>
    <w:rsid w:val="3FDF4D23"/>
    <w:rsid w:val="41083B3B"/>
    <w:rsid w:val="4110724E"/>
    <w:rsid w:val="41270465"/>
    <w:rsid w:val="41DB2FFE"/>
    <w:rsid w:val="42F779C3"/>
    <w:rsid w:val="43502DA9"/>
    <w:rsid w:val="43B75EE2"/>
    <w:rsid w:val="43C26223"/>
    <w:rsid w:val="43D8307E"/>
    <w:rsid w:val="4436451B"/>
    <w:rsid w:val="44507CD3"/>
    <w:rsid w:val="44AF5181"/>
    <w:rsid w:val="455A018C"/>
    <w:rsid w:val="46B02CAB"/>
    <w:rsid w:val="46CE3131"/>
    <w:rsid w:val="493059DD"/>
    <w:rsid w:val="494F7907"/>
    <w:rsid w:val="4ADF73DC"/>
    <w:rsid w:val="4B1B26BD"/>
    <w:rsid w:val="4B315A3D"/>
    <w:rsid w:val="4B8471E0"/>
    <w:rsid w:val="4BB816B0"/>
    <w:rsid w:val="4C0055E5"/>
    <w:rsid w:val="4C3677AE"/>
    <w:rsid w:val="4C706B3A"/>
    <w:rsid w:val="4CA46E0E"/>
    <w:rsid w:val="4F3B332E"/>
    <w:rsid w:val="51956F72"/>
    <w:rsid w:val="51C15CED"/>
    <w:rsid w:val="52285DEB"/>
    <w:rsid w:val="52AD62F0"/>
    <w:rsid w:val="53A94D0A"/>
    <w:rsid w:val="546308FE"/>
    <w:rsid w:val="555D5DAC"/>
    <w:rsid w:val="56FE59C9"/>
    <w:rsid w:val="570D735E"/>
    <w:rsid w:val="571B2674"/>
    <w:rsid w:val="580E5802"/>
    <w:rsid w:val="585D1018"/>
    <w:rsid w:val="589917F1"/>
    <w:rsid w:val="59B241EC"/>
    <w:rsid w:val="5A5E27F6"/>
    <w:rsid w:val="5A704801"/>
    <w:rsid w:val="5A8C5E4D"/>
    <w:rsid w:val="5AED2A9A"/>
    <w:rsid w:val="5C4E0C1B"/>
    <w:rsid w:val="5D9E1657"/>
    <w:rsid w:val="5E225DE5"/>
    <w:rsid w:val="5E257683"/>
    <w:rsid w:val="5E7802BC"/>
    <w:rsid w:val="5EE078B0"/>
    <w:rsid w:val="5F0D5523"/>
    <w:rsid w:val="5F2346ED"/>
    <w:rsid w:val="61086613"/>
    <w:rsid w:val="61686204"/>
    <w:rsid w:val="626272EE"/>
    <w:rsid w:val="62917095"/>
    <w:rsid w:val="630E06E5"/>
    <w:rsid w:val="63E47481"/>
    <w:rsid w:val="6408782B"/>
    <w:rsid w:val="65322CBF"/>
    <w:rsid w:val="65B35574"/>
    <w:rsid w:val="65C658ED"/>
    <w:rsid w:val="6824267E"/>
    <w:rsid w:val="68CC52CB"/>
    <w:rsid w:val="68DE4FFE"/>
    <w:rsid w:val="691B0000"/>
    <w:rsid w:val="694B58D7"/>
    <w:rsid w:val="69CE4E15"/>
    <w:rsid w:val="6B3E7E06"/>
    <w:rsid w:val="6B7F3246"/>
    <w:rsid w:val="6B8920E3"/>
    <w:rsid w:val="6BF904A6"/>
    <w:rsid w:val="6CB5251A"/>
    <w:rsid w:val="6CD429A0"/>
    <w:rsid w:val="6D6E5988"/>
    <w:rsid w:val="6E35417E"/>
    <w:rsid w:val="6EF07839"/>
    <w:rsid w:val="6F63000B"/>
    <w:rsid w:val="6FCF0C72"/>
    <w:rsid w:val="71500A63"/>
    <w:rsid w:val="717C1858"/>
    <w:rsid w:val="722C0B88"/>
    <w:rsid w:val="72B56DCF"/>
    <w:rsid w:val="72E964BC"/>
    <w:rsid w:val="735C7C42"/>
    <w:rsid w:val="74D07EF1"/>
    <w:rsid w:val="75B570E6"/>
    <w:rsid w:val="75BF3AC1"/>
    <w:rsid w:val="7706409E"/>
    <w:rsid w:val="7797777E"/>
    <w:rsid w:val="780A1873"/>
    <w:rsid w:val="787D11B8"/>
    <w:rsid w:val="78A771BA"/>
    <w:rsid w:val="78AC6820"/>
    <w:rsid w:val="792C5912"/>
    <w:rsid w:val="79BE0E0D"/>
    <w:rsid w:val="7B6E2211"/>
    <w:rsid w:val="7CBA4FE2"/>
    <w:rsid w:val="7D06612B"/>
    <w:rsid w:val="7E880152"/>
    <w:rsid w:val="7E8B30D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27</Pages>
  <Words>2215</Words>
  <Characters>2688</Characters>
  <Lines>0</Lines>
  <Paragraphs>0</Paragraphs>
  <TotalTime>3</TotalTime>
  <ScaleCrop>false</ScaleCrop>
  <LinksUpToDate>false</LinksUpToDate>
  <CharactersWithSpaces>3164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2025-10-29T13:02:59Z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33F036782A994A4FAFA003BF7F23800F_13</vt:lpwstr>
  </property>
  <property fmtid="{D5CDD505-2E9C-101B-9397-08002B2CF9AE}" pid="4" name="KSOTemplateDocerSaveRecord">
    <vt:lpwstr>eyJoZGlkIjoiN2EyMTIxNTJlMjY2NjM5NjdjYmYwZjVhYjA4ZGEwODEiLCJ1c2VySWQiOiI0MjYzNjAxNTMifQ==</vt:lpwstr>
  </property>
</Properties>
</file>