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highlight w:val="none"/>
        </w:rPr>
      </w:pPr>
      <w:bookmarkStart w:id="1" w:name="_GoBack"/>
    </w:p>
    <w:p>
      <w:pPr>
        <w:pStyle w:val="2"/>
        <w:rPr>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中共呼图壁县委员会机要保密局</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2025年部门预算公开</w:t>
      </w: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 录</w:t>
      </w:r>
    </w:p>
    <w:p>
      <w:pPr>
        <w:spacing w:line="600" w:lineRule="exact"/>
        <w:ind w:firstLine="643" w:firstLineChars="200"/>
        <w:rPr>
          <w:rFonts w:ascii="仿宋_GB2312" w:hAnsi="仿宋_GB2312" w:eastAsia="仿宋_GB2312" w:cs="仿宋_GB2312"/>
          <w:b/>
          <w:kern w:val="0"/>
          <w:sz w:val="32"/>
          <w:szCs w:val="32"/>
          <w:highlight w:val="none"/>
        </w:rPr>
      </w:pP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 2025年中共呼图壁县委员会机要保密局部门概况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  2025年部门预算公开表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一、部门收支总体情况表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二、部门收入总体情况表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三、部门支出总体情况表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四、财政拨款收支预算总体情况表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十、财政拨款“三公”经费支出情况表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十一、上年结转结余情况明细表</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  2025年部门预算情况说明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一、关于中共呼图壁县委员会机要保密局2025年收支预算情况的总体说明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二、关于中共呼图壁县委员会机要保密局2025年收入预算情况说明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三、关于中共呼图壁县委员会机要保密局2025年支出预算情况说明</w:t>
      </w:r>
    </w:p>
    <w:p>
      <w:pPr>
        <w:spacing w:line="600" w:lineRule="exact"/>
        <w:ind w:firstLine="640" w:firstLineChars="200"/>
        <w:rPr>
          <w:rFonts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四、关于</w:t>
      </w:r>
      <w:r>
        <w:rPr>
          <w:rFonts w:hint="eastAsia" w:ascii="仿宋_GB2312" w:hAnsi="仿宋_GB2312" w:eastAsia="仿宋_GB2312" w:cs="仿宋_GB2312"/>
          <w:kern w:val="0"/>
          <w:sz w:val="32"/>
          <w:szCs w:val="32"/>
          <w:highlight w:val="none"/>
        </w:rPr>
        <w:t>中共呼图壁县委员会机要保密局2025年</w:t>
      </w:r>
      <w:r>
        <w:rPr>
          <w:rFonts w:hint="eastAsia" w:ascii="仿宋_GB2312" w:hAnsi="仿宋_GB2312" w:eastAsia="仿宋_GB2312" w:cs="仿宋_GB2312"/>
          <w:bCs/>
          <w:kern w:val="0"/>
          <w:sz w:val="32"/>
          <w:szCs w:val="32"/>
          <w:highlight w:val="none"/>
        </w:rPr>
        <w:t>财政拨款收支预算情况的总体说明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五、</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中共呼图壁县委员会机要保密局2025年</w:t>
      </w:r>
      <w:r>
        <w:rPr>
          <w:rFonts w:hint="eastAsia" w:ascii="仿宋_GB2312" w:hAnsi="仿宋_GB2312" w:eastAsia="仿宋_GB2312" w:cs="仿宋_GB2312"/>
          <w:spacing w:val="-6"/>
          <w:kern w:val="0"/>
          <w:sz w:val="32"/>
          <w:szCs w:val="32"/>
          <w:highlight w:val="none"/>
        </w:rPr>
        <w:t>一般公共预算当年拨款情况说明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六、</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中共呼图壁县委员会机要保密局2025年</w:t>
      </w:r>
      <w:r>
        <w:rPr>
          <w:rFonts w:hint="eastAsia" w:ascii="仿宋_GB2312" w:hAnsi="仿宋_GB2312" w:eastAsia="仿宋_GB2312" w:cs="仿宋_GB2312"/>
          <w:spacing w:val="-6"/>
          <w:kern w:val="0"/>
          <w:sz w:val="32"/>
          <w:szCs w:val="32"/>
          <w:highlight w:val="none"/>
        </w:rPr>
        <w:t>一般公共预算基本支出情况说明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七、</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中共呼图壁县委员会机要保密局2025年</w:t>
      </w:r>
      <w:r>
        <w:rPr>
          <w:rFonts w:hint="eastAsia" w:ascii="仿宋_GB2312" w:hAnsi="仿宋_GB2312" w:eastAsia="仿宋_GB2312" w:cs="仿宋_GB2312"/>
          <w:spacing w:val="-6"/>
          <w:kern w:val="0"/>
          <w:sz w:val="32"/>
          <w:szCs w:val="32"/>
          <w:highlight w:val="none"/>
        </w:rPr>
        <w:t>一般公共预算项目支出情况说明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八、关于中共呼图壁县委员会机要保密局2025年政府性基金预算拨款情况说明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九、关于中共呼图壁县委员会机要保密局2025年国有资本经营预算拨款情况说明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十、关于中共呼图壁县委员会机要保密局2025年财政拨款“三公”经费预算情况说明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十一、关于中共呼图壁县委员会机要保密局2025年上年结转结余预算情况说明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第四部分  名词解释</w:t>
      </w:r>
    </w:p>
    <w:p>
      <w:pPr>
        <w:spacing w:line="600" w:lineRule="exact"/>
        <w:ind w:firstLine="640"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第一部分   2025年中共呼图壁县委员会机要保密局部门概况</w:t>
      </w:r>
    </w:p>
    <w:p>
      <w:pPr>
        <w:widowControl/>
        <w:spacing w:line="540" w:lineRule="exact"/>
        <w:jc w:val="center"/>
        <w:outlineLvl w:val="1"/>
        <w:rPr>
          <w:rFonts w:ascii="宋体" w:hAnsi="宋体"/>
          <w:b/>
          <w:kern w:val="0"/>
          <w:sz w:val="32"/>
          <w:szCs w:val="32"/>
          <w:highlight w:val="none"/>
        </w:rPr>
      </w:pP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widowControl/>
        <w:spacing w:line="540" w:lineRule="exact"/>
        <w:jc w:val="left"/>
        <w:rPr>
          <w:rFonts w:hint="default" w:ascii="仿宋_GB2312" w:hAnsi="宋体" w:eastAsia="仿宋_GB2312" w:cs="宋体"/>
          <w:bCs/>
          <w:kern w:val="0"/>
          <w:sz w:val="32"/>
          <w:szCs w:val="32"/>
          <w:highlight w:val="none"/>
          <w:lang w:val="en-US" w:eastAsia="zh-CN"/>
        </w:rPr>
      </w:pPr>
      <w:r>
        <w:rPr>
          <w:rFonts w:hint="eastAsia" w:ascii="黑体" w:hAnsi="黑体" w:eastAsia="黑体" w:cs="宋体"/>
          <w:bCs/>
          <w:kern w:val="0"/>
          <w:sz w:val="32"/>
          <w:szCs w:val="32"/>
          <w:highlight w:val="none"/>
        </w:rPr>
        <w:t xml:space="preserve">   </w:t>
      </w:r>
      <w:r>
        <w:rPr>
          <w:rFonts w:hint="eastAsia" w:ascii="仿宋_GB2312" w:hAnsi="黑体" w:eastAsia="仿宋_GB2312" w:cs="宋体"/>
          <w:bCs/>
          <w:kern w:val="0"/>
          <w:sz w:val="32"/>
          <w:szCs w:val="32"/>
          <w:highlight w:val="none"/>
        </w:rPr>
        <w:t xml:space="preserve"> </w:t>
      </w:r>
      <w:r>
        <w:rPr>
          <w:rFonts w:hint="eastAsia" w:ascii="仿宋_GB2312" w:hAnsi="黑体" w:eastAsia="仿宋_GB2312" w:cs="宋体"/>
          <w:bCs/>
          <w:kern w:val="0"/>
          <w:sz w:val="32"/>
          <w:szCs w:val="32"/>
          <w:highlight w:val="none"/>
          <w:lang w:val="en-US" w:eastAsia="zh-CN"/>
        </w:rPr>
        <w:t>完全不予公开。</w:t>
      </w: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40" w:lineRule="exact"/>
        <w:ind w:firstLine="640"/>
        <w:jc w:val="left"/>
        <w:rPr>
          <w:rFonts w:hint="eastAsia" w:ascii="仿宋_GB2312" w:hAnsi="宋体" w:eastAsia="仿宋_GB2312" w:cs="宋体"/>
          <w:kern w:val="0"/>
          <w:sz w:val="32"/>
          <w:szCs w:val="32"/>
          <w:highlight w:val="none"/>
        </w:rPr>
      </w:pPr>
      <w:r>
        <w:rPr>
          <w:rFonts w:hint="eastAsia" w:ascii="仿宋_GB2312" w:hAnsi="宋体" w:eastAsia="仿宋_GB2312" w:cs="宋体"/>
          <w:bCs/>
          <w:kern w:val="0"/>
          <w:sz w:val="32"/>
          <w:szCs w:val="32"/>
          <w:highlight w:val="none"/>
        </w:rPr>
        <w:t>中共呼图壁县委员会机要保密局单位无下属预算单位，下设 2个处室，分别是：信息化办公室、保密局综合办</w:t>
      </w:r>
      <w:r>
        <w:rPr>
          <w:rFonts w:hint="eastAsia" w:ascii="仿宋_GB2312" w:hAnsi="宋体" w:eastAsia="仿宋_GB2312" w:cs="宋体"/>
          <w:kern w:val="0"/>
          <w:sz w:val="32"/>
          <w:szCs w:val="32"/>
          <w:highlight w:val="none"/>
        </w:rPr>
        <w:t>。</w:t>
      </w:r>
    </w:p>
    <w:p>
      <w:pPr>
        <w:widowControl/>
        <w:spacing w:line="540" w:lineRule="exact"/>
        <w:ind w:firstLine="640"/>
        <w:jc w:val="left"/>
        <w:rPr>
          <w:rFonts w:hint="eastAsia" w:ascii="仿宋_GB2312" w:hAnsi="宋体" w:eastAsia="仿宋_GB2312" w:cs="宋体"/>
          <w:kern w:val="0"/>
          <w:sz w:val="32"/>
          <w:szCs w:val="32"/>
          <w:highlight w:val="none"/>
        </w:rPr>
      </w:pPr>
      <w:r>
        <w:rPr>
          <w:rFonts w:hint="eastAsia" w:ascii="仿宋_GB2312" w:hAnsi="宋体" w:eastAsia="仿宋_GB2312" w:cs="宋体"/>
          <w:bCs/>
          <w:kern w:val="0"/>
          <w:sz w:val="32"/>
          <w:szCs w:val="32"/>
          <w:highlight w:val="none"/>
        </w:rPr>
        <w:t>中共呼图壁县委员会机要保密局</w:t>
      </w:r>
      <w:r>
        <w:rPr>
          <w:rFonts w:hint="eastAsia" w:ascii="仿宋_GB2312" w:hAnsi="宋体" w:eastAsia="仿宋_GB2312" w:cs="宋体"/>
          <w:kern w:val="0"/>
          <w:sz w:val="32"/>
          <w:szCs w:val="32"/>
          <w:highlight w:val="none"/>
        </w:rPr>
        <w:t>单位编制数11，实有人数10人，其中：在职10人，增加0人；退休0人，增加0人；离休0人，增加0人。</w:t>
      </w: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hint="eastAsia"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 xml:space="preserve">第二部分  </w:t>
      </w:r>
      <w:r>
        <w:rPr>
          <w:rFonts w:hint="eastAsia" w:ascii="仿宋_GB2312" w:hAnsi="仿宋_GB2312" w:eastAsia="仿宋_GB2312" w:cs="仿宋_GB2312"/>
          <w:b/>
          <w:kern w:val="0"/>
          <w:sz w:val="32"/>
          <w:szCs w:val="32"/>
          <w:highlight w:val="none"/>
        </w:rPr>
        <w:t>2025</w:t>
      </w:r>
      <w:r>
        <w:rPr>
          <w:rFonts w:hint="eastAsia" w:ascii="黑体" w:hAnsi="黑体" w:eastAsia="黑体"/>
          <w:kern w:val="0"/>
          <w:sz w:val="32"/>
          <w:szCs w:val="32"/>
          <w:highlight w:val="none"/>
        </w:rPr>
        <w:t>年部门预算公开表</w:t>
      </w:r>
    </w:p>
    <w:p>
      <w:pPr>
        <w:widowControl/>
        <w:spacing w:line="240" w:lineRule="exact"/>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表1</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部门收支总体情况表</w:t>
      </w:r>
    </w:p>
    <w:p>
      <w:pPr>
        <w:widowControl/>
        <w:spacing w:line="280" w:lineRule="exact"/>
        <w:jc w:val="left"/>
        <w:rPr>
          <w:rFonts w:ascii="仿宋_GB2312" w:hAnsi="宋体" w:eastAsia="仿宋_GB2312" w:cs="宋体"/>
          <w:kern w:val="0"/>
          <w:sz w:val="18"/>
          <w:szCs w:val="18"/>
          <w:highlight w:val="none"/>
        </w:rPr>
      </w:pPr>
    </w:p>
    <w:p>
      <w:pPr>
        <w:widowControl/>
        <w:spacing w:line="280" w:lineRule="exact"/>
        <w:jc w:val="left"/>
        <w:rPr>
          <w:rFonts w:ascii="仿宋_GB2312" w:hAnsi="宋体" w:eastAsia="仿宋_GB2312"/>
          <w:kern w:val="0"/>
          <w:sz w:val="24"/>
          <w:highlight w:val="none"/>
        </w:rPr>
      </w:pPr>
      <w:r>
        <w:rPr>
          <w:rFonts w:hint="eastAsia" w:ascii="仿宋_GB2312" w:hAnsi="宋体" w:eastAsia="仿宋_GB2312" w:cs="宋体"/>
          <w:kern w:val="0"/>
          <w:sz w:val="24"/>
          <w:highlight w:val="none"/>
        </w:rPr>
        <w:t>编制部门：中共呼图壁县委员会机要保密局</w:t>
      </w:r>
      <w:r>
        <w:rPr>
          <w:rFonts w:hint="eastAsia" w:ascii="仿宋_GB2312" w:hAnsi="宋体" w:eastAsia="仿宋_GB2312"/>
          <w:kern w:val="0"/>
          <w:sz w:val="24"/>
          <w:highlight w:val="none"/>
        </w:rPr>
        <w:t xml:space="preserve">                    单位：万元</w:t>
      </w:r>
    </w:p>
    <w:tbl>
      <w:tblPr>
        <w:tblStyle w:val="7"/>
        <w:tblW w:w="8643" w:type="dxa"/>
        <w:tblInd w:w="93" w:type="dxa"/>
        <w:tblLayout w:type="autofit"/>
        <w:tblCellMar>
          <w:top w:w="0" w:type="dxa"/>
          <w:left w:w="108" w:type="dxa"/>
          <w:bottom w:w="0" w:type="dxa"/>
          <w:right w:w="108" w:type="dxa"/>
        </w:tblCellMar>
      </w:tblPr>
      <w:tblGrid>
        <w:gridCol w:w="3158"/>
        <w:gridCol w:w="1101"/>
        <w:gridCol w:w="2687"/>
        <w:gridCol w:w="1697"/>
      </w:tblGrid>
      <w:tr>
        <w:tblPrEx>
          <w:tblCellMar>
            <w:top w:w="0" w:type="dxa"/>
            <w:left w:w="108" w:type="dxa"/>
            <w:bottom w:w="0" w:type="dxa"/>
            <w:right w:w="108" w:type="dxa"/>
          </w:tblCellMar>
        </w:tblPrEx>
        <w:trPr>
          <w:trHeight w:val="338" w:hRule="atLeast"/>
        </w:trPr>
        <w:tc>
          <w:tcPr>
            <w:tcW w:w="4259"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     入</w:t>
            </w:r>
          </w:p>
        </w:tc>
        <w:tc>
          <w:tcPr>
            <w:tcW w:w="438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     出</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     目</w:t>
            </w:r>
          </w:p>
        </w:tc>
        <w:tc>
          <w:tcPr>
            <w:tcW w:w="11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2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6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289"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一、本年收入</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537.08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427.26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1.一般公共预算拨款</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463.40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其中：一般财力</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463.40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83"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上级一般公共预算安排转移支付</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2.政府性基金预算拨款</w:t>
            </w:r>
            <w:r>
              <w:rPr>
                <w:rFonts w:hint="eastAsia" w:ascii="仿宋_GB2312" w:hAnsi="宋体" w:eastAsia="仿宋_GB2312" w:cs="宋体"/>
                <w:kern w:val="0"/>
                <w:sz w:val="18"/>
                <w:szCs w:val="18"/>
                <w:highlight w:val="none"/>
              </w:rPr>
              <w:tab/>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其中：政府性基金收入</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上级政府性基金安排转移支付</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3.国有资本经营预算拨款</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43.65　</w:t>
            </w:r>
          </w:p>
        </w:tc>
      </w:tr>
      <w:tr>
        <w:tblPrEx>
          <w:tblCellMar>
            <w:top w:w="0" w:type="dxa"/>
            <w:left w:w="108" w:type="dxa"/>
            <w:bottom w:w="0" w:type="dxa"/>
            <w:right w:w="108" w:type="dxa"/>
          </w:tblCellMar>
        </w:tblPrEx>
        <w:trPr>
          <w:trHeight w:val="322"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其中：国有资本经营收入</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03"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上级国有资本经营预算安排转移支付</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 卫生健康支出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25.90</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4.财政专户核拨</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5.单位资金</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73.68</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其中：事业收入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上级补助收入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附属单位上缴收入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资源勘探工业信息等支出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286"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事业单位经营收入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其他收入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73.68</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二、上年结转结余</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1.财政拨款结转</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其中：一般公共预算拨款</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40.27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政府性基金预算拨款</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国有资本经营预算拨款</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2.非财政拨款结余</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 灾害防治及应急管理支出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其中：财政专户核拨</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单位资金</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02"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highlight w:val="none"/>
              </w:rPr>
            </w:pPr>
            <w:r>
              <w:rPr>
                <w:rFonts w:hint="eastAsia" w:ascii="仿宋_GB2312" w:hAnsi="宋体" w:eastAsia="仿宋_GB2312" w:cs="宋体"/>
                <w:kern w:val="0"/>
                <w:sz w:val="18"/>
                <w:szCs w:val="18"/>
                <w:highlight w:val="none"/>
              </w:rPr>
              <w:t>230 转移性支出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p>
        </w:tc>
        <w:tc>
          <w:tcPr>
            <w:tcW w:w="11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26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w:t>
            </w:r>
          </w:p>
        </w:tc>
        <w:tc>
          <w:tcPr>
            <w:tcW w:w="16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1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2687"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rPr>
            </w:pPr>
          </w:p>
        </w:tc>
        <w:tc>
          <w:tcPr>
            <w:tcW w:w="16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73" w:hRule="atLeast"/>
        </w:trPr>
        <w:tc>
          <w:tcPr>
            <w:tcW w:w="3158"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11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537.08</w:t>
            </w:r>
          </w:p>
        </w:tc>
        <w:tc>
          <w:tcPr>
            <w:tcW w:w="2687"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  出  总  计</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537.08　</w:t>
            </w:r>
          </w:p>
        </w:tc>
      </w:tr>
    </w:tbl>
    <w:p>
      <w:pPr>
        <w:widowControl/>
        <w:jc w:val="left"/>
        <w:textAlignment w:val="bottom"/>
        <w:rPr>
          <w:rFonts w:hint="eastAsia"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表2</w:t>
      </w:r>
    </w:p>
    <w:p>
      <w:pPr>
        <w:widowControl/>
        <w:spacing w:line="440" w:lineRule="exact"/>
        <w:jc w:val="center"/>
        <w:outlineLvl w:val="1"/>
        <w:rPr>
          <w:rFonts w:ascii="仿宋_GB2312" w:hAnsi="宋体" w:eastAsia="仿宋_GB2312"/>
          <w:b/>
          <w:kern w:val="0"/>
          <w:sz w:val="32"/>
          <w:szCs w:val="32"/>
          <w:highlight w:val="none"/>
        </w:rPr>
      </w:pPr>
      <w:r>
        <w:rPr>
          <w:rFonts w:hint="eastAsia" w:ascii="仿宋_GB2312" w:hAnsi="仿宋_GB2312" w:eastAsia="仿宋_GB2312" w:cs="仿宋_GB2312"/>
          <w:b/>
          <w:kern w:val="0"/>
          <w:sz w:val="32"/>
          <w:szCs w:val="32"/>
          <w:highlight w:val="none"/>
        </w:rPr>
        <w:t>部门收入总体情况表</w:t>
      </w:r>
    </w:p>
    <w:p>
      <w:pPr>
        <w:widowControl/>
        <w:jc w:val="left"/>
        <w:outlineLvl w:val="1"/>
        <w:rPr>
          <w:rFonts w:hint="eastAsia" w:ascii="仿宋_GB2312" w:hAnsi="宋体" w:eastAsia="仿宋_GB2312"/>
          <w:kern w:val="0"/>
          <w:sz w:val="24"/>
          <w:highlight w:val="none"/>
        </w:rPr>
      </w:pPr>
    </w:p>
    <w:p>
      <w:pPr>
        <w:widowControl/>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w:t>
      </w:r>
      <w:r>
        <w:rPr>
          <w:rFonts w:hint="eastAsia" w:ascii="仿宋_GB2312" w:hAnsi="宋体" w:eastAsia="仿宋_GB2312" w:cs="宋体"/>
          <w:kern w:val="0"/>
          <w:sz w:val="24"/>
          <w:highlight w:val="none"/>
        </w:rPr>
        <w:t>中共呼图壁县委员会机要保密局</w:t>
      </w:r>
      <w:r>
        <w:rPr>
          <w:rFonts w:hint="eastAsia" w:ascii="仿宋_GB2312" w:hAnsi="宋体" w:eastAsia="仿宋_GB2312"/>
          <w:kern w:val="0"/>
          <w:sz w:val="24"/>
          <w:highlight w:val="none"/>
        </w:rPr>
        <w:t xml:space="preserve">                     单位：万元</w:t>
      </w:r>
    </w:p>
    <w:tbl>
      <w:tblPr>
        <w:tblStyle w:val="7"/>
        <w:tblW w:w="10466" w:type="dxa"/>
        <w:tblInd w:w="-598" w:type="dxa"/>
        <w:tblLayout w:type="fixed"/>
        <w:tblCellMar>
          <w:top w:w="0" w:type="dxa"/>
          <w:left w:w="108" w:type="dxa"/>
          <w:bottom w:w="0" w:type="dxa"/>
          <w:right w:w="108" w:type="dxa"/>
        </w:tblCellMar>
      </w:tblPr>
      <w:tblGrid>
        <w:gridCol w:w="581"/>
        <w:gridCol w:w="431"/>
        <w:gridCol w:w="469"/>
        <w:gridCol w:w="1640"/>
        <w:gridCol w:w="852"/>
        <w:gridCol w:w="851"/>
        <w:gridCol w:w="852"/>
        <w:gridCol w:w="710"/>
        <w:gridCol w:w="427"/>
        <w:gridCol w:w="710"/>
        <w:gridCol w:w="427"/>
        <w:gridCol w:w="852"/>
        <w:gridCol w:w="284"/>
        <w:gridCol w:w="743"/>
        <w:gridCol w:w="303"/>
        <w:gridCol w:w="334"/>
      </w:tblGrid>
      <w:tr>
        <w:tblPrEx>
          <w:tblCellMar>
            <w:top w:w="0" w:type="dxa"/>
            <w:left w:w="108" w:type="dxa"/>
            <w:bottom w:w="0" w:type="dxa"/>
            <w:right w:w="108" w:type="dxa"/>
          </w:tblCellMar>
        </w:tblPrEx>
        <w:trPr>
          <w:trHeight w:val="340" w:hRule="atLeast"/>
        </w:trPr>
        <w:tc>
          <w:tcPr>
            <w:tcW w:w="148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highlight w:val="none"/>
              </w:rPr>
            </w:pPr>
            <w:r>
              <w:rPr>
                <w:rFonts w:hint="eastAsia" w:ascii="仿宋_GB2312" w:eastAsia="仿宋_GB2312"/>
                <w:b/>
                <w:sz w:val="24"/>
                <w:highlight w:val="none"/>
              </w:rPr>
              <w:t>功能分类科目编码</w:t>
            </w:r>
          </w:p>
        </w:tc>
        <w:tc>
          <w:tcPr>
            <w:tcW w:w="164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highlight w:val="none"/>
              </w:rPr>
            </w:pPr>
            <w:r>
              <w:rPr>
                <w:rFonts w:hint="eastAsia" w:ascii="仿宋_GB2312" w:eastAsia="仿宋_GB2312"/>
                <w:b/>
                <w:sz w:val="20"/>
                <w:szCs w:val="20"/>
                <w:highlight w:val="none"/>
              </w:rPr>
              <w:t>功能分类科目名称</w:t>
            </w:r>
          </w:p>
        </w:tc>
        <w:tc>
          <w:tcPr>
            <w:tcW w:w="85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highlight w:val="none"/>
              </w:rPr>
            </w:pPr>
            <w:r>
              <w:rPr>
                <w:rFonts w:hint="eastAsia" w:ascii="仿宋_GB2312" w:eastAsia="仿宋_GB2312"/>
                <w:b/>
                <w:sz w:val="20"/>
                <w:szCs w:val="20"/>
                <w:highlight w:val="none"/>
              </w:rPr>
              <w:t>总  计</w:t>
            </w:r>
          </w:p>
        </w:tc>
        <w:tc>
          <w:tcPr>
            <w:tcW w:w="482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highlight w:val="none"/>
              </w:rPr>
            </w:pPr>
            <w:r>
              <w:rPr>
                <w:rFonts w:hint="eastAsia" w:ascii="仿宋_GB2312" w:hAnsi="宋体" w:eastAsia="仿宋_GB2312" w:cs="宋体"/>
                <w:b/>
                <w:sz w:val="24"/>
                <w:highlight w:val="none"/>
              </w:rPr>
              <w:t>财  政  拨  款  (  补  助  )</w:t>
            </w:r>
          </w:p>
        </w:tc>
        <w:tc>
          <w:tcPr>
            <w:tcW w:w="28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highlight w:val="none"/>
              </w:rPr>
            </w:pPr>
            <w:r>
              <w:rPr>
                <w:rFonts w:hint="eastAsia" w:ascii="仿宋_GB2312" w:eastAsia="仿宋_GB2312"/>
                <w:b/>
                <w:sz w:val="20"/>
                <w:szCs w:val="20"/>
                <w:highlight w:val="none"/>
              </w:rPr>
              <w:t>财政专户（教育收费）</w:t>
            </w:r>
          </w:p>
        </w:tc>
        <w:tc>
          <w:tcPr>
            <w:tcW w:w="74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highlight w:val="none"/>
              </w:rPr>
            </w:pPr>
            <w:r>
              <w:rPr>
                <w:rFonts w:hint="eastAsia" w:ascii="仿宋_GB2312" w:eastAsia="仿宋_GB2312"/>
                <w:b/>
                <w:sz w:val="20"/>
                <w:szCs w:val="20"/>
                <w:highlight w:val="none"/>
              </w:rPr>
              <w:t>单位资金</w:t>
            </w:r>
          </w:p>
        </w:tc>
        <w:tc>
          <w:tcPr>
            <w:tcW w:w="30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highlight w:val="none"/>
              </w:rPr>
            </w:pPr>
            <w:r>
              <w:rPr>
                <w:rFonts w:hint="eastAsia" w:ascii="仿宋_GB2312" w:eastAsia="仿宋_GB2312"/>
                <w:b/>
                <w:sz w:val="20"/>
                <w:szCs w:val="20"/>
                <w:highlight w:val="none"/>
              </w:rPr>
              <w:t>财政拨款结转</w:t>
            </w:r>
          </w:p>
        </w:tc>
        <w:tc>
          <w:tcPr>
            <w:tcW w:w="33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highlight w:val="none"/>
              </w:rPr>
            </w:pPr>
            <w:r>
              <w:rPr>
                <w:rFonts w:hint="eastAsia" w:ascii="仿宋_GB2312" w:eastAsia="仿宋_GB2312"/>
                <w:b/>
                <w:sz w:val="20"/>
                <w:szCs w:val="20"/>
                <w:highlight w:val="none"/>
              </w:rPr>
              <w:t>非财政拨款结转结余</w:t>
            </w:r>
          </w:p>
        </w:tc>
      </w:tr>
      <w:tr>
        <w:tblPrEx>
          <w:tblCellMar>
            <w:top w:w="0" w:type="dxa"/>
            <w:left w:w="108" w:type="dxa"/>
            <w:bottom w:w="0" w:type="dxa"/>
            <w:right w:w="108" w:type="dxa"/>
          </w:tblCellMar>
        </w:tblPrEx>
        <w:trPr>
          <w:trHeight w:val="1171" w:hRule="atLeast"/>
        </w:trPr>
        <w:tc>
          <w:tcPr>
            <w:tcW w:w="581"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highlight w:val="none"/>
              </w:rPr>
            </w:pPr>
            <w:r>
              <w:rPr>
                <w:rFonts w:hint="eastAsia" w:ascii="仿宋_GB2312" w:eastAsia="仿宋_GB2312"/>
                <w:b/>
                <w:sz w:val="20"/>
                <w:szCs w:val="20"/>
                <w:highlight w:val="none"/>
              </w:rPr>
              <w:t>类</w:t>
            </w:r>
          </w:p>
        </w:tc>
        <w:tc>
          <w:tcPr>
            <w:tcW w:w="431" w:type="dxa"/>
            <w:tcBorders>
              <w:left w:val="nil"/>
              <w:bottom w:val="single" w:color="auto" w:sz="4" w:space="0"/>
              <w:right w:val="single" w:color="auto" w:sz="4" w:space="0"/>
            </w:tcBorders>
            <w:vAlign w:val="center"/>
          </w:tcPr>
          <w:p>
            <w:pPr>
              <w:jc w:val="right"/>
              <w:rPr>
                <w:rFonts w:ascii="仿宋_GB2312" w:eastAsia="仿宋_GB2312"/>
                <w:b/>
                <w:sz w:val="20"/>
                <w:szCs w:val="20"/>
                <w:highlight w:val="none"/>
              </w:rPr>
            </w:pPr>
            <w:r>
              <w:rPr>
                <w:rFonts w:hint="eastAsia" w:ascii="仿宋_GB2312" w:eastAsia="仿宋_GB2312"/>
                <w:b/>
                <w:sz w:val="20"/>
                <w:szCs w:val="20"/>
                <w:highlight w:val="none"/>
              </w:rPr>
              <w:t>款</w:t>
            </w:r>
          </w:p>
        </w:tc>
        <w:tc>
          <w:tcPr>
            <w:tcW w:w="469" w:type="dxa"/>
            <w:tcBorders>
              <w:left w:val="nil"/>
              <w:bottom w:val="single" w:color="auto" w:sz="4" w:space="0"/>
              <w:right w:val="single" w:color="auto" w:sz="4" w:space="0"/>
            </w:tcBorders>
            <w:vAlign w:val="center"/>
          </w:tcPr>
          <w:p>
            <w:pPr>
              <w:jc w:val="right"/>
              <w:rPr>
                <w:rFonts w:ascii="仿宋_GB2312" w:eastAsia="仿宋_GB2312"/>
                <w:b/>
                <w:sz w:val="20"/>
                <w:szCs w:val="20"/>
                <w:highlight w:val="none"/>
              </w:rPr>
            </w:pPr>
            <w:r>
              <w:rPr>
                <w:rFonts w:hint="eastAsia" w:ascii="仿宋_GB2312" w:eastAsia="仿宋_GB2312"/>
                <w:b/>
                <w:sz w:val="20"/>
                <w:szCs w:val="20"/>
                <w:highlight w:val="none"/>
              </w:rPr>
              <w:t>项</w:t>
            </w:r>
          </w:p>
        </w:tc>
        <w:tc>
          <w:tcPr>
            <w:tcW w:w="16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highlight w:val="none"/>
              </w:rPr>
            </w:pPr>
          </w:p>
        </w:tc>
        <w:tc>
          <w:tcPr>
            <w:tcW w:w="85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highlight w:val="none"/>
              </w:rPr>
            </w:pPr>
          </w:p>
        </w:tc>
        <w:tc>
          <w:tcPr>
            <w:tcW w:w="85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财政拨款(补助)小计</w:t>
            </w:r>
          </w:p>
        </w:tc>
        <w:tc>
          <w:tcPr>
            <w:tcW w:w="85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一般公共预算</w:t>
            </w:r>
          </w:p>
        </w:tc>
        <w:tc>
          <w:tcPr>
            <w:tcW w:w="71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上级一般公共预算安排的转移支付</w:t>
            </w:r>
          </w:p>
        </w:tc>
        <w:tc>
          <w:tcPr>
            <w:tcW w:w="42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政府性基金预算</w:t>
            </w:r>
          </w:p>
        </w:tc>
        <w:tc>
          <w:tcPr>
            <w:tcW w:w="71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上级政府性基金安排的转移支付</w:t>
            </w:r>
          </w:p>
        </w:tc>
        <w:tc>
          <w:tcPr>
            <w:tcW w:w="42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国有资本经营预算</w:t>
            </w:r>
          </w:p>
        </w:tc>
        <w:tc>
          <w:tcPr>
            <w:tcW w:w="85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上级国有资本经营预算安排的转移支付</w:t>
            </w:r>
          </w:p>
        </w:tc>
        <w:tc>
          <w:tcPr>
            <w:tcW w:w="28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highlight w:val="none"/>
              </w:rPr>
            </w:pPr>
          </w:p>
        </w:tc>
        <w:tc>
          <w:tcPr>
            <w:tcW w:w="74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highlight w:val="none"/>
              </w:rPr>
            </w:pPr>
          </w:p>
        </w:tc>
        <w:tc>
          <w:tcPr>
            <w:tcW w:w="30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highlight w:val="none"/>
              </w:rPr>
            </w:pPr>
          </w:p>
        </w:tc>
        <w:tc>
          <w:tcPr>
            <w:tcW w:w="33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sz w:val="20"/>
                <w:szCs w:val="20"/>
                <w:highlight w:val="none"/>
              </w:rPr>
            </w:pPr>
            <w:r>
              <w:rPr>
                <w:rFonts w:hint="eastAsia"/>
                <w:sz w:val="20"/>
                <w:szCs w:val="20"/>
                <w:highlight w:val="none"/>
              </w:rPr>
              <w:t>201</w:t>
            </w:r>
          </w:p>
        </w:tc>
        <w:tc>
          <w:tcPr>
            <w:tcW w:w="431" w:type="dxa"/>
            <w:tcBorders>
              <w:top w:val="nil"/>
              <w:left w:val="nil"/>
              <w:bottom w:val="single" w:color="auto" w:sz="4" w:space="0"/>
              <w:right w:val="single" w:color="auto" w:sz="4" w:space="0"/>
            </w:tcBorders>
            <w:shd w:val="clear" w:color="auto" w:fill="auto"/>
            <w:vAlign w:val="center"/>
          </w:tcPr>
          <w:p>
            <w:pPr>
              <w:jc w:val="center"/>
              <w:rPr>
                <w:rFonts w:hint="eastAsia"/>
                <w:sz w:val="20"/>
                <w:szCs w:val="20"/>
                <w:highlight w:val="none"/>
              </w:rPr>
            </w:pPr>
          </w:p>
        </w:tc>
        <w:tc>
          <w:tcPr>
            <w:tcW w:w="469" w:type="dxa"/>
            <w:tcBorders>
              <w:top w:val="nil"/>
              <w:left w:val="nil"/>
              <w:bottom w:val="single" w:color="auto" w:sz="4" w:space="0"/>
              <w:right w:val="single" w:color="auto" w:sz="4" w:space="0"/>
            </w:tcBorders>
            <w:shd w:val="clear" w:color="auto" w:fill="auto"/>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shd w:val="clear" w:color="auto" w:fill="auto"/>
            <w:vAlign w:val="center"/>
          </w:tcPr>
          <w:p>
            <w:pPr>
              <w:jc w:val="left"/>
              <w:rPr>
                <w:rFonts w:hint="eastAsia"/>
                <w:sz w:val="20"/>
                <w:szCs w:val="20"/>
                <w:highlight w:val="none"/>
              </w:rPr>
            </w:pPr>
            <w:r>
              <w:rPr>
                <w:rFonts w:hint="eastAsia"/>
                <w:sz w:val="20"/>
                <w:szCs w:val="20"/>
                <w:highlight w:val="none"/>
              </w:rPr>
              <w:t>一般公共服务</w:t>
            </w:r>
          </w:p>
        </w:tc>
        <w:tc>
          <w:tcPr>
            <w:tcW w:w="85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427.26　</w:t>
            </w:r>
          </w:p>
        </w:tc>
        <w:tc>
          <w:tcPr>
            <w:tcW w:w="85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422.31　</w:t>
            </w:r>
          </w:p>
        </w:tc>
        <w:tc>
          <w:tcPr>
            <w:tcW w:w="85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422.31　</w:t>
            </w:r>
          </w:p>
        </w:tc>
        <w:tc>
          <w:tcPr>
            <w:tcW w:w="71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highlight w:val="none"/>
              </w:rPr>
            </w:pPr>
            <w:r>
              <w:rPr>
                <w:rFonts w:hint="eastAsia" w:ascii="仿宋_GB2312" w:eastAsia="仿宋_GB2312"/>
                <w:sz w:val="20"/>
                <w:szCs w:val="20"/>
                <w:highlight w:val="none"/>
              </w:rPr>
              <w:t>4.95</w:t>
            </w:r>
          </w:p>
        </w:tc>
        <w:tc>
          <w:tcPr>
            <w:tcW w:w="30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党委办公厅（室）及相关机构事务支出</w:t>
            </w:r>
          </w:p>
        </w:tc>
        <w:tc>
          <w:tcPr>
            <w:tcW w:w="8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427.26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422.31　</w:t>
            </w:r>
          </w:p>
        </w:tc>
        <w:tc>
          <w:tcPr>
            <w:tcW w:w="8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highlight w:val="none"/>
              </w:rPr>
            </w:pPr>
            <w:r>
              <w:rPr>
                <w:rFonts w:hint="eastAsia" w:ascii="仿宋_GB2312" w:eastAsia="仿宋_GB2312"/>
                <w:sz w:val="20"/>
                <w:szCs w:val="20"/>
                <w:highlight w:val="none"/>
              </w:rPr>
              <w:t>422.31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highlight w:val="none"/>
              </w:rPr>
            </w:pPr>
            <w:r>
              <w:rPr>
                <w:rFonts w:hint="eastAsia" w:ascii="仿宋_GB2312" w:eastAsia="仿宋_GB2312"/>
                <w:sz w:val="20"/>
                <w:szCs w:val="20"/>
                <w:highlight w:val="none"/>
              </w:rPr>
              <w:t>4.95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行政运行</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68.72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63.77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63.77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highlight w:val="none"/>
              </w:rPr>
            </w:pPr>
            <w:r>
              <w:rPr>
                <w:rFonts w:hint="eastAsia" w:ascii="仿宋_GB2312" w:eastAsia="仿宋_GB2312"/>
                <w:sz w:val="20"/>
                <w:szCs w:val="20"/>
                <w:highlight w:val="none"/>
              </w:rPr>
              <w:t>4.95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50</w:t>
            </w: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事业运行</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52.47</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52.47</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52.47</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highlight w:val="none"/>
              </w:rPr>
            </w:pP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201</w:t>
            </w:r>
          </w:p>
        </w:tc>
        <w:tc>
          <w:tcPr>
            <w:tcW w:w="431"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31</w:t>
            </w:r>
          </w:p>
        </w:tc>
        <w:tc>
          <w:tcPr>
            <w:tcW w:w="469"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99</w:t>
            </w:r>
          </w:p>
        </w:tc>
        <w:tc>
          <w:tcPr>
            <w:tcW w:w="1640" w:type="dxa"/>
            <w:tcBorders>
              <w:top w:val="nil"/>
              <w:left w:val="nil"/>
              <w:bottom w:val="single" w:color="auto" w:sz="4" w:space="0"/>
              <w:right w:val="single" w:color="auto" w:sz="4" w:space="0"/>
            </w:tcBorders>
            <w:vAlign w:val="center"/>
          </w:tcPr>
          <w:p>
            <w:pPr>
              <w:jc w:val="left"/>
              <w:rPr>
                <w:sz w:val="20"/>
                <w:szCs w:val="20"/>
                <w:highlight w:val="none"/>
              </w:rPr>
            </w:pPr>
            <w:r>
              <w:rPr>
                <w:rFonts w:hint="eastAsia"/>
                <w:sz w:val="20"/>
                <w:szCs w:val="20"/>
                <w:highlight w:val="none"/>
              </w:rPr>
              <w:t>其他党委办公厅（室）及相关机构事务支出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306.07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306.07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306.07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社会保障和就业支出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43.65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27.78</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行政事业单位养老支出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43.65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27.78</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机关事业单位基本养老保险费支出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39.68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23.81</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208</w:t>
            </w:r>
          </w:p>
        </w:tc>
        <w:tc>
          <w:tcPr>
            <w:tcW w:w="431"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05</w:t>
            </w:r>
          </w:p>
        </w:tc>
        <w:tc>
          <w:tcPr>
            <w:tcW w:w="469"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06</w:t>
            </w:r>
          </w:p>
        </w:tc>
        <w:tc>
          <w:tcPr>
            <w:tcW w:w="1640" w:type="dxa"/>
            <w:tcBorders>
              <w:top w:val="nil"/>
              <w:left w:val="nil"/>
              <w:bottom w:val="single" w:color="auto" w:sz="4" w:space="0"/>
              <w:right w:val="single" w:color="auto" w:sz="4" w:space="0"/>
            </w:tcBorders>
            <w:vAlign w:val="center"/>
          </w:tcPr>
          <w:p>
            <w:pPr>
              <w:jc w:val="left"/>
              <w:rPr>
                <w:sz w:val="20"/>
                <w:szCs w:val="20"/>
                <w:highlight w:val="none"/>
              </w:rPr>
            </w:pPr>
            <w:r>
              <w:rPr>
                <w:rFonts w:hint="eastAsia"/>
                <w:sz w:val="20"/>
                <w:szCs w:val="20"/>
                <w:highlight w:val="none"/>
              </w:rPr>
              <w:t>机关事业单位职业年金缴费</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3.97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3.97</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卫生健康支出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25.90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12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12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13.90</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行政事业单位医疗</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25.90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12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12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13.90</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行政单位医疗</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14.14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4.21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4.21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9.93</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210</w:t>
            </w:r>
          </w:p>
        </w:tc>
        <w:tc>
          <w:tcPr>
            <w:tcW w:w="431"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11</w:t>
            </w:r>
          </w:p>
        </w:tc>
        <w:tc>
          <w:tcPr>
            <w:tcW w:w="469"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02</w:t>
            </w: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事业单位医疗</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3.73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3.73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3.73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03</w:t>
            </w: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公务员医疗补助</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7.94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3.97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3.97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3.97</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99</w:t>
            </w: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其他行政事业单位医疗支出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0.10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0.10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0.10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住房保障支出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40.27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13.22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13.22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27.05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02</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住房改革支出</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40.27</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13.22</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13.22</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27.05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02</w:t>
            </w: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1640"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住房公积金</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40.27</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13.22</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13.22</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27.05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p>
        </w:tc>
        <w:tc>
          <w:tcPr>
            <w:tcW w:w="431"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469"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1640"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合  计</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537.08</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463.40</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463.40</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73.68</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highlight w:val="none"/>
              </w:rPr>
            </w:pP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部门支出总体情况表</w:t>
      </w:r>
    </w:p>
    <w:p>
      <w:pPr>
        <w:widowControl/>
        <w:spacing w:line="280" w:lineRule="exact"/>
        <w:jc w:val="center"/>
        <w:outlineLvl w:val="1"/>
        <w:rPr>
          <w:rFonts w:ascii="仿宋_GB2312" w:hAnsi="宋体" w:eastAsia="仿宋_GB2312"/>
          <w:b/>
          <w:kern w:val="0"/>
          <w:sz w:val="32"/>
          <w:szCs w:val="32"/>
          <w:highlight w:val="none"/>
        </w:rPr>
      </w:pPr>
    </w:p>
    <w:p>
      <w:pPr>
        <w:widowControl/>
        <w:spacing w:line="280" w:lineRule="exact"/>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w:t>
      </w:r>
      <w:r>
        <w:rPr>
          <w:rFonts w:hint="eastAsia" w:ascii="仿宋_GB2312" w:hAnsi="宋体" w:eastAsia="仿宋_GB2312" w:cs="宋体"/>
          <w:kern w:val="0"/>
          <w:sz w:val="24"/>
          <w:highlight w:val="none"/>
        </w:rPr>
        <w:t>中共呼图壁县委员会机要保密局</w:t>
      </w:r>
      <w:r>
        <w:rPr>
          <w:rFonts w:hint="eastAsia" w:ascii="仿宋_GB2312" w:hAnsi="宋体" w:eastAsia="仿宋_GB2312"/>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516"/>
        <w:gridCol w:w="417"/>
        <w:gridCol w:w="417"/>
        <w:gridCol w:w="3534"/>
        <w:gridCol w:w="1560"/>
        <w:gridCol w:w="1559"/>
        <w:gridCol w:w="1417"/>
      </w:tblGrid>
      <w:tr>
        <w:tblPrEx>
          <w:tblCellMar>
            <w:top w:w="0" w:type="dxa"/>
            <w:left w:w="108" w:type="dxa"/>
            <w:bottom w:w="0" w:type="dxa"/>
            <w:right w:w="108" w:type="dxa"/>
          </w:tblCellMar>
        </w:tblPrEx>
        <w:trPr>
          <w:trHeight w:val="328" w:hRule="atLeast"/>
        </w:trPr>
        <w:tc>
          <w:tcPr>
            <w:tcW w:w="488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科    目</w:t>
            </w:r>
          </w:p>
        </w:tc>
        <w:tc>
          <w:tcPr>
            <w:tcW w:w="4536"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功能分类科目编码</w:t>
            </w:r>
          </w:p>
        </w:tc>
        <w:tc>
          <w:tcPr>
            <w:tcW w:w="353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功能分类科目名称</w:t>
            </w:r>
          </w:p>
        </w:tc>
        <w:tc>
          <w:tcPr>
            <w:tcW w:w="156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基本支出</w:t>
            </w:r>
          </w:p>
        </w:tc>
        <w:tc>
          <w:tcPr>
            <w:tcW w:w="141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项</w:t>
            </w:r>
          </w:p>
        </w:tc>
        <w:tc>
          <w:tcPr>
            <w:tcW w:w="353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highlight w:val="none"/>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highlight w:val="none"/>
              </w:rPr>
            </w:pPr>
          </w:p>
        </w:tc>
        <w:tc>
          <w:tcPr>
            <w:tcW w:w="141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一般公共服务</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427.26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121.19　</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306.07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党委办公厅（室）及相关机构事务支出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427.26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121.19</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306.07</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行政运行</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68.72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68.72</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50</w:t>
            </w: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事业运行</w:t>
            </w:r>
          </w:p>
        </w:tc>
        <w:tc>
          <w:tcPr>
            <w:tcW w:w="156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52.47</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52.47</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201</w:t>
            </w:r>
          </w:p>
        </w:tc>
        <w:tc>
          <w:tcPr>
            <w:tcW w:w="417"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31</w:t>
            </w:r>
          </w:p>
        </w:tc>
        <w:tc>
          <w:tcPr>
            <w:tcW w:w="417"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99</w:t>
            </w:r>
          </w:p>
        </w:tc>
        <w:tc>
          <w:tcPr>
            <w:tcW w:w="3534" w:type="dxa"/>
            <w:tcBorders>
              <w:top w:val="nil"/>
              <w:left w:val="nil"/>
              <w:bottom w:val="single" w:color="auto" w:sz="4" w:space="0"/>
              <w:right w:val="single" w:color="auto" w:sz="4" w:space="0"/>
            </w:tcBorders>
            <w:vAlign w:val="center"/>
          </w:tcPr>
          <w:p>
            <w:pPr>
              <w:jc w:val="left"/>
              <w:rPr>
                <w:sz w:val="20"/>
                <w:szCs w:val="20"/>
                <w:highlight w:val="none"/>
              </w:rPr>
            </w:pPr>
            <w:r>
              <w:rPr>
                <w:rFonts w:hint="eastAsia"/>
                <w:sz w:val="20"/>
                <w:szCs w:val="20"/>
                <w:highlight w:val="none"/>
              </w:rPr>
              <w:t>其他党委办公厅（室）及相关机构事务支出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306.07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306.07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社会保障和就业支出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43.65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43.65</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行政事业单位养老支出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43.65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43.65</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机关事业单位基本养老保险费支出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39.68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39.68</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208</w:t>
            </w:r>
          </w:p>
        </w:tc>
        <w:tc>
          <w:tcPr>
            <w:tcW w:w="417"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05</w:t>
            </w:r>
          </w:p>
        </w:tc>
        <w:tc>
          <w:tcPr>
            <w:tcW w:w="417"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06</w:t>
            </w:r>
          </w:p>
        </w:tc>
        <w:tc>
          <w:tcPr>
            <w:tcW w:w="3534" w:type="dxa"/>
            <w:tcBorders>
              <w:top w:val="nil"/>
              <w:left w:val="nil"/>
              <w:bottom w:val="single" w:color="auto" w:sz="4" w:space="0"/>
              <w:right w:val="single" w:color="auto" w:sz="4" w:space="0"/>
            </w:tcBorders>
            <w:vAlign w:val="center"/>
          </w:tcPr>
          <w:p>
            <w:pPr>
              <w:jc w:val="left"/>
              <w:rPr>
                <w:sz w:val="20"/>
                <w:szCs w:val="20"/>
                <w:highlight w:val="none"/>
              </w:rPr>
            </w:pPr>
            <w:r>
              <w:rPr>
                <w:rFonts w:hint="eastAsia"/>
                <w:sz w:val="20"/>
                <w:szCs w:val="20"/>
                <w:highlight w:val="none"/>
              </w:rPr>
              <w:t>机关事业单位职业年金缴费</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3.97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3.97</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卫生健康支出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25.90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25.90</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行政事业单位医疗</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25.90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25.90</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行政单位医疗</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14.14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14.14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210</w:t>
            </w:r>
          </w:p>
        </w:tc>
        <w:tc>
          <w:tcPr>
            <w:tcW w:w="417"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11</w:t>
            </w:r>
          </w:p>
        </w:tc>
        <w:tc>
          <w:tcPr>
            <w:tcW w:w="417"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02</w:t>
            </w: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事业单位医疗</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3.73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3.73</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03</w:t>
            </w: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公务员医疗补助</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7.94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7.94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99</w:t>
            </w: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其他行政事业单位医疗支出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0.10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0.10</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住房保障支出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40.27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40.24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02</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住房改革支出</w:t>
            </w:r>
          </w:p>
        </w:tc>
        <w:tc>
          <w:tcPr>
            <w:tcW w:w="156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40.27</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40.24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02</w:t>
            </w:r>
          </w:p>
        </w:tc>
        <w:tc>
          <w:tcPr>
            <w:tcW w:w="41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3534"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住房公积金</w:t>
            </w:r>
          </w:p>
        </w:tc>
        <w:tc>
          <w:tcPr>
            <w:tcW w:w="156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40.27</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40.24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p>
        </w:tc>
        <w:tc>
          <w:tcPr>
            <w:tcW w:w="3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156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r>
              <w:rPr>
                <w:rFonts w:hint="eastAsia" w:ascii="宋体" w:hAnsi="宋体" w:cs="宋体"/>
                <w:b/>
                <w:bCs/>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r>
              <w:rPr>
                <w:rFonts w:hint="eastAsia" w:ascii="宋体" w:hAnsi="宋体" w:cs="宋体"/>
                <w:b/>
                <w:bCs/>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56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r>
              <w:rPr>
                <w:rFonts w:hint="eastAsia" w:ascii="宋体" w:hAnsi="宋体" w:cs="宋体"/>
                <w:b/>
                <w:bCs/>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r>
              <w:rPr>
                <w:rFonts w:hint="eastAsia" w:ascii="宋体" w:hAnsi="宋体" w:cs="宋体"/>
                <w:b/>
                <w:bCs/>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56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rPr>
                <w:highlight w:val="none"/>
              </w:rPr>
            </w:pPr>
          </w:p>
        </w:tc>
        <w:tc>
          <w:tcPr>
            <w:tcW w:w="417" w:type="dxa"/>
            <w:tcBorders>
              <w:top w:val="nil"/>
              <w:left w:val="nil"/>
              <w:bottom w:val="single" w:color="auto" w:sz="4" w:space="0"/>
              <w:right w:val="single" w:color="auto" w:sz="4" w:space="0"/>
            </w:tcBorders>
            <w:vAlign w:val="center"/>
          </w:tcPr>
          <w:p>
            <w:pPr>
              <w:rPr>
                <w:highlight w:val="none"/>
              </w:rPr>
            </w:pPr>
          </w:p>
        </w:tc>
        <w:tc>
          <w:tcPr>
            <w:tcW w:w="417" w:type="dxa"/>
            <w:tcBorders>
              <w:top w:val="nil"/>
              <w:left w:val="nil"/>
              <w:bottom w:val="single" w:color="auto" w:sz="4" w:space="0"/>
              <w:right w:val="single" w:color="auto" w:sz="4" w:space="0"/>
            </w:tcBorders>
            <w:vAlign w:val="center"/>
          </w:tcPr>
          <w:p>
            <w:pPr>
              <w:rPr>
                <w:highlight w:val="none"/>
              </w:rPr>
            </w:pPr>
          </w:p>
        </w:tc>
        <w:tc>
          <w:tcPr>
            <w:tcW w:w="3534" w:type="dxa"/>
            <w:tcBorders>
              <w:top w:val="nil"/>
              <w:left w:val="nil"/>
              <w:bottom w:val="single" w:color="auto" w:sz="4" w:space="0"/>
              <w:right w:val="single" w:color="auto" w:sz="4" w:space="0"/>
            </w:tcBorders>
            <w:vAlign w:val="center"/>
          </w:tcPr>
          <w:p>
            <w:pPr>
              <w:rPr>
                <w:highlight w:val="none"/>
              </w:rPr>
            </w:pPr>
          </w:p>
        </w:tc>
        <w:tc>
          <w:tcPr>
            <w:tcW w:w="1560" w:type="dxa"/>
            <w:tcBorders>
              <w:top w:val="nil"/>
              <w:left w:val="nil"/>
              <w:bottom w:val="single" w:color="auto" w:sz="4" w:space="0"/>
              <w:right w:val="single" w:color="auto" w:sz="4" w:space="0"/>
            </w:tcBorders>
            <w:vAlign w:val="center"/>
          </w:tcPr>
          <w:p>
            <w:pPr>
              <w:rPr>
                <w:highlight w:val="none"/>
              </w:rPr>
            </w:pPr>
          </w:p>
        </w:tc>
        <w:tc>
          <w:tcPr>
            <w:tcW w:w="1559" w:type="dxa"/>
            <w:tcBorders>
              <w:top w:val="nil"/>
              <w:left w:val="nil"/>
              <w:bottom w:val="single" w:color="auto" w:sz="4" w:space="0"/>
              <w:right w:val="single" w:color="auto" w:sz="4" w:space="0"/>
            </w:tcBorders>
            <w:vAlign w:val="center"/>
          </w:tcPr>
          <w:p>
            <w:pPr>
              <w:rPr>
                <w:highlight w:val="none"/>
              </w:rPr>
            </w:pPr>
          </w:p>
        </w:tc>
        <w:tc>
          <w:tcPr>
            <w:tcW w:w="1417" w:type="dxa"/>
            <w:tcBorders>
              <w:top w:val="nil"/>
              <w:left w:val="nil"/>
              <w:bottom w:val="single" w:color="auto" w:sz="4" w:space="0"/>
              <w:right w:val="single" w:color="auto" w:sz="4" w:space="0"/>
            </w:tcBorders>
            <w:vAlign w:val="center"/>
          </w:tcPr>
          <w:p>
            <w:pPr>
              <w:rPr>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highlight w:val="none"/>
              </w:rPr>
            </w:pPr>
            <w:r>
              <w:rPr>
                <w:rFonts w:hint="eastAsia" w:ascii="宋体" w:hAnsi="宋体" w:cs="宋体"/>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highlight w:val="none"/>
              </w:rPr>
            </w:pPr>
            <w:r>
              <w:rPr>
                <w:rFonts w:hint="eastAsia" w:ascii="宋体" w:hAnsi="宋体" w:cs="宋体"/>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3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highlight w:val="none"/>
              </w:rPr>
            </w:pPr>
            <w:r>
              <w:rPr>
                <w:rFonts w:hint="eastAsia" w:ascii="仿宋_GB2312" w:hAnsi="仿宋_GB2312" w:eastAsia="仿宋_GB2312" w:cs="仿宋_GB2312"/>
                <w:b/>
                <w:bCs/>
                <w:kern w:val="0"/>
                <w:sz w:val="20"/>
                <w:szCs w:val="20"/>
                <w:highlight w:val="none"/>
              </w:rPr>
              <w:t>合  计</w:t>
            </w:r>
          </w:p>
        </w:tc>
        <w:tc>
          <w:tcPr>
            <w:tcW w:w="1560"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537.08</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231.01</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highlight w:val="none"/>
              </w:rPr>
            </w:pPr>
            <w:r>
              <w:rPr>
                <w:rFonts w:hint="eastAsia" w:ascii="仿宋_GB2312" w:eastAsia="仿宋_GB2312"/>
                <w:sz w:val="20"/>
                <w:szCs w:val="20"/>
                <w:highlight w:val="none"/>
              </w:rPr>
              <w:t>　306.07</w:t>
            </w:r>
          </w:p>
        </w:tc>
      </w:tr>
    </w:tbl>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表4</w:t>
      </w:r>
    </w:p>
    <w:p>
      <w:pPr>
        <w:widowControl/>
        <w:spacing w:beforeLines="50" w:line="280" w:lineRule="exact"/>
        <w:jc w:val="center"/>
        <w:outlineLvl w:val="1"/>
        <w:rPr>
          <w:rFonts w:ascii="仿宋_GB2312" w:hAnsi="宋体" w:eastAsia="仿宋_GB2312"/>
          <w:kern w:val="0"/>
          <w:sz w:val="24"/>
          <w:highlight w:val="none"/>
        </w:rPr>
      </w:pPr>
      <w:r>
        <w:rPr>
          <w:rFonts w:hint="eastAsia" w:ascii="仿宋_GB2312" w:hAnsi="宋体" w:eastAsia="仿宋_GB2312"/>
          <w:b/>
          <w:kern w:val="0"/>
          <w:sz w:val="32"/>
          <w:szCs w:val="32"/>
          <w:highlight w:val="none"/>
        </w:rPr>
        <w:t>财政拨款收支预算总体情况表</w:t>
      </w:r>
      <w:r>
        <w:rPr>
          <w:rFonts w:hint="eastAsia" w:ascii="仿宋_GB2312" w:hAnsi="宋体" w:eastAsia="仿宋_GB2312"/>
          <w:kern w:val="0"/>
          <w:sz w:val="24"/>
          <w:highlight w:val="none"/>
        </w:rPr>
        <w:t xml:space="preserve"> </w:t>
      </w:r>
    </w:p>
    <w:p>
      <w:pPr>
        <w:widowControl/>
        <w:spacing w:line="280" w:lineRule="exact"/>
        <w:jc w:val="left"/>
        <w:rPr>
          <w:rFonts w:hint="eastAsia" w:ascii="仿宋_GB2312" w:hAnsi="宋体" w:eastAsia="仿宋_GB2312" w:cs="宋体"/>
          <w:kern w:val="0"/>
          <w:sz w:val="24"/>
          <w:highlight w:val="none"/>
        </w:rPr>
      </w:pPr>
    </w:p>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编制部门：中共呼图壁县委员会机要保密局                       单位：万元</w:t>
      </w:r>
    </w:p>
    <w:tbl>
      <w:tblPr>
        <w:tblStyle w:val="7"/>
        <w:tblW w:w="9431" w:type="dxa"/>
        <w:tblInd w:w="-240" w:type="dxa"/>
        <w:tblLayout w:type="autofit"/>
        <w:tblCellMar>
          <w:top w:w="0" w:type="dxa"/>
          <w:left w:w="108" w:type="dxa"/>
          <w:bottom w:w="0" w:type="dxa"/>
          <w:right w:w="108" w:type="dxa"/>
        </w:tblCellMar>
      </w:tblPr>
      <w:tblGrid>
        <w:gridCol w:w="1932"/>
        <w:gridCol w:w="913"/>
        <w:gridCol w:w="2575"/>
        <w:gridCol w:w="898"/>
        <w:gridCol w:w="849"/>
        <w:gridCol w:w="1132"/>
        <w:gridCol w:w="1132"/>
      </w:tblGrid>
      <w:tr>
        <w:tblPrEx>
          <w:tblCellMar>
            <w:top w:w="0" w:type="dxa"/>
            <w:left w:w="108" w:type="dxa"/>
            <w:bottom w:w="0" w:type="dxa"/>
            <w:right w:w="108" w:type="dxa"/>
          </w:tblCellMar>
        </w:tblPrEx>
        <w:trPr>
          <w:trHeight w:val="297" w:hRule="atLeast"/>
        </w:trPr>
        <w:tc>
          <w:tcPr>
            <w:tcW w:w="2845"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86"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21" w:hRule="atLeast"/>
        </w:trPr>
        <w:tc>
          <w:tcPr>
            <w:tcW w:w="193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    目</w:t>
            </w:r>
          </w:p>
        </w:tc>
        <w:tc>
          <w:tcPr>
            <w:tcW w:w="913"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  计</w:t>
            </w:r>
          </w:p>
        </w:tc>
        <w:tc>
          <w:tcPr>
            <w:tcW w:w="2575"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  能  分  类</w:t>
            </w:r>
          </w:p>
        </w:tc>
        <w:tc>
          <w:tcPr>
            <w:tcW w:w="898"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849"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一般公共预算</w:t>
            </w:r>
          </w:p>
        </w:tc>
        <w:tc>
          <w:tcPr>
            <w:tcW w:w="113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政府性基金预算</w:t>
            </w:r>
          </w:p>
        </w:tc>
        <w:tc>
          <w:tcPr>
            <w:tcW w:w="1132"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国有资本经营预算</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一、财政拨款（补助）</w:t>
            </w:r>
          </w:p>
        </w:tc>
        <w:tc>
          <w:tcPr>
            <w:tcW w:w="91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463.40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422.31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422.31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一般公共预算</w:t>
            </w:r>
          </w:p>
        </w:tc>
        <w:tc>
          <w:tcPr>
            <w:tcW w:w="91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463.40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w:t>
            </w:r>
            <w:r>
              <w:rPr>
                <w:rFonts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政府性基金预算</w:t>
            </w:r>
          </w:p>
        </w:tc>
        <w:tc>
          <w:tcPr>
            <w:tcW w:w="91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w:t>
            </w:r>
            <w:r>
              <w:rPr>
                <w:rFonts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国有资本经营预算</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0"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15.87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15.87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 卫生健康支出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12.00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12.00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资源勘探工业信息等支出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13.22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13.22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 灾害防治及应急管理支出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 转移性支出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91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463.40　</w:t>
            </w:r>
          </w:p>
        </w:tc>
        <w:tc>
          <w:tcPr>
            <w:tcW w:w="257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支  出  总  计</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463.40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463.40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highlight w:val="none"/>
              </w:rPr>
            </w:pPr>
          </w:p>
        </w:tc>
      </w:tr>
    </w:tbl>
    <w:p>
      <w:pPr>
        <w:widowControl/>
        <w:jc w:val="left"/>
        <w:textAlignment w:val="bottom"/>
        <w:rPr>
          <w:rFonts w:ascii="宋体" w:hAnsi="宋体" w:cs="宋体"/>
          <w:color w:val="FF0000"/>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表5</w:t>
      </w:r>
    </w:p>
    <w:tbl>
      <w:tblPr>
        <w:tblStyle w:val="7"/>
        <w:tblW w:w="9177" w:type="dxa"/>
        <w:tblInd w:w="-34" w:type="dxa"/>
        <w:tblLayout w:type="autofit"/>
        <w:tblCellMar>
          <w:top w:w="0" w:type="dxa"/>
          <w:left w:w="108" w:type="dxa"/>
          <w:bottom w:w="0" w:type="dxa"/>
          <w:right w:w="108" w:type="dxa"/>
        </w:tblCellMar>
      </w:tblPr>
      <w:tblGrid>
        <w:gridCol w:w="516"/>
        <w:gridCol w:w="496"/>
        <w:gridCol w:w="500"/>
        <w:gridCol w:w="3712"/>
        <w:gridCol w:w="657"/>
        <w:gridCol w:w="614"/>
        <w:gridCol w:w="1412"/>
        <w:gridCol w:w="1270"/>
      </w:tblGrid>
      <w:tr>
        <w:tblPrEx>
          <w:tblCellMar>
            <w:top w:w="0" w:type="dxa"/>
            <w:left w:w="108" w:type="dxa"/>
            <w:bottom w:w="0" w:type="dxa"/>
            <w:right w:w="108" w:type="dxa"/>
          </w:tblCellMar>
        </w:tblPrEx>
        <w:trPr>
          <w:trHeight w:val="496" w:hRule="atLeast"/>
        </w:trPr>
        <w:tc>
          <w:tcPr>
            <w:tcW w:w="9177"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314" w:hRule="atLeast"/>
        </w:trPr>
        <w:tc>
          <w:tcPr>
            <w:tcW w:w="5881" w:type="dxa"/>
            <w:gridSpan w:val="5"/>
            <w:tcBorders>
              <w:top w:val="nil"/>
              <w:left w:val="nil"/>
              <w:bottom w:val="nil"/>
              <w:right w:val="nil"/>
            </w:tcBorders>
            <w:vAlign w:val="center"/>
          </w:tcPr>
          <w:p>
            <w:pPr>
              <w:widowControl/>
              <w:spacing w:line="280" w:lineRule="exact"/>
              <w:jc w:val="left"/>
              <w:rPr>
                <w:rFonts w:hint="eastAsia" w:ascii="仿宋_GB2312" w:hAnsi="宋体" w:eastAsia="仿宋_GB2312" w:cs="宋体"/>
                <w:kern w:val="0"/>
                <w:sz w:val="24"/>
                <w:highlight w:val="none"/>
              </w:rPr>
            </w:pPr>
          </w:p>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xml:space="preserve">编制部门：编制部门：中共呼图壁县委员会机要保密局  </w:t>
            </w:r>
          </w:p>
        </w:tc>
        <w:tc>
          <w:tcPr>
            <w:tcW w:w="3296" w:type="dxa"/>
            <w:gridSpan w:val="3"/>
            <w:tcBorders>
              <w:top w:val="nil"/>
              <w:left w:val="nil"/>
              <w:bottom w:val="nil"/>
              <w:right w:val="nil"/>
            </w:tcBorders>
            <w:vAlign w:val="center"/>
          </w:tcPr>
          <w:p>
            <w:pPr>
              <w:widowControl/>
              <w:spacing w:line="280" w:lineRule="exact"/>
              <w:ind w:firstLine="1320" w:firstLineChars="550"/>
              <w:jc w:val="left"/>
              <w:rPr>
                <w:rFonts w:hint="eastAsia" w:ascii="仿宋_GB2312" w:hAnsi="宋体" w:eastAsia="仿宋_GB2312" w:cs="宋体"/>
                <w:kern w:val="0"/>
                <w:sz w:val="24"/>
                <w:highlight w:val="none"/>
              </w:rPr>
            </w:pPr>
          </w:p>
          <w:p>
            <w:pPr>
              <w:widowControl/>
              <w:spacing w:line="280" w:lineRule="exact"/>
              <w:ind w:firstLine="1320" w:firstLineChars="550"/>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单位：万元</w:t>
            </w:r>
          </w:p>
        </w:tc>
      </w:tr>
      <w:tr>
        <w:tblPrEx>
          <w:tblCellMar>
            <w:top w:w="0" w:type="dxa"/>
            <w:left w:w="108" w:type="dxa"/>
            <w:bottom w:w="0" w:type="dxa"/>
            <w:right w:w="108" w:type="dxa"/>
          </w:tblCellMar>
        </w:tblPrEx>
        <w:trPr>
          <w:trHeight w:val="446" w:hRule="atLeast"/>
        </w:trPr>
        <w:tc>
          <w:tcPr>
            <w:tcW w:w="522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395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一般公共预算支出</w:t>
            </w:r>
          </w:p>
        </w:tc>
      </w:tr>
      <w:tr>
        <w:tblPrEx>
          <w:tblCellMar>
            <w:top w:w="0" w:type="dxa"/>
            <w:left w:w="108" w:type="dxa"/>
            <w:bottom w:w="0" w:type="dxa"/>
            <w:right w:w="108" w:type="dxa"/>
          </w:tblCellMar>
        </w:tblPrEx>
        <w:trPr>
          <w:trHeight w:val="512" w:hRule="atLeast"/>
        </w:trPr>
        <w:tc>
          <w:tcPr>
            <w:tcW w:w="1511"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371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tc>
        <w:tc>
          <w:tcPr>
            <w:tcW w:w="127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141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27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CellMar>
            <w:top w:w="0" w:type="dxa"/>
            <w:left w:w="108" w:type="dxa"/>
            <w:bottom w:w="0" w:type="dxa"/>
            <w:right w:w="108" w:type="dxa"/>
          </w:tblCellMar>
        </w:tblPrEx>
        <w:trPr>
          <w:trHeight w:val="330" w:hRule="atLeast"/>
        </w:trPr>
        <w:tc>
          <w:tcPr>
            <w:tcW w:w="51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tc>
        <w:tc>
          <w:tcPr>
            <w:tcW w:w="371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highlight w:val="none"/>
              </w:rPr>
            </w:pPr>
          </w:p>
        </w:tc>
        <w:tc>
          <w:tcPr>
            <w:tcW w:w="127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highlight w:val="none"/>
              </w:rPr>
            </w:pPr>
          </w:p>
        </w:tc>
        <w:tc>
          <w:tcPr>
            <w:tcW w:w="141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highlight w:val="none"/>
              </w:rPr>
            </w:pPr>
          </w:p>
        </w:tc>
        <w:tc>
          <w:tcPr>
            <w:tcW w:w="127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一般公共服务</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422.31　</w:t>
            </w:r>
          </w:p>
        </w:tc>
        <w:tc>
          <w:tcPr>
            <w:tcW w:w="1412"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highlight w:val="none"/>
              </w:rPr>
            </w:pPr>
            <w:r>
              <w:rPr>
                <w:rFonts w:hint="eastAsia" w:ascii="仿宋_GB2312" w:hAnsi="宋体" w:eastAsia="仿宋_GB2312" w:cs="宋体"/>
                <w:b/>
                <w:kern w:val="0"/>
                <w:sz w:val="20"/>
                <w:szCs w:val="20"/>
                <w:highlight w:val="none"/>
              </w:rPr>
              <w:t>　</w:t>
            </w:r>
            <w:r>
              <w:rPr>
                <w:rFonts w:hint="eastAsia" w:ascii="仿宋_GB2312" w:hAnsi="宋体" w:eastAsia="仿宋_GB2312" w:cs="宋体"/>
                <w:kern w:val="0"/>
                <w:sz w:val="20"/>
                <w:szCs w:val="20"/>
                <w:highlight w:val="none"/>
              </w:rPr>
              <w:t>116.24</w:t>
            </w:r>
          </w:p>
        </w:tc>
        <w:tc>
          <w:tcPr>
            <w:tcW w:w="127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306.07</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党委办公厅（室）及相关机构事务支出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422.31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116.24</w:t>
            </w: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306.07</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行政运行</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63.77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63.77</w:t>
            </w: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201</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31</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50</w:t>
            </w: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事业运行</w:t>
            </w:r>
          </w:p>
        </w:tc>
        <w:tc>
          <w:tcPr>
            <w:tcW w:w="1271" w:type="dxa"/>
            <w:gridSpan w:val="2"/>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52.47</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52.47</w:t>
            </w: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201</w:t>
            </w:r>
          </w:p>
        </w:tc>
        <w:tc>
          <w:tcPr>
            <w:tcW w:w="497"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31</w:t>
            </w:r>
          </w:p>
        </w:tc>
        <w:tc>
          <w:tcPr>
            <w:tcW w:w="500"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99</w:t>
            </w:r>
          </w:p>
        </w:tc>
        <w:tc>
          <w:tcPr>
            <w:tcW w:w="3713" w:type="dxa"/>
            <w:tcBorders>
              <w:top w:val="nil"/>
              <w:left w:val="nil"/>
              <w:bottom w:val="single" w:color="auto" w:sz="4" w:space="0"/>
              <w:right w:val="single" w:color="auto" w:sz="4" w:space="0"/>
            </w:tcBorders>
            <w:vAlign w:val="center"/>
          </w:tcPr>
          <w:p>
            <w:pPr>
              <w:jc w:val="left"/>
              <w:rPr>
                <w:sz w:val="20"/>
                <w:szCs w:val="20"/>
                <w:highlight w:val="none"/>
              </w:rPr>
            </w:pPr>
            <w:r>
              <w:rPr>
                <w:rFonts w:hint="eastAsia"/>
                <w:sz w:val="20"/>
                <w:szCs w:val="20"/>
                <w:highlight w:val="none"/>
              </w:rPr>
              <w:t>其他党委办公厅（室）及相关机构事务支出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306.07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306.07</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社会保障和就业支出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15.87</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行政事业单位养老支出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15.87</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208</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05</w:t>
            </w: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机关事业单位基本养老保险费支出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15.87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15.87</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卫生健康支出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12.00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12.00</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行政事业单位医疗</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12.00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12.00</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行政单位医疗</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4.21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4.21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210</w:t>
            </w:r>
          </w:p>
        </w:tc>
        <w:tc>
          <w:tcPr>
            <w:tcW w:w="497"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11</w:t>
            </w:r>
          </w:p>
        </w:tc>
        <w:tc>
          <w:tcPr>
            <w:tcW w:w="500" w:type="dxa"/>
            <w:tcBorders>
              <w:top w:val="nil"/>
              <w:left w:val="nil"/>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02</w:t>
            </w: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事业单位医疗</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3.73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3.73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03</w:t>
            </w: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公务员医疗补助</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3.97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3.97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11</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99</w:t>
            </w: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其他行政事业单位医疗支出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0.10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0.10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住房保障支出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13.22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highlight w:val="none"/>
              </w:rPr>
            </w:pPr>
            <w:r>
              <w:rPr>
                <w:rFonts w:hint="eastAsia" w:ascii="仿宋_GB2312" w:eastAsia="仿宋_GB2312"/>
                <w:sz w:val="20"/>
                <w:szCs w:val="20"/>
                <w:highlight w:val="none"/>
              </w:rPr>
              <w:t>13.22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02</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住房改革支出</w:t>
            </w:r>
          </w:p>
        </w:tc>
        <w:tc>
          <w:tcPr>
            <w:tcW w:w="1271" w:type="dxa"/>
            <w:gridSpan w:val="2"/>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13.22</w:t>
            </w:r>
          </w:p>
        </w:tc>
        <w:tc>
          <w:tcPr>
            <w:tcW w:w="141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13.22</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221</w:t>
            </w:r>
          </w:p>
        </w:tc>
        <w:tc>
          <w:tcPr>
            <w:tcW w:w="497"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02</w:t>
            </w:r>
          </w:p>
        </w:tc>
        <w:tc>
          <w:tcPr>
            <w:tcW w:w="500" w:type="dxa"/>
            <w:tcBorders>
              <w:top w:val="nil"/>
              <w:left w:val="nil"/>
              <w:bottom w:val="single" w:color="auto" w:sz="4" w:space="0"/>
              <w:right w:val="single" w:color="auto" w:sz="4" w:space="0"/>
            </w:tcBorders>
            <w:vAlign w:val="center"/>
          </w:tcPr>
          <w:p>
            <w:pPr>
              <w:jc w:val="center"/>
              <w:rPr>
                <w:rFonts w:hint="eastAsia"/>
                <w:sz w:val="20"/>
                <w:szCs w:val="20"/>
                <w:highlight w:val="none"/>
              </w:rPr>
            </w:pPr>
            <w:r>
              <w:rPr>
                <w:rFonts w:hint="eastAsia"/>
                <w:sz w:val="20"/>
                <w:szCs w:val="20"/>
                <w:highlight w:val="none"/>
              </w:rPr>
              <w:t>01</w:t>
            </w:r>
          </w:p>
        </w:tc>
        <w:tc>
          <w:tcPr>
            <w:tcW w:w="3713" w:type="dxa"/>
            <w:tcBorders>
              <w:top w:val="nil"/>
              <w:left w:val="nil"/>
              <w:bottom w:val="single" w:color="auto" w:sz="4" w:space="0"/>
              <w:right w:val="single" w:color="auto" w:sz="4" w:space="0"/>
            </w:tcBorders>
            <w:vAlign w:val="center"/>
          </w:tcPr>
          <w:p>
            <w:pPr>
              <w:jc w:val="left"/>
              <w:rPr>
                <w:rFonts w:hint="eastAsia"/>
                <w:sz w:val="20"/>
                <w:szCs w:val="20"/>
                <w:highlight w:val="none"/>
              </w:rPr>
            </w:pPr>
            <w:r>
              <w:rPr>
                <w:rFonts w:hint="eastAsia"/>
                <w:sz w:val="20"/>
                <w:szCs w:val="20"/>
                <w:highlight w:val="none"/>
              </w:rPr>
              <w:t>住房公积金</w:t>
            </w:r>
          </w:p>
        </w:tc>
        <w:tc>
          <w:tcPr>
            <w:tcW w:w="1271" w:type="dxa"/>
            <w:gridSpan w:val="2"/>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13.22</w:t>
            </w:r>
          </w:p>
        </w:tc>
        <w:tc>
          <w:tcPr>
            <w:tcW w:w="141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highlight w:val="none"/>
              </w:rPr>
            </w:pPr>
            <w:r>
              <w:rPr>
                <w:rFonts w:hint="eastAsia" w:ascii="仿宋_GB2312" w:eastAsia="仿宋_GB2312"/>
                <w:sz w:val="20"/>
                <w:szCs w:val="20"/>
                <w:highlight w:val="none"/>
              </w:rPr>
              <w:t>13.22</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371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127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highlight w:val="none"/>
              </w:rPr>
            </w:pP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b/>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b/>
                <w:kern w:val="0"/>
                <w:sz w:val="20"/>
                <w:szCs w:val="20"/>
                <w:highlight w:val="none"/>
              </w:rPr>
            </w:pPr>
          </w:p>
        </w:tc>
        <w:tc>
          <w:tcPr>
            <w:tcW w:w="3713" w:type="dxa"/>
            <w:tcBorders>
              <w:top w:val="nil"/>
              <w:left w:val="nil"/>
              <w:bottom w:val="single" w:color="auto" w:sz="4" w:space="0"/>
              <w:right w:val="single" w:color="auto" w:sz="4" w:space="0"/>
            </w:tcBorders>
            <w:vAlign w:val="center"/>
          </w:tcPr>
          <w:p>
            <w:pPr>
              <w:widowControl/>
              <w:jc w:val="center"/>
              <w:rPr>
                <w:rFonts w:ascii="宋体" w:hAnsi="宋体" w:cs="宋体"/>
                <w:b/>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271" w:type="dxa"/>
            <w:gridSpan w:val="2"/>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highlight w:val="none"/>
              </w:rPr>
            </w:pPr>
            <w:r>
              <w:rPr>
                <w:rFonts w:hint="eastAsia" w:ascii="宋体" w:hAnsi="宋体" w:cs="宋体"/>
                <w:b/>
                <w:kern w:val="0"/>
                <w:sz w:val="20"/>
                <w:szCs w:val="20"/>
                <w:highlight w:val="none"/>
              </w:rPr>
              <w:t>463.40</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highlight w:val="none"/>
              </w:rPr>
            </w:pPr>
            <w:r>
              <w:rPr>
                <w:rFonts w:hint="eastAsia" w:ascii="宋体" w:hAnsi="宋体" w:cs="宋体"/>
                <w:b/>
                <w:kern w:val="0"/>
                <w:sz w:val="20"/>
                <w:szCs w:val="20"/>
                <w:highlight w:val="none"/>
              </w:rPr>
              <w:t>157.33</w:t>
            </w: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highlight w:val="none"/>
              </w:rPr>
            </w:pPr>
            <w:r>
              <w:rPr>
                <w:rFonts w:hint="eastAsia" w:ascii="宋体" w:hAnsi="宋体" w:cs="宋体"/>
                <w:b/>
                <w:kern w:val="0"/>
                <w:sz w:val="20"/>
                <w:szCs w:val="20"/>
                <w:highlight w:val="none"/>
              </w:rPr>
              <w:t>306.07</w:t>
            </w:r>
          </w:p>
        </w:tc>
      </w:tr>
    </w:tbl>
    <w:p>
      <w:pPr>
        <w:widowControl/>
        <w:jc w:val="left"/>
        <w:textAlignment w:val="bottom"/>
        <w:rPr>
          <w:rFonts w:ascii="宋体" w:hAnsi="宋体" w:cs="宋体"/>
          <w:color w:val="FF0000"/>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表6</w:t>
      </w:r>
    </w:p>
    <w:tbl>
      <w:tblPr>
        <w:tblStyle w:val="7"/>
        <w:tblW w:w="9273" w:type="dxa"/>
        <w:tblInd w:w="-148" w:type="dxa"/>
        <w:tblLayout w:type="autofit"/>
        <w:tblCellMar>
          <w:top w:w="0" w:type="dxa"/>
          <w:left w:w="108" w:type="dxa"/>
          <w:bottom w:w="0" w:type="dxa"/>
          <w:right w:w="108" w:type="dxa"/>
        </w:tblCellMar>
      </w:tblPr>
      <w:tblGrid>
        <w:gridCol w:w="752"/>
        <w:gridCol w:w="574"/>
        <w:gridCol w:w="2874"/>
        <w:gridCol w:w="1691"/>
        <w:gridCol w:w="970"/>
        <w:gridCol w:w="721"/>
        <w:gridCol w:w="1691"/>
      </w:tblGrid>
      <w:tr>
        <w:tblPrEx>
          <w:tblCellMar>
            <w:top w:w="0" w:type="dxa"/>
            <w:left w:w="108" w:type="dxa"/>
            <w:bottom w:w="0" w:type="dxa"/>
            <w:right w:w="108" w:type="dxa"/>
          </w:tblCellMar>
        </w:tblPrEx>
        <w:trPr>
          <w:trHeight w:val="394" w:hRule="atLeast"/>
        </w:trPr>
        <w:tc>
          <w:tcPr>
            <w:tcW w:w="9273" w:type="dxa"/>
            <w:gridSpan w:val="7"/>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一般公共预算基本支出情况表</w:t>
            </w:r>
          </w:p>
        </w:tc>
      </w:tr>
      <w:tr>
        <w:tblPrEx>
          <w:tblCellMar>
            <w:top w:w="0" w:type="dxa"/>
            <w:left w:w="108" w:type="dxa"/>
            <w:bottom w:w="0" w:type="dxa"/>
            <w:right w:w="108" w:type="dxa"/>
          </w:tblCellMar>
        </w:tblPrEx>
        <w:trPr>
          <w:trHeight w:val="426" w:hRule="atLeast"/>
        </w:trPr>
        <w:tc>
          <w:tcPr>
            <w:tcW w:w="6861" w:type="dxa"/>
            <w:gridSpan w:val="5"/>
            <w:tcBorders>
              <w:top w:val="nil"/>
              <w:left w:val="nil"/>
              <w:bottom w:val="nil"/>
              <w:right w:val="nil"/>
            </w:tcBorders>
            <w:vAlign w:val="center"/>
          </w:tcPr>
          <w:p>
            <w:pPr>
              <w:widowControl/>
              <w:spacing w:line="280" w:lineRule="exact"/>
              <w:jc w:val="left"/>
              <w:rPr>
                <w:rFonts w:hint="eastAsia" w:ascii="仿宋_GB2312" w:hAnsi="宋体" w:eastAsia="仿宋_GB2312" w:cs="宋体"/>
                <w:kern w:val="0"/>
                <w:sz w:val="24"/>
                <w:highlight w:val="none"/>
              </w:rPr>
            </w:pPr>
          </w:p>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编制部门：编制部门：中共呼图壁县委员会机要保密局</w:t>
            </w:r>
          </w:p>
        </w:tc>
        <w:tc>
          <w:tcPr>
            <w:tcW w:w="2412" w:type="dxa"/>
            <w:gridSpan w:val="2"/>
            <w:tcBorders>
              <w:top w:val="nil"/>
              <w:left w:val="nil"/>
              <w:bottom w:val="nil"/>
              <w:right w:val="nil"/>
            </w:tcBorders>
            <w:vAlign w:val="center"/>
          </w:tcPr>
          <w:p>
            <w:pPr>
              <w:widowControl/>
              <w:ind w:firstLine="360" w:firstLineChars="150"/>
              <w:rPr>
                <w:rFonts w:ascii="仿宋_GB2312" w:hAnsi="宋体" w:eastAsia="仿宋_GB2312" w:cs="宋体"/>
                <w:kern w:val="0"/>
                <w:sz w:val="24"/>
                <w:highlight w:val="none"/>
              </w:rPr>
            </w:pPr>
            <w:r>
              <w:rPr>
                <w:rFonts w:hint="eastAsia" w:ascii="仿宋_GB2312" w:hAnsi="宋体" w:eastAsia="仿宋_GB2312" w:cs="宋体"/>
                <w:kern w:val="0"/>
                <w:sz w:val="24"/>
                <w:highlight w:val="none"/>
              </w:rPr>
              <w:t>单位：万元</w:t>
            </w:r>
          </w:p>
        </w:tc>
      </w:tr>
      <w:tr>
        <w:tblPrEx>
          <w:tblCellMar>
            <w:top w:w="0" w:type="dxa"/>
            <w:left w:w="108" w:type="dxa"/>
            <w:bottom w:w="0" w:type="dxa"/>
            <w:right w:w="108" w:type="dxa"/>
          </w:tblCellMar>
        </w:tblPrEx>
        <w:trPr>
          <w:trHeight w:val="393" w:hRule="atLeast"/>
        </w:trPr>
        <w:tc>
          <w:tcPr>
            <w:tcW w:w="420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507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一般公共预算基本支出</w:t>
            </w:r>
          </w:p>
        </w:tc>
      </w:tr>
      <w:tr>
        <w:tblPrEx>
          <w:tblCellMar>
            <w:top w:w="0" w:type="dxa"/>
            <w:left w:w="108" w:type="dxa"/>
            <w:bottom w:w="0" w:type="dxa"/>
            <w:right w:w="108" w:type="dxa"/>
          </w:tblCellMar>
        </w:tblPrEx>
        <w:trPr>
          <w:trHeight w:val="520" w:hRule="atLeast"/>
        </w:trPr>
        <w:tc>
          <w:tcPr>
            <w:tcW w:w="1326"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经济分类科目编码</w:t>
            </w:r>
          </w:p>
        </w:tc>
        <w:tc>
          <w:tcPr>
            <w:tcW w:w="287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经济分类科目名称</w:t>
            </w:r>
          </w:p>
        </w:tc>
        <w:tc>
          <w:tcPr>
            <w:tcW w:w="16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169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6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r>
      <w:tr>
        <w:tblPrEx>
          <w:tblCellMar>
            <w:top w:w="0" w:type="dxa"/>
            <w:left w:w="108" w:type="dxa"/>
            <w:bottom w:w="0" w:type="dxa"/>
            <w:right w:w="108" w:type="dxa"/>
          </w:tblCellMar>
        </w:tblPrEx>
        <w:trPr>
          <w:trHeight w:val="284" w:hRule="atLeast"/>
        </w:trPr>
        <w:tc>
          <w:tcPr>
            <w:tcW w:w="75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tc>
        <w:tc>
          <w:tcPr>
            <w:tcW w:w="574"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tc>
        <w:tc>
          <w:tcPr>
            <w:tcW w:w="2874"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highlight w:val="none"/>
              </w:rPr>
            </w:pPr>
          </w:p>
        </w:tc>
        <w:tc>
          <w:tcPr>
            <w:tcW w:w="169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highlight w:val="none"/>
              </w:rPr>
            </w:pPr>
          </w:p>
        </w:tc>
        <w:tc>
          <w:tcPr>
            <w:tcW w:w="169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highlight w:val="none"/>
              </w:rPr>
            </w:pPr>
          </w:p>
        </w:tc>
        <w:tc>
          <w:tcPr>
            <w:tcW w:w="169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highlight w:val="none"/>
              </w:rPr>
            </w:pP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p>
        </w:tc>
        <w:tc>
          <w:tcPr>
            <w:tcW w:w="2874" w:type="dxa"/>
            <w:tcBorders>
              <w:top w:val="nil"/>
              <w:left w:val="nil"/>
              <w:bottom w:val="single" w:color="auto" w:sz="4" w:space="0"/>
              <w:right w:val="single" w:color="auto" w:sz="4" w:space="0"/>
            </w:tcBorders>
            <w:vAlign w:val="center"/>
          </w:tcPr>
          <w:p>
            <w:pPr>
              <w:rPr>
                <w:rFonts w:hint="eastAsia"/>
                <w:highlight w:val="none"/>
              </w:rPr>
            </w:pPr>
            <w:r>
              <w:rPr>
                <w:rFonts w:hint="eastAsia"/>
                <w:highlight w:val="none"/>
              </w:rPr>
              <w:t>工资福利支出</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151.85</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151.85</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01</w:t>
            </w:r>
          </w:p>
        </w:tc>
        <w:tc>
          <w:tcPr>
            <w:tcW w:w="2874" w:type="dxa"/>
            <w:tcBorders>
              <w:top w:val="nil"/>
              <w:left w:val="nil"/>
              <w:bottom w:val="single" w:color="auto" w:sz="4" w:space="0"/>
              <w:right w:val="single" w:color="auto" w:sz="4" w:space="0"/>
            </w:tcBorders>
            <w:vAlign w:val="center"/>
          </w:tcPr>
          <w:p>
            <w:pPr>
              <w:rPr>
                <w:rFonts w:hint="eastAsia"/>
                <w:highlight w:val="none"/>
              </w:rPr>
            </w:pPr>
            <w:r>
              <w:rPr>
                <w:rFonts w:hint="eastAsia"/>
                <w:highlight w:val="none"/>
              </w:rPr>
              <w:t>基本工资</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37.35</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37.35</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02</w:t>
            </w:r>
          </w:p>
        </w:tc>
        <w:tc>
          <w:tcPr>
            <w:tcW w:w="2874" w:type="dxa"/>
            <w:tcBorders>
              <w:top w:val="nil"/>
              <w:left w:val="nil"/>
              <w:bottom w:val="single" w:color="auto" w:sz="4" w:space="0"/>
              <w:right w:val="single" w:color="auto" w:sz="4" w:space="0"/>
            </w:tcBorders>
            <w:vAlign w:val="center"/>
          </w:tcPr>
          <w:p>
            <w:pPr>
              <w:rPr>
                <w:rFonts w:hint="eastAsia"/>
                <w:highlight w:val="none"/>
              </w:rPr>
            </w:pPr>
            <w:r>
              <w:rPr>
                <w:rFonts w:hint="eastAsia"/>
                <w:highlight w:val="none"/>
              </w:rPr>
              <w:t>津贴补贴</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28.37</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28.37</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03</w:t>
            </w:r>
          </w:p>
        </w:tc>
        <w:tc>
          <w:tcPr>
            <w:tcW w:w="2874" w:type="dxa"/>
            <w:tcBorders>
              <w:top w:val="nil"/>
              <w:left w:val="nil"/>
              <w:bottom w:val="single" w:color="auto" w:sz="4" w:space="0"/>
              <w:right w:val="single" w:color="auto" w:sz="4" w:space="0"/>
            </w:tcBorders>
            <w:vAlign w:val="center"/>
          </w:tcPr>
          <w:p>
            <w:pPr>
              <w:rPr>
                <w:rFonts w:hint="eastAsia"/>
                <w:highlight w:val="none"/>
              </w:rPr>
            </w:pPr>
            <w:r>
              <w:rPr>
                <w:rFonts w:hint="eastAsia"/>
                <w:highlight w:val="none"/>
              </w:rPr>
              <w:t>奖金</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31.81</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31.81</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07</w:t>
            </w:r>
          </w:p>
        </w:tc>
        <w:tc>
          <w:tcPr>
            <w:tcW w:w="2874" w:type="dxa"/>
            <w:tcBorders>
              <w:top w:val="nil"/>
              <w:left w:val="nil"/>
              <w:bottom w:val="single" w:color="auto" w:sz="4" w:space="0"/>
              <w:right w:val="single" w:color="auto" w:sz="4" w:space="0"/>
            </w:tcBorders>
            <w:vAlign w:val="center"/>
          </w:tcPr>
          <w:p>
            <w:pPr>
              <w:rPr>
                <w:rFonts w:hint="eastAsia"/>
                <w:highlight w:val="none"/>
              </w:rPr>
            </w:pPr>
            <w:r>
              <w:rPr>
                <w:rFonts w:hint="eastAsia"/>
                <w:highlight w:val="none"/>
              </w:rPr>
              <w:t>绩效工资</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12.59</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12.59</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08</w:t>
            </w:r>
          </w:p>
        </w:tc>
        <w:tc>
          <w:tcPr>
            <w:tcW w:w="2874" w:type="dxa"/>
            <w:tcBorders>
              <w:top w:val="nil"/>
              <w:left w:val="nil"/>
              <w:bottom w:val="single" w:color="auto" w:sz="4" w:space="0"/>
              <w:right w:val="single" w:color="auto" w:sz="4" w:space="0"/>
            </w:tcBorders>
            <w:vAlign w:val="center"/>
          </w:tcPr>
          <w:p>
            <w:pPr>
              <w:rPr>
                <w:rFonts w:hint="eastAsia"/>
                <w:highlight w:val="none"/>
              </w:rPr>
            </w:pPr>
            <w:r>
              <w:rPr>
                <w:rFonts w:hint="eastAsia"/>
                <w:highlight w:val="none"/>
              </w:rPr>
              <w:t>机关事业单位基本养老保险</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15.87</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15.87</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10</w:t>
            </w:r>
          </w:p>
        </w:tc>
        <w:tc>
          <w:tcPr>
            <w:tcW w:w="2874" w:type="dxa"/>
            <w:tcBorders>
              <w:top w:val="nil"/>
              <w:left w:val="nil"/>
              <w:bottom w:val="single" w:color="auto" w:sz="4" w:space="0"/>
              <w:right w:val="single" w:color="auto" w:sz="4" w:space="0"/>
            </w:tcBorders>
            <w:vAlign w:val="center"/>
          </w:tcPr>
          <w:p>
            <w:pPr>
              <w:rPr>
                <w:rFonts w:hint="eastAsia"/>
                <w:highlight w:val="none"/>
              </w:rPr>
            </w:pPr>
            <w:r>
              <w:rPr>
                <w:rFonts w:hint="eastAsia"/>
                <w:highlight w:val="none"/>
              </w:rPr>
              <w:t>职工基本医疗保险缴费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7.94</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7.94</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11</w:t>
            </w:r>
          </w:p>
        </w:tc>
        <w:tc>
          <w:tcPr>
            <w:tcW w:w="2874" w:type="dxa"/>
            <w:tcBorders>
              <w:top w:val="nil"/>
              <w:left w:val="nil"/>
              <w:bottom w:val="single" w:color="auto" w:sz="4" w:space="0"/>
              <w:right w:val="single" w:color="auto" w:sz="4" w:space="0"/>
            </w:tcBorders>
            <w:vAlign w:val="center"/>
          </w:tcPr>
          <w:p>
            <w:pPr>
              <w:rPr>
                <w:rFonts w:hint="eastAsia"/>
                <w:highlight w:val="none"/>
              </w:rPr>
            </w:pPr>
            <w:r>
              <w:rPr>
                <w:rFonts w:hint="eastAsia"/>
                <w:highlight w:val="none"/>
              </w:rPr>
              <w:t>公务员医疗补助缴费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3.97</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3.97</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12</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其他社会保障缴费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0.73</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0.73</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301</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13</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住房公积金</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13.22</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13.22</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商品和服务支出</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5.47</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5.47</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01</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办公费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1.27</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1.27</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02</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印刷费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0.10</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　0.10</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07</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邮电费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0.42</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0.42</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11</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差旅费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0.28</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0.28</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17</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公务接待费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0.10</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0.10</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28</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工会经费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1.92</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1.92</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31</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公务用车运行维护费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0.78</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0.78</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302</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39</w:t>
            </w: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其他交通费用</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0.60</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0.60</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303</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p>
        </w:tc>
        <w:tc>
          <w:tcPr>
            <w:tcW w:w="2874" w:type="dxa"/>
            <w:tcBorders>
              <w:top w:val="nil"/>
              <w:left w:val="nil"/>
              <w:bottom w:val="single" w:color="auto" w:sz="4" w:space="0"/>
              <w:right w:val="single" w:color="auto" w:sz="4" w:space="0"/>
            </w:tcBorders>
            <w:vAlign w:val="center"/>
          </w:tcPr>
          <w:p>
            <w:pPr>
              <w:jc w:val="left"/>
              <w:rPr>
                <w:rFonts w:hint="eastAsia"/>
                <w:highlight w:val="none"/>
              </w:rPr>
            </w:pPr>
            <w:r>
              <w:rPr>
                <w:rFonts w:hint="eastAsia"/>
                <w:highlight w:val="none"/>
              </w:rPr>
              <w:t>对个人和家庭的补助</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0.01</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0.01</w:t>
            </w:r>
          </w:p>
          <w:p>
            <w:pPr>
              <w:jc w:val="right"/>
              <w:rPr>
                <w:highlight w:val="none"/>
              </w:rPr>
            </w:pP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highlight w:val="none"/>
              </w:rPr>
            </w:pPr>
            <w:r>
              <w:rPr>
                <w:rFonts w:hint="eastAsia"/>
                <w:highlight w:val="none"/>
              </w:rPr>
              <w:t>303</w:t>
            </w:r>
          </w:p>
        </w:tc>
        <w:tc>
          <w:tcPr>
            <w:tcW w:w="574" w:type="dxa"/>
            <w:tcBorders>
              <w:top w:val="nil"/>
              <w:left w:val="nil"/>
              <w:bottom w:val="single" w:color="auto" w:sz="4" w:space="0"/>
              <w:right w:val="single" w:color="auto" w:sz="4" w:space="0"/>
            </w:tcBorders>
            <w:vAlign w:val="center"/>
          </w:tcPr>
          <w:p>
            <w:pPr>
              <w:jc w:val="center"/>
              <w:rPr>
                <w:rFonts w:hint="eastAsia"/>
                <w:highlight w:val="none"/>
              </w:rPr>
            </w:pPr>
            <w:r>
              <w:rPr>
                <w:rFonts w:hint="eastAsia"/>
                <w:highlight w:val="none"/>
              </w:rPr>
              <w:t>05</w:t>
            </w:r>
          </w:p>
        </w:tc>
        <w:tc>
          <w:tcPr>
            <w:tcW w:w="2874" w:type="dxa"/>
            <w:tcBorders>
              <w:top w:val="nil"/>
              <w:left w:val="nil"/>
              <w:bottom w:val="single" w:color="auto" w:sz="4" w:space="0"/>
              <w:right w:val="single" w:color="auto" w:sz="4" w:space="0"/>
            </w:tcBorders>
            <w:vAlign w:val="center"/>
          </w:tcPr>
          <w:p>
            <w:pPr>
              <w:jc w:val="left"/>
              <w:rPr>
                <w:highlight w:val="none"/>
              </w:rPr>
            </w:pPr>
            <w:r>
              <w:rPr>
                <w:rFonts w:hint="eastAsia"/>
                <w:highlight w:val="none"/>
              </w:rPr>
              <w:t>生活补助</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0.01</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highlight w:val="none"/>
              </w:rPr>
            </w:pPr>
            <w:r>
              <w:rPr>
                <w:rFonts w:hint="eastAsia" w:ascii="宋体" w:hAnsi="宋体" w:cs="宋体"/>
                <w:kern w:val="0"/>
                <w:sz w:val="20"/>
                <w:szCs w:val="20"/>
                <w:highlight w:val="none"/>
              </w:rPr>
              <w:t>0.01</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b/>
                <w:highlight w:val="none"/>
              </w:rPr>
            </w:pPr>
          </w:p>
        </w:tc>
        <w:tc>
          <w:tcPr>
            <w:tcW w:w="574" w:type="dxa"/>
            <w:tcBorders>
              <w:top w:val="nil"/>
              <w:left w:val="nil"/>
              <w:bottom w:val="single" w:color="auto" w:sz="4" w:space="0"/>
              <w:right w:val="single" w:color="auto" w:sz="4" w:space="0"/>
            </w:tcBorders>
            <w:vAlign w:val="center"/>
          </w:tcPr>
          <w:p>
            <w:pPr>
              <w:jc w:val="center"/>
              <w:rPr>
                <w:rFonts w:hint="eastAsia"/>
                <w:b/>
                <w:highlight w:val="none"/>
              </w:rPr>
            </w:pPr>
          </w:p>
        </w:tc>
        <w:tc>
          <w:tcPr>
            <w:tcW w:w="2874" w:type="dxa"/>
            <w:tcBorders>
              <w:top w:val="nil"/>
              <w:left w:val="nil"/>
              <w:bottom w:val="single" w:color="auto" w:sz="4" w:space="0"/>
              <w:right w:val="single" w:color="auto" w:sz="4" w:space="0"/>
            </w:tcBorders>
            <w:vAlign w:val="center"/>
          </w:tcPr>
          <w:p>
            <w:pPr>
              <w:jc w:val="center"/>
              <w:rPr>
                <w:rFonts w:hint="eastAsia"/>
                <w:b/>
                <w:highlight w:val="none"/>
              </w:rPr>
            </w:pPr>
            <w:r>
              <w:rPr>
                <w:rFonts w:hint="eastAsia"/>
                <w:b/>
                <w:highlight w:val="none"/>
              </w:rPr>
              <w:t>合  计</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highlight w:val="none"/>
              </w:rPr>
            </w:pPr>
            <w:r>
              <w:rPr>
                <w:rFonts w:hint="eastAsia" w:ascii="宋体" w:hAnsi="宋体" w:cs="宋体"/>
                <w:b/>
                <w:kern w:val="0"/>
                <w:sz w:val="20"/>
                <w:szCs w:val="20"/>
                <w:highlight w:val="none"/>
              </w:rPr>
              <w:t>157.33</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highlight w:val="none"/>
              </w:rPr>
            </w:pPr>
            <w:r>
              <w:rPr>
                <w:rFonts w:hint="eastAsia" w:ascii="宋体" w:hAnsi="宋体" w:cs="宋体"/>
                <w:b/>
                <w:kern w:val="0"/>
                <w:sz w:val="20"/>
                <w:szCs w:val="20"/>
                <w:highlight w:val="none"/>
              </w:rPr>
              <w:t>151.86</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highlight w:val="none"/>
              </w:rPr>
            </w:pPr>
            <w:r>
              <w:rPr>
                <w:rFonts w:hint="eastAsia" w:ascii="宋体" w:hAnsi="宋体" w:cs="宋体"/>
                <w:b/>
                <w:kern w:val="0"/>
                <w:sz w:val="20"/>
                <w:szCs w:val="20"/>
                <w:highlight w:val="none"/>
              </w:rPr>
              <w:t>5.47</w:t>
            </w:r>
          </w:p>
        </w:tc>
      </w:tr>
    </w:tbl>
    <w:p>
      <w:pPr>
        <w:widowControl/>
        <w:jc w:val="left"/>
        <w:textAlignment w:val="bottom"/>
        <w:rPr>
          <w:rFonts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pStyle w:val="2"/>
        <w:rPr>
          <w:rFonts w:hint="eastAsia"/>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表7</w:t>
      </w:r>
    </w:p>
    <w:tbl>
      <w:tblPr>
        <w:tblStyle w:val="7"/>
        <w:tblW w:w="10035" w:type="dxa"/>
        <w:tblInd w:w="-928" w:type="dxa"/>
        <w:tblLayout w:type="fixed"/>
        <w:tblCellMar>
          <w:top w:w="0" w:type="dxa"/>
          <w:left w:w="108" w:type="dxa"/>
          <w:bottom w:w="0" w:type="dxa"/>
          <w:right w:w="108" w:type="dxa"/>
        </w:tblCellMar>
      </w:tblPr>
      <w:tblGrid>
        <w:gridCol w:w="525"/>
        <w:gridCol w:w="465"/>
        <w:gridCol w:w="450"/>
        <w:gridCol w:w="1275"/>
        <w:gridCol w:w="855"/>
        <w:gridCol w:w="930"/>
        <w:gridCol w:w="570"/>
        <w:gridCol w:w="795"/>
        <w:gridCol w:w="615"/>
        <w:gridCol w:w="450"/>
        <w:gridCol w:w="465"/>
        <w:gridCol w:w="900"/>
        <w:gridCol w:w="510"/>
        <w:gridCol w:w="375"/>
        <w:gridCol w:w="420"/>
        <w:gridCol w:w="435"/>
      </w:tblGrid>
      <w:tr>
        <w:tblPrEx>
          <w:tblCellMar>
            <w:top w:w="0" w:type="dxa"/>
            <w:left w:w="108" w:type="dxa"/>
            <w:bottom w:w="0" w:type="dxa"/>
            <w:right w:w="108" w:type="dxa"/>
          </w:tblCellMar>
        </w:tblPrEx>
        <w:trPr>
          <w:gridAfter w:val="1"/>
          <w:wAfter w:w="435" w:type="dxa"/>
          <w:trHeight w:val="392" w:hRule="atLeast"/>
        </w:trPr>
        <w:tc>
          <w:tcPr>
            <w:tcW w:w="9600" w:type="dxa"/>
            <w:gridSpan w:val="15"/>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435" w:type="dxa"/>
          <w:trHeight w:val="423" w:hRule="atLeast"/>
        </w:trPr>
        <w:tc>
          <w:tcPr>
            <w:tcW w:w="7395" w:type="dxa"/>
            <w:gridSpan w:val="11"/>
            <w:tcBorders>
              <w:top w:val="nil"/>
              <w:left w:val="nil"/>
              <w:bottom w:val="nil"/>
              <w:right w:val="nil"/>
            </w:tcBorders>
            <w:vAlign w:val="center"/>
          </w:tcPr>
          <w:p>
            <w:pPr>
              <w:widowControl/>
              <w:spacing w:line="280" w:lineRule="exact"/>
              <w:jc w:val="left"/>
              <w:rPr>
                <w:rFonts w:hint="eastAsia" w:ascii="仿宋_GB2312" w:hAnsi="宋体" w:eastAsia="仿宋_GB2312" w:cs="宋体"/>
                <w:kern w:val="0"/>
                <w:sz w:val="24"/>
                <w:highlight w:val="none"/>
              </w:rPr>
            </w:pPr>
          </w:p>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xml:space="preserve">编制部门：编制部门：中共呼图壁县委员会机要保密局 </w:t>
            </w:r>
          </w:p>
        </w:tc>
        <w:tc>
          <w:tcPr>
            <w:tcW w:w="2205" w:type="dxa"/>
            <w:gridSpan w:val="4"/>
            <w:tcBorders>
              <w:top w:val="nil"/>
              <w:left w:val="nil"/>
              <w:bottom w:val="nil"/>
              <w:right w:val="nil"/>
            </w:tcBorders>
            <w:vAlign w:val="center"/>
          </w:tcPr>
          <w:p>
            <w:pPr>
              <w:widowControl/>
              <w:ind w:firstLine="360" w:firstLineChars="150"/>
              <w:rPr>
                <w:rFonts w:ascii="仿宋_GB2312" w:hAnsi="宋体" w:eastAsia="仿宋_GB2312" w:cs="宋体"/>
                <w:kern w:val="0"/>
                <w:sz w:val="24"/>
                <w:highlight w:val="none"/>
              </w:rPr>
            </w:pPr>
            <w:r>
              <w:rPr>
                <w:rFonts w:hint="eastAsia" w:ascii="仿宋_GB2312" w:hAnsi="宋体" w:eastAsia="仿宋_GB2312" w:cs="宋体"/>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440" w:type="dxa"/>
            <w:gridSpan w:val="3"/>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 目 编 码</w:t>
            </w:r>
          </w:p>
        </w:tc>
        <w:tc>
          <w:tcPr>
            <w:tcW w:w="127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w:t>
            </w:r>
          </w:p>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名称</w:t>
            </w:r>
          </w:p>
        </w:tc>
        <w:tc>
          <w:tcPr>
            <w:tcW w:w="855" w:type="dxa"/>
            <w:vMerge w:val="restart"/>
            <w:vAlign w:val="center"/>
          </w:tcPr>
          <w:p>
            <w:pPr>
              <w:jc w:val="center"/>
              <w:rPr>
                <w:rFonts w:hint="eastAsia"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w:t>
            </w:r>
          </w:p>
          <w:p>
            <w:pPr>
              <w:jc w:val="center"/>
              <w:rPr>
                <w:rFonts w:ascii="Calibri" w:hAnsi="Calibri"/>
                <w:sz w:val="20"/>
                <w:szCs w:val="20"/>
                <w:highlight w:val="none"/>
              </w:rPr>
            </w:pPr>
            <w:r>
              <w:rPr>
                <w:rFonts w:hint="eastAsia" w:ascii="仿宋_GB2312" w:hAnsi="宋体" w:eastAsia="仿宋_GB2312"/>
                <w:b/>
                <w:kern w:val="0"/>
                <w:sz w:val="20"/>
                <w:szCs w:val="20"/>
                <w:highlight w:val="none"/>
              </w:rPr>
              <w:t>名称</w:t>
            </w:r>
          </w:p>
        </w:tc>
        <w:tc>
          <w:tcPr>
            <w:tcW w:w="93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57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79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61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45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46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90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51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37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3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trPr>
        <w:tc>
          <w:tcPr>
            <w:tcW w:w="525"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465"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450"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1275"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p>
        </w:tc>
        <w:tc>
          <w:tcPr>
            <w:tcW w:w="855"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93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57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795"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615"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5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65"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90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51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375"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35"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vAlign w:val="center"/>
          </w:tcPr>
          <w:p>
            <w:pPr>
              <w:jc w:val="center"/>
              <w:rPr>
                <w:rFonts w:hint="eastAsia"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201</w:t>
            </w:r>
          </w:p>
        </w:tc>
        <w:tc>
          <w:tcPr>
            <w:tcW w:w="465" w:type="dxa"/>
            <w:vAlign w:val="center"/>
          </w:tcPr>
          <w:p>
            <w:pPr>
              <w:jc w:val="center"/>
              <w:rPr>
                <w:rFonts w:hint="eastAsia" w:asciiTheme="minorEastAsia" w:hAnsiTheme="minorEastAsia" w:eastAsiaTheme="minorEastAsia"/>
                <w:sz w:val="20"/>
                <w:szCs w:val="20"/>
                <w:highlight w:val="none"/>
              </w:rPr>
            </w:pPr>
          </w:p>
        </w:tc>
        <w:tc>
          <w:tcPr>
            <w:tcW w:w="450" w:type="dxa"/>
            <w:vAlign w:val="center"/>
          </w:tcPr>
          <w:p>
            <w:pPr>
              <w:jc w:val="center"/>
              <w:rPr>
                <w:rFonts w:hint="eastAsia" w:asciiTheme="minorEastAsia" w:hAnsiTheme="minorEastAsia" w:eastAsiaTheme="minorEastAsia"/>
                <w:sz w:val="20"/>
                <w:szCs w:val="20"/>
                <w:highlight w:val="none"/>
              </w:rPr>
            </w:pPr>
          </w:p>
        </w:tc>
        <w:tc>
          <w:tcPr>
            <w:tcW w:w="1275" w:type="dxa"/>
            <w:vAlign w:val="center"/>
          </w:tcPr>
          <w:p>
            <w:pPr>
              <w:jc w:val="left"/>
              <w:rPr>
                <w:rFonts w:hint="eastAsia"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一般公共服务</w:t>
            </w:r>
          </w:p>
        </w:tc>
        <w:tc>
          <w:tcPr>
            <w:tcW w:w="855" w:type="dxa"/>
          </w:tcPr>
          <w:p>
            <w:pPr>
              <w:widowControl/>
              <w:jc w:val="lef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930" w:type="dxa"/>
            <w:vAlign w:val="center"/>
          </w:tcPr>
          <w:p>
            <w:pPr>
              <w:widowControl/>
              <w:jc w:val="center"/>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306.07</w:t>
            </w:r>
          </w:p>
        </w:tc>
        <w:tc>
          <w:tcPr>
            <w:tcW w:w="570" w:type="dxa"/>
            <w:vAlign w:val="center"/>
          </w:tcPr>
          <w:p>
            <w:pPr>
              <w:widowControl/>
              <w:jc w:val="center"/>
              <w:outlineLvl w:val="1"/>
              <w:rPr>
                <w:rFonts w:asciiTheme="minorEastAsia" w:hAnsiTheme="minorEastAsia" w:eastAsiaTheme="minorEastAsia"/>
                <w:kern w:val="0"/>
                <w:sz w:val="20"/>
                <w:szCs w:val="20"/>
                <w:highlight w:val="none"/>
              </w:rPr>
            </w:pPr>
          </w:p>
        </w:tc>
        <w:tc>
          <w:tcPr>
            <w:tcW w:w="795" w:type="dxa"/>
            <w:vAlign w:val="center"/>
          </w:tcPr>
          <w:p>
            <w:pPr>
              <w:widowControl/>
              <w:jc w:val="center"/>
              <w:outlineLvl w:val="1"/>
              <w:rPr>
                <w:rFonts w:cs="Times New Roman" w:asciiTheme="minorEastAsia" w:hAnsiTheme="minorEastAsia" w:eastAsiaTheme="minorEastAsia"/>
                <w:kern w:val="0"/>
                <w:sz w:val="20"/>
                <w:szCs w:val="20"/>
                <w:highlight w:val="none"/>
                <w:lang w:val="en-US" w:eastAsia="zh-CN" w:bidi="ar-SA"/>
              </w:rPr>
            </w:pPr>
            <w:r>
              <w:rPr>
                <w:rFonts w:hint="eastAsia" w:asciiTheme="minorEastAsia" w:hAnsiTheme="minorEastAsia" w:eastAsiaTheme="minorEastAsia"/>
                <w:kern w:val="0"/>
                <w:sz w:val="20"/>
                <w:szCs w:val="20"/>
                <w:highlight w:val="none"/>
              </w:rPr>
              <w:t>28.60</w:t>
            </w:r>
          </w:p>
        </w:tc>
        <w:tc>
          <w:tcPr>
            <w:tcW w:w="615" w:type="dxa"/>
            <w:vAlign w:val="center"/>
          </w:tcPr>
          <w:p>
            <w:pPr>
              <w:widowControl/>
              <w:jc w:val="center"/>
              <w:outlineLvl w:val="1"/>
              <w:rPr>
                <w:rFonts w:asciiTheme="minorEastAsia" w:hAnsiTheme="minorEastAsia" w:eastAsiaTheme="minorEastAsia"/>
                <w:kern w:val="0"/>
                <w:sz w:val="20"/>
                <w:szCs w:val="20"/>
                <w:highlight w:val="none"/>
              </w:rPr>
            </w:pPr>
          </w:p>
        </w:tc>
        <w:tc>
          <w:tcPr>
            <w:tcW w:w="450" w:type="dxa"/>
            <w:vAlign w:val="center"/>
          </w:tcPr>
          <w:p>
            <w:pPr>
              <w:widowControl/>
              <w:jc w:val="center"/>
              <w:outlineLvl w:val="1"/>
              <w:rPr>
                <w:rFonts w:asciiTheme="minorEastAsia" w:hAnsiTheme="minorEastAsia" w:eastAsiaTheme="minorEastAsia"/>
                <w:kern w:val="0"/>
                <w:sz w:val="20"/>
                <w:szCs w:val="20"/>
                <w:highlight w:val="none"/>
              </w:rPr>
            </w:pPr>
          </w:p>
        </w:tc>
        <w:tc>
          <w:tcPr>
            <w:tcW w:w="465" w:type="dxa"/>
            <w:vAlign w:val="center"/>
          </w:tcPr>
          <w:p>
            <w:pPr>
              <w:widowControl/>
              <w:jc w:val="center"/>
              <w:outlineLvl w:val="1"/>
              <w:rPr>
                <w:rFonts w:asciiTheme="minorEastAsia" w:hAnsiTheme="minorEastAsia" w:eastAsiaTheme="minorEastAsia"/>
                <w:kern w:val="0"/>
                <w:sz w:val="20"/>
                <w:szCs w:val="20"/>
                <w:highlight w:val="none"/>
              </w:rPr>
            </w:pPr>
          </w:p>
        </w:tc>
        <w:tc>
          <w:tcPr>
            <w:tcW w:w="900" w:type="dxa"/>
            <w:vAlign w:val="center"/>
          </w:tcPr>
          <w:p>
            <w:pPr>
              <w:widowControl/>
              <w:jc w:val="center"/>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277.47</w:t>
            </w:r>
          </w:p>
        </w:tc>
        <w:tc>
          <w:tcPr>
            <w:tcW w:w="510"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375"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420"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435"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vAlign w:val="center"/>
          </w:tcPr>
          <w:p>
            <w:pPr>
              <w:jc w:val="center"/>
              <w:rPr>
                <w:rFonts w:hint="eastAsia"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201</w:t>
            </w:r>
          </w:p>
        </w:tc>
        <w:tc>
          <w:tcPr>
            <w:tcW w:w="465" w:type="dxa"/>
            <w:vAlign w:val="center"/>
          </w:tcPr>
          <w:p>
            <w:pPr>
              <w:jc w:val="center"/>
              <w:rPr>
                <w:rFonts w:hint="eastAsia"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31</w:t>
            </w:r>
          </w:p>
        </w:tc>
        <w:tc>
          <w:tcPr>
            <w:tcW w:w="450" w:type="dxa"/>
            <w:vAlign w:val="center"/>
          </w:tcPr>
          <w:p>
            <w:pPr>
              <w:jc w:val="center"/>
              <w:rPr>
                <w:rFonts w:hint="eastAsia" w:asciiTheme="minorEastAsia" w:hAnsiTheme="minorEastAsia" w:eastAsiaTheme="minorEastAsia"/>
                <w:sz w:val="20"/>
                <w:szCs w:val="20"/>
                <w:highlight w:val="none"/>
              </w:rPr>
            </w:pPr>
          </w:p>
        </w:tc>
        <w:tc>
          <w:tcPr>
            <w:tcW w:w="1275" w:type="dxa"/>
            <w:vAlign w:val="center"/>
          </w:tcPr>
          <w:p>
            <w:pPr>
              <w:jc w:val="left"/>
              <w:rPr>
                <w:rFonts w:hint="eastAsia"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党委办公厅（室）及相关机构事务支出</w:t>
            </w:r>
          </w:p>
        </w:tc>
        <w:tc>
          <w:tcPr>
            <w:tcW w:w="855" w:type="dxa"/>
          </w:tcPr>
          <w:p>
            <w:pPr>
              <w:widowControl/>
              <w:jc w:val="lef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930" w:type="dxa"/>
            <w:vAlign w:val="center"/>
          </w:tcPr>
          <w:p>
            <w:pPr>
              <w:widowControl/>
              <w:jc w:val="center"/>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306.07</w:t>
            </w:r>
          </w:p>
        </w:tc>
        <w:tc>
          <w:tcPr>
            <w:tcW w:w="570" w:type="dxa"/>
            <w:vAlign w:val="center"/>
          </w:tcPr>
          <w:p>
            <w:pPr>
              <w:widowControl/>
              <w:jc w:val="center"/>
              <w:outlineLvl w:val="1"/>
              <w:rPr>
                <w:rFonts w:asciiTheme="minorEastAsia" w:hAnsiTheme="minorEastAsia" w:eastAsiaTheme="minorEastAsia"/>
                <w:kern w:val="0"/>
                <w:sz w:val="20"/>
                <w:szCs w:val="20"/>
                <w:highlight w:val="none"/>
              </w:rPr>
            </w:pPr>
          </w:p>
        </w:tc>
        <w:tc>
          <w:tcPr>
            <w:tcW w:w="795" w:type="dxa"/>
            <w:vAlign w:val="center"/>
          </w:tcPr>
          <w:p>
            <w:pPr>
              <w:widowControl/>
              <w:jc w:val="center"/>
              <w:outlineLvl w:val="1"/>
              <w:rPr>
                <w:rFonts w:cs="Times New Roman" w:asciiTheme="minorEastAsia" w:hAnsiTheme="minorEastAsia" w:eastAsiaTheme="minorEastAsia"/>
                <w:kern w:val="0"/>
                <w:sz w:val="20"/>
                <w:szCs w:val="20"/>
                <w:highlight w:val="none"/>
                <w:lang w:val="en-US" w:eastAsia="zh-CN" w:bidi="ar-SA"/>
              </w:rPr>
            </w:pPr>
            <w:r>
              <w:rPr>
                <w:rFonts w:hint="eastAsia" w:asciiTheme="minorEastAsia" w:hAnsiTheme="minorEastAsia" w:eastAsiaTheme="minorEastAsia"/>
                <w:kern w:val="0"/>
                <w:sz w:val="20"/>
                <w:szCs w:val="20"/>
                <w:highlight w:val="none"/>
              </w:rPr>
              <w:t>28.60</w:t>
            </w:r>
          </w:p>
        </w:tc>
        <w:tc>
          <w:tcPr>
            <w:tcW w:w="615" w:type="dxa"/>
            <w:vAlign w:val="center"/>
          </w:tcPr>
          <w:p>
            <w:pPr>
              <w:widowControl/>
              <w:jc w:val="center"/>
              <w:outlineLvl w:val="1"/>
              <w:rPr>
                <w:rFonts w:asciiTheme="minorEastAsia" w:hAnsiTheme="minorEastAsia" w:eastAsiaTheme="minorEastAsia"/>
                <w:kern w:val="0"/>
                <w:sz w:val="20"/>
                <w:szCs w:val="20"/>
                <w:highlight w:val="none"/>
              </w:rPr>
            </w:pPr>
          </w:p>
        </w:tc>
        <w:tc>
          <w:tcPr>
            <w:tcW w:w="450" w:type="dxa"/>
            <w:vAlign w:val="center"/>
          </w:tcPr>
          <w:p>
            <w:pPr>
              <w:widowControl/>
              <w:jc w:val="center"/>
              <w:outlineLvl w:val="1"/>
              <w:rPr>
                <w:rFonts w:asciiTheme="minorEastAsia" w:hAnsiTheme="minorEastAsia" w:eastAsiaTheme="minorEastAsia"/>
                <w:kern w:val="0"/>
                <w:sz w:val="20"/>
                <w:szCs w:val="20"/>
                <w:highlight w:val="none"/>
              </w:rPr>
            </w:pPr>
          </w:p>
        </w:tc>
        <w:tc>
          <w:tcPr>
            <w:tcW w:w="465" w:type="dxa"/>
            <w:vAlign w:val="center"/>
          </w:tcPr>
          <w:p>
            <w:pPr>
              <w:widowControl/>
              <w:jc w:val="center"/>
              <w:outlineLvl w:val="1"/>
              <w:rPr>
                <w:rFonts w:asciiTheme="minorEastAsia" w:hAnsiTheme="minorEastAsia" w:eastAsiaTheme="minorEastAsia"/>
                <w:kern w:val="0"/>
                <w:sz w:val="20"/>
                <w:szCs w:val="20"/>
                <w:highlight w:val="none"/>
              </w:rPr>
            </w:pPr>
          </w:p>
        </w:tc>
        <w:tc>
          <w:tcPr>
            <w:tcW w:w="900" w:type="dxa"/>
            <w:vAlign w:val="center"/>
          </w:tcPr>
          <w:p>
            <w:pPr>
              <w:widowControl/>
              <w:jc w:val="center"/>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277.47</w:t>
            </w:r>
          </w:p>
        </w:tc>
        <w:tc>
          <w:tcPr>
            <w:tcW w:w="510"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375"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420"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435"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vAlign w:val="center"/>
          </w:tcPr>
          <w:p>
            <w:pPr>
              <w:jc w:val="center"/>
              <w:rPr>
                <w:rFonts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201</w:t>
            </w:r>
          </w:p>
        </w:tc>
        <w:tc>
          <w:tcPr>
            <w:tcW w:w="465" w:type="dxa"/>
            <w:vAlign w:val="center"/>
          </w:tcPr>
          <w:p>
            <w:pPr>
              <w:jc w:val="center"/>
              <w:rPr>
                <w:rFonts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31</w:t>
            </w:r>
          </w:p>
        </w:tc>
        <w:tc>
          <w:tcPr>
            <w:tcW w:w="450" w:type="dxa"/>
            <w:vAlign w:val="center"/>
          </w:tcPr>
          <w:p>
            <w:pPr>
              <w:jc w:val="center"/>
              <w:rPr>
                <w:rFonts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99</w:t>
            </w:r>
          </w:p>
        </w:tc>
        <w:tc>
          <w:tcPr>
            <w:tcW w:w="1275" w:type="dxa"/>
            <w:vAlign w:val="center"/>
          </w:tcPr>
          <w:p>
            <w:pPr>
              <w:jc w:val="left"/>
              <w:rPr>
                <w:rFonts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其他党委办公厅（室）及相关机构事务支出</w:t>
            </w:r>
          </w:p>
        </w:tc>
        <w:tc>
          <w:tcPr>
            <w:tcW w:w="855" w:type="dxa"/>
          </w:tcPr>
          <w:p>
            <w:pPr>
              <w:widowControl/>
              <w:jc w:val="lef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AK替代项目（2025年非定额）　</w:t>
            </w:r>
          </w:p>
        </w:tc>
        <w:tc>
          <w:tcPr>
            <w:tcW w:w="930" w:type="dxa"/>
            <w:vAlign w:val="center"/>
          </w:tcPr>
          <w:p>
            <w:pPr>
              <w:widowControl/>
              <w:jc w:val="center"/>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277.47</w:t>
            </w:r>
          </w:p>
        </w:tc>
        <w:tc>
          <w:tcPr>
            <w:tcW w:w="570" w:type="dxa"/>
            <w:vAlign w:val="center"/>
          </w:tcPr>
          <w:p>
            <w:pPr>
              <w:widowControl/>
              <w:jc w:val="center"/>
              <w:outlineLvl w:val="1"/>
              <w:rPr>
                <w:rFonts w:asciiTheme="minorEastAsia" w:hAnsiTheme="minorEastAsia" w:eastAsiaTheme="minorEastAsia"/>
                <w:kern w:val="0"/>
                <w:sz w:val="20"/>
                <w:szCs w:val="20"/>
                <w:highlight w:val="none"/>
              </w:rPr>
            </w:pPr>
          </w:p>
        </w:tc>
        <w:tc>
          <w:tcPr>
            <w:tcW w:w="795" w:type="dxa"/>
            <w:vAlign w:val="center"/>
          </w:tcPr>
          <w:p>
            <w:pPr>
              <w:widowControl/>
              <w:jc w:val="center"/>
              <w:outlineLvl w:val="1"/>
              <w:rPr>
                <w:rFonts w:asciiTheme="minorEastAsia" w:hAnsiTheme="minorEastAsia" w:eastAsiaTheme="minorEastAsia"/>
                <w:kern w:val="0"/>
                <w:sz w:val="20"/>
                <w:szCs w:val="20"/>
                <w:highlight w:val="none"/>
              </w:rPr>
            </w:pPr>
          </w:p>
        </w:tc>
        <w:tc>
          <w:tcPr>
            <w:tcW w:w="615" w:type="dxa"/>
            <w:vAlign w:val="center"/>
          </w:tcPr>
          <w:p>
            <w:pPr>
              <w:widowControl/>
              <w:jc w:val="center"/>
              <w:outlineLvl w:val="1"/>
              <w:rPr>
                <w:rFonts w:asciiTheme="minorEastAsia" w:hAnsiTheme="minorEastAsia" w:eastAsiaTheme="minorEastAsia"/>
                <w:kern w:val="0"/>
                <w:sz w:val="20"/>
                <w:szCs w:val="20"/>
                <w:highlight w:val="none"/>
              </w:rPr>
            </w:pPr>
          </w:p>
        </w:tc>
        <w:tc>
          <w:tcPr>
            <w:tcW w:w="450" w:type="dxa"/>
            <w:vAlign w:val="center"/>
          </w:tcPr>
          <w:p>
            <w:pPr>
              <w:widowControl/>
              <w:jc w:val="center"/>
              <w:outlineLvl w:val="1"/>
              <w:rPr>
                <w:rFonts w:asciiTheme="minorEastAsia" w:hAnsiTheme="minorEastAsia" w:eastAsiaTheme="minorEastAsia"/>
                <w:kern w:val="0"/>
                <w:sz w:val="20"/>
                <w:szCs w:val="20"/>
                <w:highlight w:val="none"/>
              </w:rPr>
            </w:pPr>
          </w:p>
        </w:tc>
        <w:tc>
          <w:tcPr>
            <w:tcW w:w="465" w:type="dxa"/>
            <w:vAlign w:val="center"/>
          </w:tcPr>
          <w:p>
            <w:pPr>
              <w:widowControl/>
              <w:jc w:val="center"/>
              <w:outlineLvl w:val="1"/>
              <w:rPr>
                <w:rFonts w:asciiTheme="minorEastAsia" w:hAnsiTheme="minorEastAsia" w:eastAsiaTheme="minorEastAsia"/>
                <w:kern w:val="0"/>
                <w:sz w:val="20"/>
                <w:szCs w:val="20"/>
                <w:highlight w:val="none"/>
              </w:rPr>
            </w:pPr>
          </w:p>
        </w:tc>
        <w:tc>
          <w:tcPr>
            <w:tcW w:w="900" w:type="dxa"/>
            <w:vAlign w:val="center"/>
          </w:tcPr>
          <w:p>
            <w:pPr>
              <w:widowControl/>
              <w:jc w:val="center"/>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277.47</w:t>
            </w:r>
          </w:p>
        </w:tc>
        <w:tc>
          <w:tcPr>
            <w:tcW w:w="510"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375"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420"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435"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vAlign w:val="center"/>
          </w:tcPr>
          <w:p>
            <w:pPr>
              <w:jc w:val="center"/>
              <w:rPr>
                <w:rFonts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201</w:t>
            </w:r>
          </w:p>
        </w:tc>
        <w:tc>
          <w:tcPr>
            <w:tcW w:w="465" w:type="dxa"/>
            <w:vAlign w:val="center"/>
          </w:tcPr>
          <w:p>
            <w:pPr>
              <w:jc w:val="center"/>
              <w:rPr>
                <w:rFonts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31</w:t>
            </w:r>
          </w:p>
        </w:tc>
        <w:tc>
          <w:tcPr>
            <w:tcW w:w="450" w:type="dxa"/>
            <w:vAlign w:val="center"/>
          </w:tcPr>
          <w:p>
            <w:pPr>
              <w:jc w:val="center"/>
              <w:rPr>
                <w:rFonts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99</w:t>
            </w:r>
          </w:p>
        </w:tc>
        <w:tc>
          <w:tcPr>
            <w:tcW w:w="1275" w:type="dxa"/>
            <w:vAlign w:val="center"/>
          </w:tcPr>
          <w:p>
            <w:pPr>
              <w:jc w:val="left"/>
              <w:rPr>
                <w:rFonts w:asciiTheme="minorEastAsia" w:hAnsiTheme="minorEastAsia" w:eastAsiaTheme="minorEastAsia"/>
                <w:sz w:val="20"/>
                <w:szCs w:val="20"/>
                <w:highlight w:val="none"/>
              </w:rPr>
            </w:pPr>
            <w:r>
              <w:rPr>
                <w:rFonts w:hint="eastAsia" w:asciiTheme="minorEastAsia" w:hAnsiTheme="minorEastAsia" w:eastAsiaTheme="minorEastAsia"/>
                <w:sz w:val="20"/>
                <w:szCs w:val="20"/>
                <w:highlight w:val="none"/>
              </w:rPr>
              <w:t>其他党委办公厅（室）及相关机构事务支出</w:t>
            </w:r>
          </w:p>
        </w:tc>
        <w:tc>
          <w:tcPr>
            <w:tcW w:w="855" w:type="dxa"/>
          </w:tcPr>
          <w:p>
            <w:pPr>
              <w:widowControl/>
              <w:jc w:val="lef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电子政务内网运维经费（2025年非定额）</w:t>
            </w:r>
          </w:p>
        </w:tc>
        <w:tc>
          <w:tcPr>
            <w:tcW w:w="930" w:type="dxa"/>
            <w:vAlign w:val="center"/>
          </w:tcPr>
          <w:p>
            <w:pPr>
              <w:widowControl/>
              <w:jc w:val="center"/>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28.60</w:t>
            </w:r>
          </w:p>
        </w:tc>
        <w:tc>
          <w:tcPr>
            <w:tcW w:w="570" w:type="dxa"/>
            <w:vAlign w:val="center"/>
          </w:tcPr>
          <w:p>
            <w:pPr>
              <w:widowControl/>
              <w:jc w:val="center"/>
              <w:outlineLvl w:val="1"/>
              <w:rPr>
                <w:rFonts w:asciiTheme="minorEastAsia" w:hAnsiTheme="minorEastAsia" w:eastAsiaTheme="minorEastAsia"/>
                <w:kern w:val="0"/>
                <w:sz w:val="20"/>
                <w:szCs w:val="20"/>
                <w:highlight w:val="none"/>
              </w:rPr>
            </w:pPr>
          </w:p>
        </w:tc>
        <w:tc>
          <w:tcPr>
            <w:tcW w:w="795" w:type="dxa"/>
            <w:vAlign w:val="center"/>
          </w:tcPr>
          <w:p>
            <w:pPr>
              <w:widowControl/>
              <w:jc w:val="center"/>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28.60</w:t>
            </w:r>
          </w:p>
        </w:tc>
        <w:tc>
          <w:tcPr>
            <w:tcW w:w="615" w:type="dxa"/>
            <w:vAlign w:val="center"/>
          </w:tcPr>
          <w:p>
            <w:pPr>
              <w:widowControl/>
              <w:jc w:val="center"/>
              <w:outlineLvl w:val="1"/>
              <w:rPr>
                <w:rFonts w:asciiTheme="minorEastAsia" w:hAnsiTheme="minorEastAsia" w:eastAsiaTheme="minorEastAsia"/>
                <w:kern w:val="0"/>
                <w:sz w:val="20"/>
                <w:szCs w:val="20"/>
                <w:highlight w:val="none"/>
              </w:rPr>
            </w:pPr>
          </w:p>
        </w:tc>
        <w:tc>
          <w:tcPr>
            <w:tcW w:w="450" w:type="dxa"/>
            <w:vAlign w:val="center"/>
          </w:tcPr>
          <w:p>
            <w:pPr>
              <w:widowControl/>
              <w:jc w:val="center"/>
              <w:outlineLvl w:val="1"/>
              <w:rPr>
                <w:rFonts w:asciiTheme="minorEastAsia" w:hAnsiTheme="minorEastAsia" w:eastAsiaTheme="minorEastAsia"/>
                <w:kern w:val="0"/>
                <w:sz w:val="20"/>
                <w:szCs w:val="20"/>
                <w:highlight w:val="none"/>
              </w:rPr>
            </w:pPr>
          </w:p>
        </w:tc>
        <w:tc>
          <w:tcPr>
            <w:tcW w:w="465" w:type="dxa"/>
            <w:vAlign w:val="center"/>
          </w:tcPr>
          <w:p>
            <w:pPr>
              <w:widowControl/>
              <w:jc w:val="center"/>
              <w:outlineLvl w:val="1"/>
              <w:rPr>
                <w:rFonts w:asciiTheme="minorEastAsia" w:hAnsiTheme="minorEastAsia" w:eastAsiaTheme="minorEastAsia"/>
                <w:kern w:val="0"/>
                <w:sz w:val="20"/>
                <w:szCs w:val="20"/>
                <w:highlight w:val="none"/>
              </w:rPr>
            </w:pPr>
          </w:p>
        </w:tc>
        <w:tc>
          <w:tcPr>
            <w:tcW w:w="900" w:type="dxa"/>
            <w:vAlign w:val="center"/>
          </w:tcPr>
          <w:p>
            <w:pPr>
              <w:widowControl/>
              <w:jc w:val="center"/>
              <w:outlineLvl w:val="1"/>
              <w:rPr>
                <w:rFonts w:asciiTheme="minorEastAsia" w:hAnsiTheme="minorEastAsia" w:eastAsiaTheme="minorEastAsia"/>
                <w:kern w:val="0"/>
                <w:sz w:val="20"/>
                <w:szCs w:val="20"/>
                <w:highlight w:val="none"/>
              </w:rPr>
            </w:pPr>
          </w:p>
        </w:tc>
        <w:tc>
          <w:tcPr>
            <w:tcW w:w="510"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375"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420"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c>
          <w:tcPr>
            <w:tcW w:w="435" w:type="dxa"/>
            <w:vAlign w:val="center"/>
          </w:tcPr>
          <w:p>
            <w:pPr>
              <w:widowControl/>
              <w:jc w:val="right"/>
              <w:outlineLvl w:val="1"/>
              <w:rPr>
                <w:rFonts w:asciiTheme="minorEastAsia" w:hAnsiTheme="minorEastAsia" w:eastAsiaTheme="minorEastAsia"/>
                <w:kern w:val="0"/>
                <w:sz w:val="20"/>
                <w:szCs w:val="20"/>
                <w:highlight w:val="none"/>
              </w:rPr>
            </w:pPr>
            <w:r>
              <w:rPr>
                <w:rFonts w:hint="eastAsia" w:asciiTheme="minorEastAsia" w:hAnsiTheme="minorEastAsia" w:eastAsiaTheme="minorEastAsia"/>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trPr>
        <w:tc>
          <w:tcPr>
            <w:tcW w:w="525" w:type="dxa"/>
          </w:tcPr>
          <w:p>
            <w:pPr>
              <w:widowControl/>
              <w:jc w:val="lef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465" w:type="dxa"/>
          </w:tcPr>
          <w:p>
            <w:pPr>
              <w:widowControl/>
              <w:jc w:val="lef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450" w:type="dxa"/>
          </w:tcPr>
          <w:p>
            <w:pPr>
              <w:widowControl/>
              <w:jc w:val="lef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1275" w:type="dxa"/>
          </w:tcPr>
          <w:p>
            <w:pPr>
              <w:widowControl/>
              <w:jc w:val="lef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855" w:type="dxa"/>
            <w:vAlign w:val="center"/>
          </w:tcPr>
          <w:p>
            <w:pPr>
              <w:widowControl/>
              <w:jc w:val="center"/>
              <w:outlineLvl w:val="1"/>
              <w:rPr>
                <w:rFonts w:ascii="仿宋_GB2312" w:hAnsi="宋体" w:eastAsia="仿宋_GB2312"/>
                <w:b/>
                <w:kern w:val="0"/>
                <w:sz w:val="32"/>
                <w:szCs w:val="32"/>
                <w:highlight w:val="none"/>
              </w:rPr>
            </w:pPr>
            <w:r>
              <w:rPr>
                <w:rFonts w:hint="eastAsia" w:ascii="仿宋_GB2312" w:hAnsi="宋体" w:eastAsia="仿宋_GB2312"/>
                <w:b/>
                <w:bCs/>
                <w:kern w:val="0"/>
                <w:sz w:val="20"/>
                <w:szCs w:val="20"/>
                <w:highlight w:val="none"/>
              </w:rPr>
              <w:t>合 计</w:t>
            </w:r>
          </w:p>
        </w:tc>
        <w:tc>
          <w:tcPr>
            <w:tcW w:w="930" w:type="dxa"/>
            <w:vAlign w:val="center"/>
          </w:tcPr>
          <w:p>
            <w:pPr>
              <w:widowControl/>
              <w:jc w:val="both"/>
              <w:outlineLvl w:val="1"/>
              <w:rPr>
                <w:rFonts w:ascii="仿宋_GB2312" w:hAnsi="宋体" w:eastAsia="仿宋_GB2312"/>
                <w:b/>
                <w:kern w:val="0"/>
                <w:szCs w:val="21"/>
                <w:highlight w:val="none"/>
              </w:rPr>
            </w:pPr>
            <w:r>
              <w:rPr>
                <w:rFonts w:hint="eastAsia" w:ascii="仿宋_GB2312" w:hAnsi="宋体" w:eastAsia="仿宋_GB2312"/>
                <w:b/>
                <w:kern w:val="0"/>
                <w:szCs w:val="21"/>
                <w:highlight w:val="none"/>
              </w:rPr>
              <w:t>306.</w:t>
            </w:r>
            <w:r>
              <w:rPr>
                <w:rFonts w:hint="eastAsia" w:ascii="仿宋_GB2312" w:hAnsi="宋体" w:eastAsia="仿宋_GB2312"/>
                <w:b/>
                <w:kern w:val="0"/>
                <w:szCs w:val="21"/>
                <w:highlight w:val="none"/>
                <w:lang w:val="en-US" w:eastAsia="zh-CN"/>
              </w:rPr>
              <w:t>0</w:t>
            </w:r>
            <w:r>
              <w:rPr>
                <w:rFonts w:hint="eastAsia" w:ascii="仿宋_GB2312" w:hAnsi="宋体" w:eastAsia="仿宋_GB2312"/>
                <w:b/>
                <w:kern w:val="0"/>
                <w:szCs w:val="21"/>
                <w:highlight w:val="none"/>
              </w:rPr>
              <w:t>7</w:t>
            </w:r>
          </w:p>
        </w:tc>
        <w:tc>
          <w:tcPr>
            <w:tcW w:w="570" w:type="dxa"/>
            <w:vAlign w:val="center"/>
          </w:tcPr>
          <w:p>
            <w:pPr>
              <w:widowControl/>
              <w:jc w:val="righ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795" w:type="dxa"/>
            <w:vAlign w:val="center"/>
          </w:tcPr>
          <w:p>
            <w:pPr>
              <w:widowControl/>
              <w:jc w:val="righ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28.60</w:t>
            </w:r>
          </w:p>
        </w:tc>
        <w:tc>
          <w:tcPr>
            <w:tcW w:w="615" w:type="dxa"/>
            <w:vAlign w:val="center"/>
          </w:tcPr>
          <w:p>
            <w:pPr>
              <w:widowControl/>
              <w:jc w:val="righ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450" w:type="dxa"/>
            <w:vAlign w:val="center"/>
          </w:tcPr>
          <w:p>
            <w:pPr>
              <w:widowControl/>
              <w:jc w:val="righ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465" w:type="dxa"/>
            <w:vAlign w:val="center"/>
          </w:tcPr>
          <w:p>
            <w:pPr>
              <w:widowControl/>
              <w:jc w:val="righ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900" w:type="dxa"/>
            <w:vAlign w:val="center"/>
          </w:tcPr>
          <w:p>
            <w:pPr>
              <w:widowControl/>
              <w:jc w:val="right"/>
              <w:outlineLvl w:val="1"/>
              <w:rPr>
                <w:rFonts w:ascii="仿宋_GB2312" w:hAnsi="宋体" w:eastAsia="仿宋_GB2312"/>
                <w:b/>
                <w:kern w:val="0"/>
                <w:szCs w:val="21"/>
                <w:highlight w:val="none"/>
              </w:rPr>
            </w:pPr>
            <w:r>
              <w:rPr>
                <w:rFonts w:hint="eastAsia" w:ascii="仿宋_GB2312" w:hAnsi="宋体" w:eastAsia="仿宋_GB2312"/>
                <w:b/>
                <w:kern w:val="0"/>
                <w:szCs w:val="21"/>
                <w:highlight w:val="none"/>
              </w:rPr>
              <w:t>277.47　</w:t>
            </w:r>
          </w:p>
        </w:tc>
        <w:tc>
          <w:tcPr>
            <w:tcW w:w="510" w:type="dxa"/>
            <w:vAlign w:val="center"/>
          </w:tcPr>
          <w:p>
            <w:pPr>
              <w:widowControl/>
              <w:jc w:val="righ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375" w:type="dxa"/>
            <w:vAlign w:val="center"/>
          </w:tcPr>
          <w:p>
            <w:pPr>
              <w:widowControl/>
              <w:jc w:val="righ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420" w:type="dxa"/>
            <w:vAlign w:val="center"/>
          </w:tcPr>
          <w:p>
            <w:pPr>
              <w:widowControl/>
              <w:jc w:val="righ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c>
          <w:tcPr>
            <w:tcW w:w="435" w:type="dxa"/>
            <w:vAlign w:val="center"/>
          </w:tcPr>
          <w:p>
            <w:pPr>
              <w:widowControl/>
              <w:jc w:val="right"/>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　</w:t>
            </w:r>
          </w:p>
        </w:tc>
      </w:tr>
    </w:tbl>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p>
      <w:pPr>
        <w:widowControl/>
        <w:spacing w:line="280" w:lineRule="exact"/>
        <w:jc w:val="left"/>
        <w:rPr>
          <w:rFonts w:hint="eastAsia" w:ascii="仿宋_GB2312" w:hAnsi="宋体" w:eastAsia="仿宋_GB2312"/>
          <w:kern w:val="0"/>
          <w:sz w:val="24"/>
          <w:highlight w:val="none"/>
        </w:rPr>
      </w:pPr>
    </w:p>
    <w:p>
      <w:pPr>
        <w:widowControl/>
        <w:spacing w:line="280" w:lineRule="exact"/>
        <w:jc w:val="left"/>
        <w:rPr>
          <w:rFonts w:ascii="仿宋_GB2312" w:hAnsi="宋体" w:eastAsia="仿宋_GB2312"/>
          <w:kern w:val="0"/>
          <w:sz w:val="24"/>
          <w:highlight w:val="none"/>
        </w:rPr>
      </w:pPr>
      <w:r>
        <w:rPr>
          <w:rFonts w:hint="eastAsia" w:ascii="仿宋_GB2312" w:hAnsi="宋体" w:eastAsia="仿宋_GB2312"/>
          <w:kern w:val="0"/>
          <w:sz w:val="24"/>
          <w:highlight w:val="none"/>
        </w:rPr>
        <w:t>编制部门：</w:t>
      </w:r>
      <w:r>
        <w:rPr>
          <w:rFonts w:hint="eastAsia" w:ascii="仿宋_GB2312" w:hAnsi="宋体" w:eastAsia="仿宋_GB2312" w:cs="宋体"/>
          <w:kern w:val="0"/>
          <w:sz w:val="24"/>
          <w:highlight w:val="none"/>
        </w:rPr>
        <w:t>中共呼图壁县委员会机要保密局                         单位：万元</w:t>
      </w:r>
      <w:r>
        <w:rPr>
          <w:rFonts w:hint="eastAsia" w:ascii="仿宋_GB2312" w:hAnsi="宋体" w:eastAsia="仿宋_GB2312"/>
          <w:kern w:val="0"/>
          <w:sz w:val="24"/>
          <w:highlight w:val="none"/>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bl>
    <w:p>
      <w:pPr>
        <w:widowControl/>
        <w:jc w:val="left"/>
        <w:rPr>
          <w:rFonts w:ascii="仿宋" w:eastAsia="仿宋"/>
          <w:b/>
          <w:color w:val="000000"/>
          <w:szCs w:val="21"/>
          <w:highlight w:val="none"/>
        </w:rPr>
      </w:pPr>
      <w:r>
        <w:rPr>
          <w:rFonts w:hint="eastAsia" w:ascii="仿宋" w:eastAsia="仿宋"/>
          <w:b/>
          <w:color w:val="000000"/>
          <w:szCs w:val="21"/>
          <w:highlight w:val="none"/>
        </w:rPr>
        <w:t>中共呼图壁县委员会机要保密局2025年没有使用政府性基金预算拨款安排的支出，政府性基金预算支出情况表为空表。</w:t>
      </w:r>
    </w:p>
    <w:p>
      <w:pPr>
        <w:widowControl/>
        <w:spacing w:line="280" w:lineRule="exact"/>
        <w:outlineLvl w:val="1"/>
        <w:rPr>
          <w:rFonts w:ascii="仿宋_GB2312" w:hAnsi="宋体" w:eastAsia="仿宋_GB2312"/>
          <w:b/>
          <w:kern w:val="0"/>
          <w:sz w:val="28"/>
          <w:szCs w:val="32"/>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ascii="仿宋_GB2312" w:hAnsi="宋体" w:eastAsia="仿宋_GB2312"/>
          <w:b/>
          <w:kern w:val="0"/>
          <w:sz w:val="28"/>
          <w:szCs w:val="32"/>
          <w:highlight w:val="none"/>
        </w:rPr>
      </w:pPr>
      <w:r>
        <w:rPr>
          <w:rFonts w:hint="eastAsia" w:ascii="宋体" w:hAnsi="宋体" w:cs="宋体"/>
          <w:kern w:val="0"/>
          <w:sz w:val="20"/>
          <w:szCs w:val="20"/>
          <w:highlight w:val="none"/>
        </w:rPr>
        <w:t>表9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spacing w:line="280" w:lineRule="exact"/>
        <w:jc w:val="left"/>
        <w:rPr>
          <w:rFonts w:hint="eastAsia" w:ascii="仿宋_GB2312" w:hAnsi="宋体" w:eastAsia="仿宋_GB2312"/>
          <w:kern w:val="0"/>
          <w:sz w:val="24"/>
          <w:highlight w:val="none"/>
        </w:rPr>
      </w:pPr>
    </w:p>
    <w:p>
      <w:pPr>
        <w:widowControl/>
        <w:spacing w:line="280" w:lineRule="exact"/>
        <w:jc w:val="left"/>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编制部门：中共呼图壁县委员会机要保密局                     单位：万元</w:t>
      </w:r>
    </w:p>
    <w:tbl>
      <w:tblPr>
        <w:tblStyle w:val="7"/>
        <w:tblW w:w="9233" w:type="dxa"/>
        <w:tblInd w:w="-34" w:type="dxa"/>
        <w:tblLayout w:type="autofit"/>
        <w:tblCellMar>
          <w:top w:w="0" w:type="dxa"/>
          <w:left w:w="108" w:type="dxa"/>
          <w:bottom w:w="0" w:type="dxa"/>
          <w:right w:w="108" w:type="dxa"/>
        </w:tblCellMar>
      </w:tblPr>
      <w:tblGrid>
        <w:gridCol w:w="586"/>
        <w:gridCol w:w="688"/>
        <w:gridCol w:w="658"/>
        <w:gridCol w:w="2362"/>
        <w:gridCol w:w="1377"/>
        <w:gridCol w:w="1057"/>
        <w:gridCol w:w="1104"/>
        <w:gridCol w:w="1401"/>
      </w:tblGrid>
      <w:tr>
        <w:tblPrEx>
          <w:tblCellMar>
            <w:top w:w="0" w:type="dxa"/>
            <w:left w:w="108" w:type="dxa"/>
            <w:bottom w:w="0" w:type="dxa"/>
            <w:right w:w="108" w:type="dxa"/>
          </w:tblCellMar>
        </w:tblPrEx>
        <w:trPr>
          <w:trHeight w:val="494" w:hRule="atLeast"/>
        </w:trPr>
        <w:tc>
          <w:tcPr>
            <w:tcW w:w="429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3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国有资本经营预算支出</w:t>
            </w:r>
          </w:p>
        </w:tc>
      </w:tr>
      <w:tr>
        <w:tblPrEx>
          <w:tblCellMar>
            <w:top w:w="0" w:type="dxa"/>
            <w:left w:w="108" w:type="dxa"/>
            <w:bottom w:w="0" w:type="dxa"/>
            <w:right w:w="108" w:type="dxa"/>
          </w:tblCellMar>
        </w:tblPrEx>
        <w:trPr>
          <w:trHeight w:val="841" w:hRule="atLeast"/>
        </w:trPr>
        <w:tc>
          <w:tcPr>
            <w:tcW w:w="1932"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62"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161"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401"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33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p>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p>
        </w:tc>
        <w:tc>
          <w:tcPr>
            <w:tcW w:w="137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p>
        </w:tc>
        <w:tc>
          <w:tcPr>
            <w:tcW w:w="10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　</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541" w:hRule="atLeast"/>
        </w:trPr>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401"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highlight w:val="none"/>
              </w:rPr>
            </w:pPr>
            <w:r>
              <w:rPr>
                <w:rFonts w:hint="eastAsia" w:ascii="仿宋_GB2312" w:hAnsi="宋体" w:eastAsia="仿宋_GB2312" w:cs="宋体"/>
                <w:kern w:val="0"/>
                <w:sz w:val="24"/>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highlight w:val="none"/>
              </w:rPr>
            </w:pPr>
            <w:r>
              <w:rPr>
                <w:rFonts w:hint="eastAsia" w:ascii="宋体" w:hAnsi="宋体" w:cs="宋体"/>
                <w:kern w:val="0"/>
                <w:sz w:val="24"/>
                <w:highlight w:val="none"/>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bl>
    <w:p>
      <w:pPr>
        <w:widowControl/>
        <w:spacing w:line="280" w:lineRule="exact"/>
        <w:outlineLvl w:val="1"/>
        <w:rPr>
          <w:rFonts w:ascii="仿宋_GB2312" w:hAnsi="宋体" w:eastAsia="仿宋_GB2312"/>
          <w:b/>
          <w:kern w:val="0"/>
          <w:sz w:val="28"/>
          <w:szCs w:val="32"/>
          <w:highlight w:val="none"/>
        </w:rPr>
      </w:pPr>
    </w:p>
    <w:p>
      <w:pPr>
        <w:widowControl/>
        <w:spacing w:line="280" w:lineRule="exact"/>
        <w:outlineLvl w:val="1"/>
        <w:rPr>
          <w:rFonts w:ascii="仿宋_GB2312" w:hAnsi="宋体" w:eastAsia="仿宋_GB2312"/>
          <w:kern w:val="0"/>
          <w:szCs w:val="21"/>
          <w:highlight w:val="none"/>
        </w:rPr>
      </w:pPr>
      <w:r>
        <w:rPr>
          <w:rFonts w:hint="eastAsia" w:ascii="仿宋_GB2312" w:hAnsi="宋体" w:eastAsia="仿宋_GB2312"/>
          <w:b/>
          <w:kern w:val="0"/>
          <w:szCs w:val="21"/>
          <w:highlight w:val="none"/>
        </w:rPr>
        <w:t>中共呼图壁县委员会机要保密局2025年没有使用国有资本经营预算拨款安排的支出，国有资本经营预算支出情况表为空表。</w:t>
      </w:r>
    </w:p>
    <w:p>
      <w:pPr>
        <w:widowControl/>
        <w:jc w:val="left"/>
        <w:textAlignment w:val="bottom"/>
        <w:rPr>
          <w:rFonts w:hint="eastAsia" w:ascii="宋体" w:hAnsi="宋体" w:cs="宋体"/>
          <w:kern w:val="0"/>
          <w:sz w:val="20"/>
          <w:szCs w:val="20"/>
          <w:highlight w:val="none"/>
        </w:rPr>
      </w:pPr>
    </w:p>
    <w:p>
      <w:pPr>
        <w:widowControl/>
        <w:jc w:val="left"/>
        <w:textAlignment w:val="bottom"/>
        <w:rPr>
          <w:rFonts w:hint="eastAsia"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10</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财政拨款“三公”经费支出情况表</w:t>
      </w:r>
    </w:p>
    <w:p>
      <w:pPr>
        <w:widowControl/>
        <w:spacing w:line="280" w:lineRule="exact"/>
        <w:jc w:val="left"/>
        <w:rPr>
          <w:rFonts w:hint="eastAsia" w:ascii="仿宋_GB2312" w:hAnsi="宋体" w:eastAsia="仿宋_GB2312"/>
          <w:kern w:val="0"/>
          <w:sz w:val="24"/>
          <w:highlight w:val="none"/>
        </w:rPr>
      </w:pPr>
    </w:p>
    <w:p>
      <w:pPr>
        <w:widowControl/>
        <w:spacing w:line="280" w:lineRule="exact"/>
        <w:jc w:val="left"/>
        <w:rPr>
          <w:rFonts w:ascii="仿宋_GB2312" w:hAnsi="宋体" w:eastAsia="仿宋_GB2312"/>
          <w:kern w:val="0"/>
          <w:sz w:val="24"/>
          <w:highlight w:val="none"/>
        </w:rPr>
      </w:pPr>
      <w:r>
        <w:rPr>
          <w:rFonts w:hint="eastAsia" w:ascii="仿宋_GB2312" w:hAnsi="宋体" w:eastAsia="仿宋_GB2312"/>
          <w:kern w:val="0"/>
          <w:sz w:val="24"/>
          <w:highlight w:val="none"/>
        </w:rPr>
        <w:t>编制部门： 中共呼图壁县委员会机要保密局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4530" w:type="dxa"/>
            <w:gridSpan w:val="3"/>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highlight w:val="none"/>
              </w:rPr>
            </w:pPr>
          </w:p>
        </w:tc>
        <w:tc>
          <w:tcPr>
            <w:tcW w:w="1215" w:type="dxa"/>
            <w:vMerge w:val="continue"/>
          </w:tcPr>
          <w:p>
            <w:pPr>
              <w:widowControl/>
              <w:outlineLvl w:val="1"/>
              <w:rPr>
                <w:rFonts w:ascii="仿宋_GB2312" w:hAnsi="宋体" w:eastAsia="仿宋_GB2312"/>
                <w:b/>
                <w:kern w:val="0"/>
                <w:sz w:val="28"/>
                <w:szCs w:val="32"/>
                <w:highlight w:val="none"/>
              </w:rPr>
            </w:pPr>
          </w:p>
        </w:tc>
        <w:tc>
          <w:tcPr>
            <w:tcW w:w="1314"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一般公共预算</w:t>
            </w:r>
          </w:p>
        </w:tc>
        <w:tc>
          <w:tcPr>
            <w:tcW w:w="1595"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621"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1215" w:type="dxa"/>
            <w:vAlign w:val="center"/>
          </w:tcPr>
          <w:p>
            <w:pPr>
              <w:widowControl/>
              <w:jc w:val="right"/>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0.884</w:t>
            </w:r>
          </w:p>
        </w:tc>
        <w:tc>
          <w:tcPr>
            <w:tcW w:w="1314" w:type="dxa"/>
            <w:vAlign w:val="center"/>
          </w:tcPr>
          <w:p>
            <w:pPr>
              <w:widowControl/>
              <w:jc w:val="right"/>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0.884</w:t>
            </w:r>
          </w:p>
        </w:tc>
        <w:tc>
          <w:tcPr>
            <w:tcW w:w="1595" w:type="dxa"/>
          </w:tcPr>
          <w:p>
            <w:pPr>
              <w:widowControl/>
              <w:outlineLvl w:val="1"/>
              <w:rPr>
                <w:rFonts w:ascii="仿宋_GB2312" w:hAnsi="宋体" w:eastAsia="仿宋_GB2312"/>
                <w:b/>
                <w:kern w:val="0"/>
                <w:sz w:val="28"/>
                <w:szCs w:val="32"/>
                <w:highlight w:val="none"/>
              </w:rPr>
            </w:pPr>
          </w:p>
        </w:tc>
        <w:tc>
          <w:tcPr>
            <w:tcW w:w="1621" w:type="dxa"/>
          </w:tcPr>
          <w:p>
            <w:pPr>
              <w:widowControl/>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因公出国（境）费</w:t>
            </w:r>
          </w:p>
        </w:tc>
        <w:tc>
          <w:tcPr>
            <w:tcW w:w="1215" w:type="dxa"/>
            <w:vAlign w:val="center"/>
          </w:tcPr>
          <w:p>
            <w:pPr>
              <w:widowControl/>
              <w:jc w:val="right"/>
              <w:outlineLvl w:val="1"/>
              <w:rPr>
                <w:rFonts w:ascii="仿宋_GB2312" w:hAnsi="宋体" w:eastAsia="仿宋_GB2312"/>
                <w:kern w:val="0"/>
                <w:sz w:val="20"/>
                <w:szCs w:val="20"/>
                <w:highlight w:val="none"/>
              </w:rPr>
            </w:pPr>
          </w:p>
        </w:tc>
        <w:tc>
          <w:tcPr>
            <w:tcW w:w="1314" w:type="dxa"/>
            <w:vAlign w:val="center"/>
          </w:tcPr>
          <w:p>
            <w:pPr>
              <w:widowControl/>
              <w:jc w:val="right"/>
              <w:outlineLvl w:val="1"/>
              <w:rPr>
                <w:rFonts w:ascii="仿宋_GB2312" w:hAnsi="宋体" w:eastAsia="仿宋_GB2312"/>
                <w:kern w:val="0"/>
                <w:sz w:val="20"/>
                <w:szCs w:val="20"/>
                <w:highlight w:val="none"/>
              </w:rPr>
            </w:pPr>
          </w:p>
        </w:tc>
        <w:tc>
          <w:tcPr>
            <w:tcW w:w="1595" w:type="dxa"/>
          </w:tcPr>
          <w:p>
            <w:pPr>
              <w:widowControl/>
              <w:outlineLvl w:val="1"/>
              <w:rPr>
                <w:rFonts w:ascii="仿宋_GB2312" w:hAnsi="宋体" w:eastAsia="仿宋_GB2312"/>
                <w:b/>
                <w:kern w:val="0"/>
                <w:sz w:val="28"/>
                <w:szCs w:val="32"/>
                <w:highlight w:val="none"/>
              </w:rPr>
            </w:pPr>
          </w:p>
        </w:tc>
        <w:tc>
          <w:tcPr>
            <w:tcW w:w="1621" w:type="dxa"/>
          </w:tcPr>
          <w:p>
            <w:pPr>
              <w:widowControl/>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公务接待费</w:t>
            </w:r>
          </w:p>
        </w:tc>
        <w:tc>
          <w:tcPr>
            <w:tcW w:w="1215" w:type="dxa"/>
            <w:vAlign w:val="center"/>
          </w:tcPr>
          <w:p>
            <w:pPr>
              <w:widowControl/>
              <w:jc w:val="right"/>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0.10</w:t>
            </w:r>
          </w:p>
        </w:tc>
        <w:tc>
          <w:tcPr>
            <w:tcW w:w="1314" w:type="dxa"/>
            <w:vAlign w:val="center"/>
          </w:tcPr>
          <w:p>
            <w:pPr>
              <w:widowControl/>
              <w:jc w:val="right"/>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0.10</w:t>
            </w:r>
          </w:p>
        </w:tc>
        <w:tc>
          <w:tcPr>
            <w:tcW w:w="1595" w:type="dxa"/>
          </w:tcPr>
          <w:p>
            <w:pPr>
              <w:widowControl/>
              <w:outlineLvl w:val="1"/>
              <w:rPr>
                <w:rFonts w:ascii="仿宋_GB2312" w:hAnsi="宋体" w:eastAsia="仿宋_GB2312"/>
                <w:b/>
                <w:kern w:val="0"/>
                <w:sz w:val="28"/>
                <w:szCs w:val="32"/>
                <w:highlight w:val="none"/>
              </w:rPr>
            </w:pPr>
          </w:p>
        </w:tc>
        <w:tc>
          <w:tcPr>
            <w:tcW w:w="1621" w:type="dxa"/>
          </w:tcPr>
          <w:p>
            <w:pPr>
              <w:widowControl/>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公务用车购置及运行费</w:t>
            </w:r>
          </w:p>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（小计）</w:t>
            </w:r>
          </w:p>
        </w:tc>
        <w:tc>
          <w:tcPr>
            <w:tcW w:w="1215" w:type="dxa"/>
            <w:vAlign w:val="center"/>
          </w:tcPr>
          <w:p>
            <w:pPr>
              <w:widowControl/>
              <w:jc w:val="right"/>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0.784</w:t>
            </w:r>
          </w:p>
        </w:tc>
        <w:tc>
          <w:tcPr>
            <w:tcW w:w="1314" w:type="dxa"/>
            <w:vAlign w:val="center"/>
          </w:tcPr>
          <w:p>
            <w:pPr>
              <w:widowControl/>
              <w:jc w:val="right"/>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0.784</w:t>
            </w:r>
          </w:p>
        </w:tc>
        <w:tc>
          <w:tcPr>
            <w:tcW w:w="1595" w:type="dxa"/>
          </w:tcPr>
          <w:p>
            <w:pPr>
              <w:widowControl/>
              <w:outlineLvl w:val="1"/>
              <w:rPr>
                <w:rFonts w:ascii="仿宋_GB2312" w:hAnsi="宋体" w:eastAsia="仿宋_GB2312"/>
                <w:b/>
                <w:kern w:val="0"/>
                <w:sz w:val="28"/>
                <w:szCs w:val="32"/>
                <w:highlight w:val="none"/>
              </w:rPr>
            </w:pPr>
          </w:p>
        </w:tc>
        <w:tc>
          <w:tcPr>
            <w:tcW w:w="1621" w:type="dxa"/>
          </w:tcPr>
          <w:p>
            <w:pPr>
              <w:widowControl/>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其中：公务用车购置费</w:t>
            </w:r>
          </w:p>
        </w:tc>
        <w:tc>
          <w:tcPr>
            <w:tcW w:w="1215" w:type="dxa"/>
            <w:vAlign w:val="center"/>
          </w:tcPr>
          <w:p>
            <w:pPr>
              <w:widowControl/>
              <w:jc w:val="right"/>
              <w:outlineLvl w:val="1"/>
              <w:rPr>
                <w:rFonts w:ascii="仿宋_GB2312" w:hAnsi="宋体" w:eastAsia="仿宋_GB2312"/>
                <w:kern w:val="0"/>
                <w:sz w:val="20"/>
                <w:szCs w:val="20"/>
                <w:highlight w:val="none"/>
              </w:rPr>
            </w:pPr>
          </w:p>
        </w:tc>
        <w:tc>
          <w:tcPr>
            <w:tcW w:w="1314" w:type="dxa"/>
            <w:vAlign w:val="center"/>
          </w:tcPr>
          <w:p>
            <w:pPr>
              <w:widowControl/>
              <w:jc w:val="right"/>
              <w:outlineLvl w:val="1"/>
              <w:rPr>
                <w:rFonts w:ascii="仿宋_GB2312" w:hAnsi="宋体" w:eastAsia="仿宋_GB2312"/>
                <w:kern w:val="0"/>
                <w:sz w:val="20"/>
                <w:szCs w:val="20"/>
                <w:highlight w:val="none"/>
              </w:rPr>
            </w:pPr>
          </w:p>
        </w:tc>
        <w:tc>
          <w:tcPr>
            <w:tcW w:w="1595" w:type="dxa"/>
          </w:tcPr>
          <w:p>
            <w:pPr>
              <w:widowControl/>
              <w:outlineLvl w:val="1"/>
              <w:rPr>
                <w:rFonts w:ascii="仿宋_GB2312" w:hAnsi="宋体" w:eastAsia="仿宋_GB2312"/>
                <w:b/>
                <w:kern w:val="0"/>
                <w:sz w:val="28"/>
                <w:szCs w:val="32"/>
                <w:highlight w:val="none"/>
              </w:rPr>
            </w:pPr>
          </w:p>
        </w:tc>
        <w:tc>
          <w:tcPr>
            <w:tcW w:w="1621" w:type="dxa"/>
          </w:tcPr>
          <w:p>
            <w:pPr>
              <w:widowControl/>
              <w:outlineLvl w:val="1"/>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 xml:space="preserve">     </w:t>
            </w:r>
            <w:r>
              <w:rPr>
                <w:rFonts w:ascii="仿宋_GB2312" w:hAnsi="宋体" w:eastAsia="仿宋_GB2312"/>
                <w:b/>
                <w:kern w:val="0"/>
                <w:sz w:val="28"/>
                <w:szCs w:val="32"/>
                <w:highlight w:val="none"/>
              </w:rPr>
              <w:t xml:space="preserve">  </w:t>
            </w:r>
            <w:r>
              <w:rPr>
                <w:rFonts w:hint="eastAsia" w:ascii="仿宋_GB2312" w:hAnsi="宋体" w:eastAsia="仿宋_GB2312"/>
                <w:b/>
                <w:kern w:val="0"/>
                <w:sz w:val="28"/>
                <w:szCs w:val="32"/>
                <w:highlight w:val="none"/>
              </w:rPr>
              <w:t xml:space="preserve"> 公务用车运行费</w:t>
            </w:r>
          </w:p>
        </w:tc>
        <w:tc>
          <w:tcPr>
            <w:tcW w:w="1215" w:type="dxa"/>
            <w:vAlign w:val="center"/>
          </w:tcPr>
          <w:p>
            <w:pPr>
              <w:widowControl/>
              <w:jc w:val="right"/>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0.784</w:t>
            </w:r>
          </w:p>
        </w:tc>
        <w:tc>
          <w:tcPr>
            <w:tcW w:w="1314" w:type="dxa"/>
            <w:vAlign w:val="center"/>
          </w:tcPr>
          <w:p>
            <w:pPr>
              <w:widowControl/>
              <w:jc w:val="right"/>
              <w:outlineLvl w:val="1"/>
              <w:rPr>
                <w:rFonts w:ascii="仿宋_GB2312" w:hAnsi="宋体" w:eastAsia="仿宋_GB2312"/>
                <w:kern w:val="0"/>
                <w:sz w:val="20"/>
                <w:szCs w:val="20"/>
                <w:highlight w:val="none"/>
              </w:rPr>
            </w:pPr>
            <w:r>
              <w:rPr>
                <w:rFonts w:hint="eastAsia" w:ascii="仿宋_GB2312" w:hAnsi="宋体" w:eastAsia="仿宋_GB2312"/>
                <w:kern w:val="0"/>
                <w:sz w:val="20"/>
                <w:szCs w:val="20"/>
                <w:highlight w:val="none"/>
              </w:rPr>
              <w:t>0.784</w:t>
            </w:r>
          </w:p>
        </w:tc>
        <w:tc>
          <w:tcPr>
            <w:tcW w:w="1595" w:type="dxa"/>
          </w:tcPr>
          <w:p>
            <w:pPr>
              <w:widowControl/>
              <w:outlineLvl w:val="1"/>
              <w:rPr>
                <w:rFonts w:ascii="仿宋_GB2312" w:hAnsi="宋体" w:eastAsia="仿宋_GB2312"/>
                <w:b/>
                <w:kern w:val="0"/>
                <w:sz w:val="28"/>
                <w:szCs w:val="32"/>
                <w:highlight w:val="none"/>
              </w:rPr>
            </w:pPr>
          </w:p>
        </w:tc>
        <w:tc>
          <w:tcPr>
            <w:tcW w:w="1621" w:type="dxa"/>
          </w:tcPr>
          <w:p>
            <w:pPr>
              <w:widowControl/>
              <w:outlineLvl w:val="1"/>
              <w:rPr>
                <w:rFonts w:ascii="仿宋_GB2312" w:hAnsi="宋体" w:eastAsia="仿宋_GB2312"/>
                <w:b/>
                <w:kern w:val="0"/>
                <w:sz w:val="28"/>
                <w:szCs w:val="32"/>
                <w:highlight w:val="none"/>
              </w:rPr>
            </w:pPr>
          </w:p>
        </w:tc>
      </w:tr>
    </w:tbl>
    <w:p>
      <w:pPr>
        <w:spacing w:line="600" w:lineRule="exact"/>
        <w:ind w:left="640"/>
        <w:jc w:val="center"/>
        <w:rPr>
          <w:rFonts w:hint="eastAsia" w:ascii="仿宋" w:hAnsi="仿宋" w:eastAsia="仿宋" w:cs="仿宋_GB2312"/>
          <w:bCs/>
          <w:kern w:val="0"/>
          <w:sz w:val="28"/>
          <w:szCs w:val="28"/>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rPr>
          <w:rFonts w:ascii="仿宋" w:hAnsi="仿宋" w:eastAsia="仿宋" w:cs="仿宋_GB2312"/>
          <w:bCs/>
          <w:kern w:val="0"/>
          <w:sz w:val="28"/>
          <w:szCs w:val="28"/>
          <w:highlight w:val="none"/>
        </w:rPr>
      </w:pPr>
    </w:p>
    <w:p>
      <w:pPr>
        <w:widowControl/>
        <w:jc w:val="left"/>
        <w:textAlignment w:val="bottom"/>
        <w:rPr>
          <w:rFonts w:ascii="仿宋" w:hAnsi="仿宋" w:eastAsia="仿宋" w:cs="仿宋_GB2312"/>
          <w:bCs/>
          <w:kern w:val="0"/>
          <w:sz w:val="28"/>
          <w:szCs w:val="28"/>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w:t>
      </w:r>
      <w:r>
        <w:rPr>
          <w:rFonts w:hint="eastAsia" w:ascii="宋体" w:hAnsi="宋体" w:cs="宋体"/>
          <w:kern w:val="0"/>
          <w:sz w:val="20"/>
          <w:szCs w:val="20"/>
          <w:highlight w:val="none"/>
        </w:rPr>
        <w:t>1</w:t>
      </w:r>
    </w:p>
    <w:p>
      <w:pPr>
        <w:spacing w:line="600" w:lineRule="exact"/>
        <w:ind w:firstLine="2891" w:firstLineChars="900"/>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上年结转结余情况明细表</w:t>
      </w:r>
    </w:p>
    <w:p>
      <w:pPr>
        <w:widowControl/>
        <w:spacing w:line="280" w:lineRule="exact"/>
        <w:jc w:val="left"/>
        <w:rPr>
          <w:rFonts w:hint="eastAsia" w:ascii="仿宋_GB2312" w:hAnsi="宋体" w:eastAsia="仿宋_GB2312"/>
          <w:kern w:val="0"/>
          <w:sz w:val="24"/>
          <w:highlight w:val="none"/>
        </w:rPr>
      </w:pPr>
    </w:p>
    <w:p>
      <w:pPr>
        <w:widowControl/>
        <w:spacing w:line="280" w:lineRule="exact"/>
        <w:jc w:val="left"/>
        <w:rPr>
          <w:rFonts w:ascii="仿宋_GB2312" w:hAnsi="宋体" w:eastAsia="仿宋_GB2312"/>
          <w:kern w:val="0"/>
          <w:sz w:val="24"/>
          <w:highlight w:val="none"/>
        </w:rPr>
      </w:pPr>
      <w:r>
        <w:rPr>
          <w:rFonts w:hint="eastAsia" w:ascii="仿宋_GB2312" w:hAnsi="宋体" w:eastAsia="仿宋_GB2312"/>
          <w:kern w:val="0"/>
          <w:sz w:val="24"/>
          <w:highlight w:val="none"/>
        </w:rPr>
        <w:t>编制部门：中共呼图壁县委员会机要保密局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highlight w:val="none"/>
              </w:rPr>
            </w:pPr>
          </w:p>
        </w:tc>
        <w:tc>
          <w:tcPr>
            <w:tcW w:w="850" w:type="dxa"/>
            <w:vMerge w:val="continue"/>
            <w:vAlign w:val="center"/>
          </w:tcPr>
          <w:p>
            <w:pPr>
              <w:spacing w:line="600" w:lineRule="exact"/>
              <w:jc w:val="center"/>
              <w:rPr>
                <w:rFonts w:ascii="仿宋" w:hAnsi="仿宋" w:eastAsia="仿宋" w:cs="仿宋_GB2312"/>
                <w:bCs/>
                <w:kern w:val="0"/>
                <w:sz w:val="28"/>
                <w:szCs w:val="28"/>
                <w:highlight w:val="none"/>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highlight w:val="none"/>
              </w:rPr>
            </w:pPr>
          </w:p>
        </w:tc>
        <w:tc>
          <w:tcPr>
            <w:tcW w:w="850" w:type="dxa"/>
            <w:vAlign w:val="center"/>
          </w:tcPr>
          <w:p>
            <w:pPr>
              <w:spacing w:line="600" w:lineRule="exact"/>
              <w:jc w:val="center"/>
              <w:rPr>
                <w:rFonts w:ascii="仿宋" w:hAnsi="仿宋" w:eastAsia="仿宋" w:cs="仿宋_GB2312"/>
                <w:bCs/>
                <w:kern w:val="0"/>
                <w:sz w:val="28"/>
                <w:szCs w:val="28"/>
                <w:highlight w:val="none"/>
              </w:rPr>
            </w:pPr>
          </w:p>
        </w:tc>
        <w:tc>
          <w:tcPr>
            <w:tcW w:w="1054" w:type="dxa"/>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c>
          <w:tcPr>
            <w:tcW w:w="797" w:type="dxa"/>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spacing w:line="600" w:lineRule="exact"/>
              <w:jc w:val="center"/>
              <w:rPr>
                <w:rFonts w:ascii="仿宋" w:hAnsi="仿宋" w:eastAsia="仿宋" w:cs="仿宋_GB2312"/>
                <w:bCs/>
                <w:kern w:val="0"/>
                <w:sz w:val="28"/>
                <w:szCs w:val="28"/>
                <w:highlight w:val="none"/>
              </w:rPr>
            </w:pPr>
          </w:p>
        </w:tc>
        <w:tc>
          <w:tcPr>
            <w:tcW w:w="881" w:type="dxa"/>
            <w:vAlign w:val="center"/>
          </w:tcPr>
          <w:p>
            <w:pPr>
              <w:spacing w:line="600" w:lineRule="exact"/>
              <w:jc w:val="center"/>
              <w:rPr>
                <w:rFonts w:ascii="仿宋" w:hAnsi="仿宋" w:eastAsia="仿宋" w:cs="仿宋_GB2312"/>
                <w:bCs/>
                <w:kern w:val="0"/>
                <w:sz w:val="28"/>
                <w:szCs w:val="28"/>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highlight w:val="none"/>
              </w:rPr>
            </w:pPr>
          </w:p>
        </w:tc>
        <w:tc>
          <w:tcPr>
            <w:tcW w:w="850" w:type="dxa"/>
            <w:vAlign w:val="center"/>
          </w:tcPr>
          <w:p>
            <w:pPr>
              <w:spacing w:line="600" w:lineRule="exact"/>
              <w:jc w:val="center"/>
              <w:rPr>
                <w:rFonts w:ascii="仿宋" w:hAnsi="仿宋" w:eastAsia="仿宋" w:cs="仿宋_GB2312"/>
                <w:bCs/>
                <w:kern w:val="0"/>
                <w:sz w:val="28"/>
                <w:szCs w:val="28"/>
                <w:highlight w:val="none"/>
              </w:rPr>
            </w:pPr>
          </w:p>
        </w:tc>
        <w:tc>
          <w:tcPr>
            <w:tcW w:w="1054" w:type="dxa"/>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c>
          <w:tcPr>
            <w:tcW w:w="797" w:type="dxa"/>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spacing w:line="600" w:lineRule="exact"/>
              <w:jc w:val="center"/>
              <w:rPr>
                <w:rFonts w:ascii="仿宋" w:hAnsi="仿宋" w:eastAsia="仿宋" w:cs="仿宋_GB2312"/>
                <w:bCs/>
                <w:kern w:val="0"/>
                <w:sz w:val="28"/>
                <w:szCs w:val="28"/>
                <w:highlight w:val="none"/>
              </w:rPr>
            </w:pPr>
          </w:p>
        </w:tc>
        <w:tc>
          <w:tcPr>
            <w:tcW w:w="881" w:type="dxa"/>
            <w:vAlign w:val="center"/>
          </w:tcPr>
          <w:p>
            <w:pPr>
              <w:spacing w:line="600" w:lineRule="exact"/>
              <w:jc w:val="center"/>
              <w:rPr>
                <w:rFonts w:ascii="仿宋" w:hAnsi="仿宋" w:eastAsia="仿宋" w:cs="仿宋_GB2312"/>
                <w:bCs/>
                <w:kern w:val="0"/>
                <w:sz w:val="28"/>
                <w:szCs w:val="28"/>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highlight w:val="none"/>
              </w:rPr>
            </w:pPr>
          </w:p>
        </w:tc>
        <w:tc>
          <w:tcPr>
            <w:tcW w:w="850" w:type="dxa"/>
            <w:vAlign w:val="center"/>
          </w:tcPr>
          <w:p>
            <w:pPr>
              <w:spacing w:line="600" w:lineRule="exact"/>
              <w:jc w:val="center"/>
              <w:rPr>
                <w:rFonts w:ascii="仿宋" w:hAnsi="仿宋" w:eastAsia="仿宋" w:cs="仿宋_GB2312"/>
                <w:bCs/>
                <w:kern w:val="0"/>
                <w:sz w:val="28"/>
                <w:szCs w:val="28"/>
                <w:highlight w:val="none"/>
              </w:rPr>
            </w:pPr>
          </w:p>
        </w:tc>
        <w:tc>
          <w:tcPr>
            <w:tcW w:w="1054" w:type="dxa"/>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c>
          <w:tcPr>
            <w:tcW w:w="797" w:type="dxa"/>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spacing w:line="600" w:lineRule="exact"/>
              <w:jc w:val="center"/>
              <w:rPr>
                <w:rFonts w:ascii="仿宋" w:hAnsi="仿宋" w:eastAsia="仿宋" w:cs="仿宋_GB2312"/>
                <w:bCs/>
                <w:kern w:val="0"/>
                <w:sz w:val="28"/>
                <w:szCs w:val="28"/>
                <w:highlight w:val="none"/>
              </w:rPr>
            </w:pPr>
          </w:p>
        </w:tc>
        <w:tc>
          <w:tcPr>
            <w:tcW w:w="881" w:type="dxa"/>
            <w:vAlign w:val="center"/>
          </w:tcPr>
          <w:p>
            <w:pPr>
              <w:spacing w:line="600" w:lineRule="exact"/>
              <w:jc w:val="center"/>
              <w:rPr>
                <w:rFonts w:ascii="仿宋" w:hAnsi="仿宋" w:eastAsia="仿宋" w:cs="仿宋_GB2312"/>
                <w:bCs/>
                <w:kern w:val="0"/>
                <w:sz w:val="28"/>
                <w:szCs w:val="28"/>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highlight w:val="none"/>
              </w:rPr>
            </w:pPr>
          </w:p>
        </w:tc>
        <w:tc>
          <w:tcPr>
            <w:tcW w:w="850" w:type="dxa"/>
            <w:vAlign w:val="center"/>
          </w:tcPr>
          <w:p>
            <w:pPr>
              <w:spacing w:line="600" w:lineRule="exact"/>
              <w:jc w:val="center"/>
              <w:rPr>
                <w:rFonts w:ascii="仿宋" w:hAnsi="仿宋" w:eastAsia="仿宋" w:cs="仿宋_GB2312"/>
                <w:bCs/>
                <w:kern w:val="0"/>
                <w:sz w:val="28"/>
                <w:szCs w:val="28"/>
                <w:highlight w:val="none"/>
              </w:rPr>
            </w:pPr>
            <w:r>
              <w:rPr>
                <w:rFonts w:hint="eastAsia" w:ascii="仿宋_GB2312" w:hAnsi="宋体" w:eastAsia="仿宋_GB2312" w:cs="宋体"/>
                <w:b/>
                <w:bCs/>
                <w:kern w:val="0"/>
                <w:sz w:val="20"/>
                <w:szCs w:val="20"/>
                <w:highlight w:val="none"/>
              </w:rPr>
              <w:t>总计</w:t>
            </w:r>
          </w:p>
        </w:tc>
        <w:tc>
          <w:tcPr>
            <w:tcW w:w="1054" w:type="dxa"/>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c>
          <w:tcPr>
            <w:tcW w:w="797" w:type="dxa"/>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spacing w:line="600" w:lineRule="exact"/>
              <w:jc w:val="center"/>
              <w:rPr>
                <w:rFonts w:ascii="仿宋" w:hAnsi="仿宋" w:eastAsia="仿宋" w:cs="仿宋_GB2312"/>
                <w:bCs/>
                <w:kern w:val="0"/>
                <w:sz w:val="28"/>
                <w:szCs w:val="28"/>
                <w:highlight w:val="none"/>
              </w:rPr>
            </w:pPr>
          </w:p>
        </w:tc>
        <w:tc>
          <w:tcPr>
            <w:tcW w:w="881" w:type="dxa"/>
            <w:vAlign w:val="center"/>
          </w:tcPr>
          <w:p>
            <w:pPr>
              <w:spacing w:line="600" w:lineRule="exact"/>
              <w:jc w:val="center"/>
              <w:rPr>
                <w:rFonts w:ascii="仿宋" w:hAnsi="仿宋" w:eastAsia="仿宋" w:cs="仿宋_GB2312"/>
                <w:bCs/>
                <w:kern w:val="0"/>
                <w:sz w:val="28"/>
                <w:szCs w:val="28"/>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r>
    </w:tbl>
    <w:p>
      <w:pPr>
        <w:widowControl/>
        <w:outlineLvl w:val="1"/>
        <w:rPr>
          <w:rFonts w:ascii="仿宋_GB2312" w:hAnsi="宋体" w:eastAsia="仿宋_GB2312"/>
          <w:color w:val="FF0000"/>
          <w:kern w:val="0"/>
          <w:sz w:val="32"/>
          <w:szCs w:val="32"/>
          <w:highlight w:val="none"/>
        </w:rPr>
      </w:pPr>
      <w:r>
        <w:rPr>
          <w:rFonts w:hint="eastAsia" w:ascii="仿宋" w:eastAsia="仿宋"/>
          <w:b/>
          <w:color w:val="000000"/>
          <w:szCs w:val="21"/>
          <w:highlight w:val="none"/>
        </w:rPr>
        <w:t>中共呼图壁县委员会机要保密局2025年没有上年结转结余预算安排的支出，上年结转结余情况明细表为空表。</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NumType w:fmt="numberInDash"/>
          <w:cols w:space="720" w:num="1"/>
          <w:docGrid w:linePitch="312" w:charSpace="0"/>
        </w:sectPr>
      </w:pP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第三部分  2025年部门预算情况说明</w:t>
      </w:r>
    </w:p>
    <w:p>
      <w:pPr>
        <w:spacing w:line="600" w:lineRule="exact"/>
        <w:ind w:firstLine="640" w:firstLineChars="200"/>
        <w:rPr>
          <w:rFonts w:ascii="黑体" w:hAnsi="黑体" w:eastAsia="黑体"/>
          <w:kern w:val="0"/>
          <w:sz w:val="32"/>
          <w:szCs w:val="32"/>
          <w:highlight w:val="none"/>
        </w:rPr>
      </w:pPr>
    </w:p>
    <w:p>
      <w:pPr>
        <w:spacing w:line="600" w:lineRule="exact"/>
        <w:ind w:firstLine="643" w:firstLineChars="200"/>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一、关于中共呼图壁县委员会机要保密局2025年收支预算情况的总体说明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按照全口径预算的原则，中共呼图壁县委员会机要保密局2025年所有收入和支出均纳入部门预算管理。收支总预算537.08万元。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收入预算包括：一般公共预算、单位资金。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支出预算包括：一般公共服务支出、社会保障和就业支出、卫生健康支出、住房保障支出。</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w:t>
      </w:r>
      <w:r>
        <w:rPr>
          <w:rFonts w:hint="eastAsia" w:ascii="楷体_GB2312" w:hAnsi="楷体_GB2312" w:eastAsia="楷体_GB2312" w:cs="楷体_GB2312"/>
          <w:b/>
          <w:kern w:val="0"/>
          <w:sz w:val="32"/>
          <w:szCs w:val="32"/>
          <w:highlight w:val="none"/>
        </w:rPr>
        <w:t>中共呼图壁县委员会机要保密局2025年</w:t>
      </w:r>
      <w:r>
        <w:rPr>
          <w:rFonts w:hint="eastAsia" w:ascii="楷体_GB2312" w:hAnsi="楷体_GB2312" w:eastAsia="楷体_GB2312" w:cs="楷体_GB2312"/>
          <w:b/>
          <w:bCs/>
          <w:kern w:val="0"/>
          <w:sz w:val="32"/>
          <w:szCs w:val="32"/>
          <w:highlight w:val="none"/>
        </w:rPr>
        <w:t>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中共呼图壁县委员会机要保密局收入预算537.08万元，其中：</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一般公共预算463.4万元，占86.28%，比上年预算减少15.84万元，下降3.31%，主要原因是</w:t>
      </w:r>
      <w:r>
        <w:rPr>
          <w:rFonts w:hint="eastAsia" w:ascii="仿宋_GB2312" w:hAnsi="宋体" w:eastAsia="仿宋_GB2312" w:cs="宋体"/>
          <w:kern w:val="0"/>
          <w:sz w:val="32"/>
          <w:szCs w:val="32"/>
          <w:highlight w:val="none"/>
          <w:lang w:val="en-US" w:eastAsia="zh-CN"/>
        </w:rPr>
        <w:t>本年度项目资金预算安排减少。</w:t>
      </w:r>
      <w:r>
        <w:rPr>
          <w:rFonts w:hint="eastAsia" w:ascii="仿宋_GB2312" w:hAnsi="宋体" w:eastAsia="仿宋_GB2312" w:cs="宋体"/>
          <w:kern w:val="0"/>
          <w:sz w:val="32"/>
          <w:szCs w:val="32"/>
          <w:highlight w:val="none"/>
        </w:rPr>
        <w:t xml:space="preserve">   </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上级一般公共预算安排的转移支付资金未安排；   </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上级政府性基金安排的转移支付资金未安排；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国有资本经营预算未安排；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上级国有资本经营预算安排的转移支付资金未安排；    </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单位资金73.68万元，占13.72%，比上年预算增加7.35万元，增长11.08%，主要原因是单位资金</w:t>
      </w:r>
      <w:r>
        <w:rPr>
          <w:rFonts w:hint="eastAsia" w:ascii="仿宋_GB2312" w:hAnsi="宋体" w:eastAsia="仿宋_GB2312" w:cs="宋体"/>
          <w:kern w:val="0"/>
          <w:sz w:val="32"/>
          <w:szCs w:val="32"/>
          <w:highlight w:val="none"/>
          <w:lang w:val="en-US" w:eastAsia="zh-CN"/>
        </w:rPr>
        <w:t>其他收入</w:t>
      </w:r>
      <w:r>
        <w:rPr>
          <w:rFonts w:hint="eastAsia" w:ascii="仿宋_GB2312" w:hAnsi="宋体" w:eastAsia="仿宋_GB2312" w:cs="宋体"/>
          <w:kern w:val="0"/>
          <w:sz w:val="32"/>
          <w:szCs w:val="32"/>
          <w:highlight w:val="none"/>
        </w:rPr>
        <w:t>预算</w:t>
      </w:r>
      <w:r>
        <w:rPr>
          <w:rFonts w:hint="eastAsia" w:ascii="仿宋_GB2312" w:hAnsi="宋体" w:eastAsia="仿宋_GB2312" w:cs="宋体"/>
          <w:kern w:val="0"/>
          <w:sz w:val="32"/>
          <w:szCs w:val="32"/>
          <w:highlight w:val="none"/>
          <w:lang w:val="en-US" w:eastAsia="zh-CN"/>
        </w:rPr>
        <w:t>增加</w:t>
      </w:r>
      <w:r>
        <w:rPr>
          <w:rFonts w:hint="eastAsia" w:ascii="仿宋_GB2312" w:hAnsi="宋体" w:eastAsia="仿宋_GB2312" w:cs="宋体"/>
          <w:kern w:val="0"/>
          <w:sz w:val="32"/>
          <w:szCs w:val="32"/>
          <w:highlight w:val="none"/>
          <w:lang w:eastAsia="zh-CN"/>
        </w:rPr>
        <w:t>。</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w:t>
      </w:r>
      <w:r>
        <w:rPr>
          <w:rFonts w:hint="eastAsia" w:ascii="楷体_GB2312" w:hAnsi="楷体_GB2312" w:eastAsia="楷体_GB2312" w:cs="楷体_GB2312"/>
          <w:b/>
          <w:kern w:val="0"/>
          <w:sz w:val="32"/>
          <w:szCs w:val="32"/>
          <w:highlight w:val="none"/>
        </w:rPr>
        <w:t>中共呼图壁县委员会机要保密局2025年</w:t>
      </w:r>
      <w:r>
        <w:rPr>
          <w:rFonts w:hint="eastAsia" w:ascii="楷体_GB2312" w:hAnsi="楷体_GB2312" w:eastAsia="楷体_GB2312" w:cs="楷体_GB2312"/>
          <w:b/>
          <w:bCs/>
          <w:kern w:val="0"/>
          <w:sz w:val="32"/>
          <w:szCs w:val="32"/>
          <w:highlight w:val="none"/>
        </w:rPr>
        <w:t>支出预算情况说明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中共呼图壁县委员会机要保密局2025年</w:t>
      </w:r>
      <w:r>
        <w:rPr>
          <w:rFonts w:hint="eastAsia" w:ascii="仿宋_GB2312" w:hAnsi="宋体" w:eastAsia="仿宋_GB2312" w:cs="宋体"/>
          <w:kern w:val="0"/>
          <w:sz w:val="32"/>
          <w:szCs w:val="32"/>
          <w:highlight w:val="none"/>
        </w:rPr>
        <w:t>支出预算537.08 万元，其中：</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基本支出231.01万元，占43.01%，比上年预算增加11.82万元，增长5.39%，主要原因是人员社保及公积金基数调增。</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项目支出306.07万元，占56.99%，比上年预算减少20.31万元，下降6.22%，主要原因是</w:t>
      </w:r>
      <w:r>
        <w:rPr>
          <w:rFonts w:hint="eastAsia" w:ascii="仿宋_GB2312" w:hAnsi="宋体" w:eastAsia="仿宋_GB2312" w:cs="宋体"/>
          <w:kern w:val="0"/>
          <w:sz w:val="32"/>
          <w:szCs w:val="32"/>
          <w:highlight w:val="none"/>
          <w:lang w:val="en-US" w:eastAsia="zh-CN"/>
        </w:rPr>
        <w:t>本年度项目资金预算安排减少</w:t>
      </w:r>
      <w:r>
        <w:rPr>
          <w:rFonts w:hint="eastAsia" w:ascii="仿宋_GB2312" w:hAnsi="宋体" w:eastAsia="仿宋_GB2312" w:cs="宋体"/>
          <w:kern w:val="0"/>
          <w:sz w:val="32"/>
          <w:szCs w:val="32"/>
          <w:highlight w:val="none"/>
        </w:rPr>
        <w:t>。</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w:t>
      </w:r>
      <w:r>
        <w:rPr>
          <w:rFonts w:hint="eastAsia" w:ascii="楷体_GB2312" w:hAnsi="楷体_GB2312" w:eastAsia="楷体_GB2312" w:cs="楷体_GB2312"/>
          <w:b/>
          <w:kern w:val="0"/>
          <w:sz w:val="32"/>
          <w:szCs w:val="32"/>
          <w:highlight w:val="none"/>
        </w:rPr>
        <w:t>中共呼图壁县委员会机要保密局2025年</w:t>
      </w:r>
      <w:r>
        <w:rPr>
          <w:rFonts w:hint="eastAsia" w:ascii="楷体_GB2312" w:hAnsi="楷体_GB2312" w:eastAsia="楷体_GB2312" w:cs="楷体_GB2312"/>
          <w:b/>
          <w:bCs/>
          <w:kern w:val="0"/>
          <w:sz w:val="32"/>
          <w:szCs w:val="32"/>
          <w:highlight w:val="none"/>
        </w:rPr>
        <w:t>财政拨款收支预算情况的总体说明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中共呼图壁县委员会机要保密局2025年财政拨款收支总预算463.4万元。</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收入预算包括：一般公共预算拨款463.4万元。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一般公共服务支出422.31万元，主要用于人员工资、津贴补贴、项目经费、工作经费；社会保障和就业支出15.87万元，主要用于在职人员养老保险支出；卫生健康支出12万元，主要用于在职医疗保险支出；住房保障支出13.22万元，主要用于缴纳在职住房公积金支出。</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中共呼图壁县委员会机要保密局2025年</w:t>
      </w:r>
      <w:r>
        <w:rPr>
          <w:rFonts w:hint="eastAsia" w:ascii="楷体_GB2312" w:hAnsi="楷体_GB2312" w:eastAsia="楷体_GB2312" w:cs="楷体_GB2312"/>
          <w:b/>
          <w:bCs/>
          <w:spacing w:val="-6"/>
          <w:kern w:val="0"/>
          <w:sz w:val="32"/>
          <w:szCs w:val="32"/>
          <w:highlight w:val="none"/>
        </w:rPr>
        <w:t>年一般公共预算当年拨款情况说明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中共呼图壁县委员会机要保密局2025年一般公共预算拨款合计463.4万元，其中：</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基本支出157.33万元，比上年预算增加4.47万元，增长2.92%。主要原因是：人</w:t>
      </w:r>
      <w:r>
        <w:rPr>
          <w:rFonts w:hint="eastAsia" w:ascii="仿宋_GB2312" w:hAnsi="宋体" w:eastAsia="仿宋_GB2312" w:cs="宋体"/>
          <w:kern w:val="0"/>
          <w:sz w:val="32"/>
          <w:szCs w:val="32"/>
          <w:highlight w:val="none"/>
        </w:rPr>
        <w:t>员社保及公积金基数调增。</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项目支出306.07万元，比上年预算减少20.31万元，下降6.22%。主要原因是：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宋体" w:eastAsia="仿宋_GB2312" w:cs="宋体"/>
          <w:kern w:val="0"/>
          <w:sz w:val="32"/>
          <w:szCs w:val="32"/>
          <w:highlight w:val="none"/>
          <w:lang w:val="en-US" w:eastAsia="zh-CN"/>
        </w:rPr>
        <w:t>度项目资金预算安排减少</w:t>
      </w:r>
      <w:r>
        <w:rPr>
          <w:rFonts w:hint="eastAsia" w:ascii="仿宋_GB2312" w:hAnsi="宋体" w:eastAsia="仿宋_GB2312" w:cs="宋体"/>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1.一般公共服务（类）422.31万元，占91.13%。</w:t>
      </w:r>
    </w:p>
    <w:p>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2.社会保障和就业支出（类）15.87万元，占3.4</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p>
    <w:p>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3.卫生健康支出（类）12万元，占2.59%。</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4.住房保障支出（类）13.22万元，占2.85%。</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类）党委办公厅（室）及相关机构事务（款）行政运行（项）:2025年预算数为63.77万元，比上年预算减少51.57万元，下降44.71%，主要原因是：2024年事业运行预算列入本款，2025年将事业运行从行政运行中单列出来。</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2.一般公共服务（类）党委办公厅（室）及相关机构事务（款）事业运行（项）:2025年预算数为52.47万元，比上年预算增加52.47万元，增长100%，主要原因是：2024年事业运行预算列入</w:t>
      </w:r>
      <w:r>
        <w:rPr>
          <w:rFonts w:hint="eastAsia" w:ascii="仿宋_GB2312" w:hAnsi="仿宋_GB2312" w:eastAsia="仿宋_GB2312" w:cs="仿宋_GB2312"/>
          <w:kern w:val="0"/>
          <w:sz w:val="32"/>
          <w:szCs w:val="32"/>
          <w:highlight w:val="none"/>
          <w:lang w:val="en-US" w:eastAsia="zh-CN"/>
        </w:rPr>
        <w:t>行政运行</w:t>
      </w:r>
      <w:r>
        <w:rPr>
          <w:rFonts w:hint="eastAsia" w:ascii="仿宋_GB2312" w:hAnsi="仿宋_GB2312" w:eastAsia="仿宋_GB2312" w:cs="仿宋_GB2312"/>
          <w:kern w:val="0"/>
          <w:sz w:val="32"/>
          <w:szCs w:val="32"/>
          <w:highlight w:val="none"/>
        </w:rPr>
        <w:t>，2025年将事业运行从行政运行中单列出来。</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3.一般公共服务（类）党委办公厅（室）及相关机构事务（款）其他党委办公厅（室）及相关机构事务支出（项）:2025年预算数为306.07万元，比上年预算减少20.31万元，下降6.22%，主要原因是</w:t>
      </w:r>
      <w:r>
        <w:rPr>
          <w:rFonts w:hint="eastAsia" w:ascii="仿宋_GB2312" w:hAnsi="仿宋_GB2312" w:eastAsia="仿宋_GB2312" w:cs="仿宋_GB2312"/>
          <w:kern w:val="0"/>
          <w:sz w:val="32"/>
          <w:szCs w:val="32"/>
          <w:highlight w:val="none"/>
          <w:lang w:val="en-US" w:eastAsia="zh-CN"/>
        </w:rPr>
        <w:t>项</w:t>
      </w:r>
      <w:r>
        <w:rPr>
          <w:rFonts w:hint="eastAsia" w:ascii="仿宋_GB2312" w:hAnsi="宋体" w:eastAsia="仿宋_GB2312" w:cs="宋体"/>
          <w:kern w:val="0"/>
          <w:sz w:val="32"/>
          <w:szCs w:val="32"/>
          <w:highlight w:val="none"/>
          <w:lang w:val="en-US" w:eastAsia="zh-CN"/>
        </w:rPr>
        <w:t>目资金预算安排减少</w:t>
      </w:r>
      <w:r>
        <w:rPr>
          <w:rFonts w:hint="eastAsia" w:ascii="仿宋_GB2312" w:hAnsi="宋体" w:eastAsia="仿宋_GB2312" w:cs="宋体"/>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4.社会保障和就业支出（类）行政事业单位养老支出（款）机关事业单位基本养老保险费费支出（项）：2025年预算数为15.87万元，比上年预算数增加0.73万元，增长4.82%，主要原因是2025年社保基数调增。</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5.卫生健康支出（类）行政事业单位医疗（款）行政单位医疗（项）：2025年预算数为4.21万元，比上年预算数增加0.33万元，增长8.51%，主要原因是2025年社保基数调增。</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6.卫生健康支出（类）行政事业单位医疗（款）事业单位医疗（项）：2025年预算数为3.73万元，比上年预算数增加0.04万元，增长1.08%，主要原因是2025年社保基数调增。</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7.卫生健康支出（类）行政事业单位医疗（款）公务员医疗补助缴费（项）：2025年预算数为3.97万元，比上年预算数增加1.89万元，增长90.87%，主要原因是2025年社保基数调增</w:t>
      </w:r>
      <w:r>
        <w:rPr>
          <w:rFonts w:hint="eastAsia" w:ascii="仿宋_GB2312" w:hAnsi="仿宋_GB2312" w:eastAsia="仿宋_GB2312" w:cs="仿宋_GB2312"/>
          <w:kern w:val="0"/>
          <w:sz w:val="32"/>
          <w:szCs w:val="32"/>
          <w:highlight w:val="none"/>
          <w:lang w:val="en-US" w:eastAsia="zh-CN"/>
        </w:rPr>
        <w:t>及公务员补助</w:t>
      </w:r>
      <w:r>
        <w:rPr>
          <w:rFonts w:hint="eastAsia" w:ascii="仿宋_GB2312" w:hAnsi="仿宋_GB2312" w:eastAsia="仿宋_GB2312" w:cs="仿宋_GB2312"/>
          <w:kern w:val="0"/>
          <w:sz w:val="32"/>
          <w:szCs w:val="32"/>
          <w:highlight w:val="none"/>
        </w:rPr>
        <w:t>比例增长。</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8.卫生健康支出（类）行政事业单位医疗（款）其他行政事业单位医疗支出（项）：2025年预算数为0.1万元，比上年预算数增加0.04万元，增长66.67%，主要原因是2025年社保基数调增及大病保险比例增长。</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9.住房保障支出（类）住房改革支出（款）住房公积金（项）：2025年预算数为13.22万元，比上年预算数增加0.55万元，增长4.34%，主要原因是2025年公积金基数调增。</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中共呼图壁县委员会机要保密局2025年</w:t>
      </w:r>
      <w:r>
        <w:rPr>
          <w:rFonts w:hint="eastAsia" w:ascii="楷体_GB2312" w:hAnsi="楷体_GB2312" w:eastAsia="楷体_GB2312" w:cs="楷体_GB2312"/>
          <w:b/>
          <w:bCs/>
          <w:spacing w:val="-6"/>
          <w:kern w:val="0"/>
          <w:sz w:val="32"/>
          <w:szCs w:val="32"/>
          <w:highlight w:val="none"/>
        </w:rPr>
        <w:t>年一般公共预算基本支出情况说明</w:t>
      </w:r>
    </w:p>
    <w:p>
      <w:pPr>
        <w:spacing w:line="600" w:lineRule="exact"/>
        <w:ind w:firstLine="640" w:firstLineChars="200"/>
        <w:rPr>
          <w:rFonts w:hint="eastAsia" w:ascii="仿宋_GB2312" w:hAnsi="宋体" w:eastAsia="仿宋_GB2312" w:cs="宋体"/>
          <w:spacing w:val="-6"/>
          <w:kern w:val="0"/>
          <w:sz w:val="32"/>
          <w:szCs w:val="32"/>
          <w:highlight w:val="none"/>
        </w:rPr>
      </w:pPr>
      <w:r>
        <w:rPr>
          <w:rFonts w:hint="eastAsia" w:ascii="仿宋_GB2312" w:hAnsi="仿宋_GB2312" w:eastAsia="仿宋_GB2312" w:cs="仿宋_GB2312"/>
          <w:kern w:val="0"/>
          <w:sz w:val="32"/>
          <w:szCs w:val="32"/>
          <w:highlight w:val="none"/>
        </w:rPr>
        <w:t>中共呼图壁县委员会机要保密局2025年</w:t>
      </w:r>
      <w:r>
        <w:rPr>
          <w:rFonts w:hint="eastAsia" w:ascii="仿宋_GB2312" w:hAnsi="宋体" w:eastAsia="仿宋_GB2312" w:cs="宋体"/>
          <w:spacing w:val="-6"/>
          <w:kern w:val="0"/>
          <w:sz w:val="32"/>
          <w:szCs w:val="32"/>
          <w:highlight w:val="none"/>
        </w:rPr>
        <w:t>一般公共预算基本支出157.33万元， 其中：</w:t>
      </w:r>
    </w:p>
    <w:p>
      <w:pPr>
        <w:spacing w:line="600" w:lineRule="exact"/>
        <w:ind w:firstLine="640" w:firstLineChars="200"/>
        <w:rPr>
          <w:rFonts w:ascii="仿宋_GB2312" w:hAnsi="宋体" w:eastAsia="仿宋_GB2312" w:cs="宋体"/>
          <w:sz w:val="32"/>
          <w:szCs w:val="32"/>
          <w:highlight w:val="none"/>
        </w:rPr>
      </w:pPr>
      <w:r>
        <w:rPr>
          <w:rFonts w:hint="eastAsia" w:ascii="仿宋_GB2312" w:hAnsi="宋体" w:eastAsia="仿宋_GB2312" w:cs="宋体"/>
          <w:sz w:val="32"/>
          <w:szCs w:val="32"/>
          <w:highlight w:val="none"/>
        </w:rPr>
        <w:t>人员经费151.86万元，主要包括：基本工资、津贴补贴、奖金、绩效工资、机关事业单位基本养老保险缴费、职工基本医疗保险缴费、公务员医疗补助缴费、其他社会保障缴费、住房公积金、生活补助。</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公用经费5.47万元，主要包括：办公费、印刷费、邮电费、差旅费、公务接待费、工会经费、公务用车运行维护费、其他交通费用。</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中共呼图壁县委员会机要保密局2025年</w:t>
      </w:r>
      <w:r>
        <w:rPr>
          <w:rFonts w:hint="eastAsia" w:ascii="楷体_GB2312" w:hAnsi="楷体_GB2312" w:eastAsia="楷体_GB2312" w:cs="楷体_GB2312"/>
          <w:b/>
          <w:bCs/>
          <w:spacing w:val="-6"/>
          <w:kern w:val="0"/>
          <w:sz w:val="32"/>
          <w:szCs w:val="32"/>
          <w:highlight w:val="none"/>
        </w:rPr>
        <w:t>年一般公共预算项目支出情况说明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1.项目</w:t>
      </w:r>
      <w:r>
        <w:rPr>
          <w:rFonts w:ascii="仿宋_GB2312" w:hAnsi="宋体" w:eastAsia="仿宋_GB2312" w:cs="宋体"/>
          <w:kern w:val="0"/>
          <w:sz w:val="32"/>
          <w:szCs w:val="32"/>
          <w:highlight w:val="none"/>
        </w:rPr>
        <w:t>名称</w:t>
      </w:r>
      <w:r>
        <w:rPr>
          <w:rFonts w:hint="eastAsia" w:ascii="仿宋_GB2312" w:hAnsi="宋体" w:eastAsia="仿宋_GB2312" w:cs="宋体"/>
          <w:kern w:val="0"/>
          <w:sz w:val="32"/>
          <w:szCs w:val="32"/>
          <w:highlight w:val="none"/>
        </w:rPr>
        <w:t>：AK替代项目（2025年非定额）</w:t>
      </w:r>
    </w:p>
    <w:p>
      <w:pPr>
        <w:spacing w:line="600" w:lineRule="exact"/>
        <w:ind w:firstLine="640" w:firstLineChars="200"/>
        <w:rPr>
          <w:rFonts w:hint="eastAsia" w:ascii="仿宋_GB2312" w:hAnsi="宋体" w:eastAsia="仿宋_GB2312" w:cs="宋体"/>
          <w:kern w:val="0"/>
          <w:sz w:val="32"/>
          <w:szCs w:val="32"/>
          <w:highlight w:val="none"/>
        </w:rPr>
      </w:pPr>
      <w:r>
        <w:rPr>
          <w:rFonts w:ascii="仿宋_GB2312" w:hAnsi="宋体" w:eastAsia="仿宋_GB2312" w:cs="宋体"/>
          <w:kern w:val="0"/>
          <w:sz w:val="32"/>
          <w:szCs w:val="32"/>
          <w:highlight w:val="none"/>
        </w:rPr>
        <w:t>设立的政策依据</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完全不予公开</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cs="宋体"/>
          <w:kern w:val="0"/>
          <w:sz w:val="32"/>
          <w:szCs w:val="32"/>
          <w:highlight w:val="none"/>
        </w:rPr>
        <w:t>预算安排规模</w:t>
      </w:r>
      <w:r>
        <w:rPr>
          <w:rFonts w:hint="eastAsia" w:ascii="仿宋_GB2312" w:hAnsi="宋体" w:eastAsia="仿宋_GB2312" w:cs="宋体"/>
          <w:kern w:val="0"/>
          <w:sz w:val="32"/>
          <w:szCs w:val="32"/>
          <w:highlight w:val="none"/>
        </w:rPr>
        <w:t>：277.47万元</w:t>
      </w:r>
    </w:p>
    <w:p>
      <w:pPr>
        <w:spacing w:line="600" w:lineRule="exact"/>
        <w:ind w:firstLine="640" w:firstLineChars="200"/>
        <w:rPr>
          <w:rFonts w:hint="eastAsia" w:ascii="仿宋_GB2312" w:hAnsi="宋体" w:eastAsia="仿宋_GB2312" w:cs="宋体"/>
          <w:kern w:val="0"/>
          <w:sz w:val="32"/>
          <w:szCs w:val="32"/>
          <w:highlight w:val="none"/>
        </w:rPr>
      </w:pPr>
      <w:r>
        <w:rPr>
          <w:rFonts w:ascii="仿宋_GB2312" w:hAnsi="宋体" w:eastAsia="仿宋_GB2312" w:cs="宋体"/>
          <w:kern w:val="0"/>
          <w:sz w:val="32"/>
          <w:szCs w:val="32"/>
          <w:highlight w:val="none"/>
        </w:rPr>
        <w:t>项目承担单位</w:t>
      </w:r>
      <w:r>
        <w:rPr>
          <w:rFonts w:hint="eastAsia" w:ascii="仿宋_GB2312" w:hAnsi="宋体" w:eastAsia="仿宋_GB2312" w:cs="宋体"/>
          <w:kern w:val="0"/>
          <w:sz w:val="32"/>
          <w:szCs w:val="32"/>
          <w:highlight w:val="none"/>
        </w:rPr>
        <w:t>：中共呼图壁县委员会机要保密局</w:t>
      </w:r>
    </w:p>
    <w:p>
      <w:pPr>
        <w:spacing w:line="60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宋体" w:eastAsia="仿宋_GB2312" w:cs="宋体"/>
          <w:kern w:val="0"/>
          <w:sz w:val="32"/>
          <w:szCs w:val="32"/>
          <w:highlight w:val="none"/>
        </w:rPr>
        <w:t>资金分配情况</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完全不予公开</w:t>
      </w:r>
    </w:p>
    <w:p>
      <w:pPr>
        <w:spacing w:line="600" w:lineRule="exact"/>
        <w:ind w:firstLine="640" w:firstLineChars="200"/>
        <w:rPr>
          <w:rFonts w:hint="eastAsia" w:ascii="仿宋_GB2312" w:hAnsi="宋体" w:eastAsia="仿宋_GB2312" w:cs="宋体"/>
          <w:kern w:val="0"/>
          <w:sz w:val="32"/>
          <w:szCs w:val="32"/>
          <w:highlight w:val="none"/>
        </w:rPr>
      </w:pPr>
      <w:r>
        <w:rPr>
          <w:rFonts w:ascii="仿宋_GB2312" w:hAnsi="宋体" w:eastAsia="仿宋_GB2312" w:cs="宋体"/>
          <w:kern w:val="0"/>
          <w:sz w:val="32"/>
          <w:szCs w:val="32"/>
          <w:highlight w:val="none"/>
        </w:rPr>
        <w:t>资金执行时间</w:t>
      </w:r>
      <w:r>
        <w:rPr>
          <w:rFonts w:hint="eastAsia" w:ascii="仿宋_GB2312" w:hAnsi="宋体" w:eastAsia="仿宋_GB2312" w:cs="宋体"/>
          <w:kern w:val="0"/>
          <w:sz w:val="32"/>
          <w:szCs w:val="32"/>
          <w:highlight w:val="none"/>
        </w:rPr>
        <w:t>：2025年1月-2025年12月</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2.项目</w:t>
      </w:r>
      <w:r>
        <w:rPr>
          <w:rFonts w:ascii="仿宋_GB2312" w:hAnsi="宋体" w:eastAsia="仿宋_GB2312" w:cs="宋体"/>
          <w:kern w:val="0"/>
          <w:sz w:val="32"/>
          <w:szCs w:val="32"/>
          <w:highlight w:val="none"/>
        </w:rPr>
        <w:t>名称</w:t>
      </w:r>
      <w:r>
        <w:rPr>
          <w:rFonts w:hint="eastAsia" w:ascii="仿宋_GB2312" w:hAnsi="宋体" w:eastAsia="仿宋_GB2312" w:cs="宋体"/>
          <w:kern w:val="0"/>
          <w:sz w:val="32"/>
          <w:szCs w:val="32"/>
          <w:highlight w:val="none"/>
        </w:rPr>
        <w:t>：电子政务内网运维经费（2025年非定额）</w:t>
      </w:r>
    </w:p>
    <w:p>
      <w:pPr>
        <w:spacing w:line="60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宋体" w:eastAsia="仿宋_GB2312" w:cs="宋体"/>
          <w:kern w:val="0"/>
          <w:sz w:val="32"/>
          <w:szCs w:val="32"/>
          <w:highlight w:val="none"/>
        </w:rPr>
        <w:t>设立的政策依据</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完全不予公开</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cs="宋体"/>
          <w:kern w:val="0"/>
          <w:sz w:val="32"/>
          <w:szCs w:val="32"/>
          <w:highlight w:val="none"/>
        </w:rPr>
        <w:t>预算安排规模</w:t>
      </w:r>
      <w:r>
        <w:rPr>
          <w:rFonts w:hint="eastAsia" w:ascii="仿宋_GB2312" w:hAnsi="宋体" w:eastAsia="仿宋_GB2312" w:cs="宋体"/>
          <w:kern w:val="0"/>
          <w:sz w:val="32"/>
          <w:szCs w:val="32"/>
          <w:highlight w:val="none"/>
        </w:rPr>
        <w:t>：28.6万元</w:t>
      </w:r>
    </w:p>
    <w:p>
      <w:pPr>
        <w:spacing w:line="600" w:lineRule="exact"/>
        <w:ind w:firstLine="640" w:firstLineChars="200"/>
        <w:rPr>
          <w:rFonts w:hint="eastAsia" w:ascii="仿宋_GB2312" w:hAnsi="宋体" w:eastAsia="仿宋_GB2312" w:cs="宋体"/>
          <w:kern w:val="0"/>
          <w:sz w:val="32"/>
          <w:szCs w:val="32"/>
          <w:highlight w:val="none"/>
        </w:rPr>
      </w:pPr>
      <w:r>
        <w:rPr>
          <w:rFonts w:ascii="仿宋_GB2312" w:hAnsi="宋体" w:eastAsia="仿宋_GB2312" w:cs="宋体"/>
          <w:kern w:val="0"/>
          <w:sz w:val="32"/>
          <w:szCs w:val="32"/>
          <w:highlight w:val="none"/>
        </w:rPr>
        <w:t>项目承担单位</w:t>
      </w:r>
      <w:r>
        <w:rPr>
          <w:rFonts w:hint="eastAsia" w:ascii="仿宋_GB2312" w:hAnsi="宋体" w:eastAsia="仿宋_GB2312" w:cs="宋体"/>
          <w:kern w:val="0"/>
          <w:sz w:val="32"/>
          <w:szCs w:val="32"/>
          <w:highlight w:val="none"/>
        </w:rPr>
        <w:t>：中共呼图壁县委员会机要保密局</w:t>
      </w:r>
    </w:p>
    <w:p>
      <w:pPr>
        <w:spacing w:line="60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宋体" w:eastAsia="仿宋_GB2312" w:cs="宋体"/>
          <w:kern w:val="0"/>
          <w:sz w:val="32"/>
          <w:szCs w:val="32"/>
          <w:highlight w:val="none"/>
        </w:rPr>
        <w:t>资金分配情况</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完全不予公开</w:t>
      </w:r>
    </w:p>
    <w:p>
      <w:pPr>
        <w:pStyle w:val="2"/>
        <w:ind w:firstLine="640" w:firstLineChars="200"/>
        <w:rPr>
          <w:highlight w:val="none"/>
        </w:rPr>
      </w:pPr>
      <w:r>
        <w:rPr>
          <w:rFonts w:ascii="仿宋_GB2312" w:hAnsi="宋体" w:eastAsia="仿宋_GB2312" w:cs="宋体"/>
          <w:kern w:val="0"/>
          <w:sz w:val="32"/>
          <w:szCs w:val="32"/>
          <w:highlight w:val="none"/>
        </w:rPr>
        <w:t>资金执行时间</w:t>
      </w:r>
      <w:r>
        <w:rPr>
          <w:rFonts w:hint="eastAsia" w:ascii="仿宋_GB2312" w:hAnsi="宋体" w:eastAsia="仿宋_GB2312" w:cs="宋体"/>
          <w:kern w:val="0"/>
          <w:sz w:val="32"/>
          <w:szCs w:val="32"/>
          <w:highlight w:val="none"/>
        </w:rPr>
        <w:t>：2025年1月-2025年12月</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八、关于</w:t>
      </w:r>
      <w:r>
        <w:rPr>
          <w:rFonts w:hint="eastAsia" w:ascii="楷体_GB2312" w:hAnsi="楷体_GB2312" w:eastAsia="楷体_GB2312" w:cs="楷体_GB2312"/>
          <w:b/>
          <w:kern w:val="0"/>
          <w:sz w:val="32"/>
          <w:szCs w:val="32"/>
          <w:highlight w:val="none"/>
        </w:rPr>
        <w:t>中共呼图壁县委员会机要保密局2025年</w:t>
      </w:r>
      <w:r>
        <w:rPr>
          <w:rFonts w:hint="eastAsia" w:ascii="楷体_GB2312" w:hAnsi="楷体_GB2312" w:eastAsia="楷体_GB2312" w:cs="楷体_GB2312"/>
          <w:b/>
          <w:bCs/>
          <w:kern w:val="0"/>
          <w:sz w:val="32"/>
          <w:szCs w:val="32"/>
          <w:highlight w:val="none"/>
        </w:rPr>
        <w:t>政府性基金预算拨款情况说明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bCs/>
          <w:kern w:val="0"/>
          <w:sz w:val="32"/>
          <w:szCs w:val="32"/>
          <w:highlight w:val="none"/>
        </w:rPr>
        <w:t>中共呼图壁县委员会机要保密局2025</w:t>
      </w:r>
      <w:r>
        <w:rPr>
          <w:rFonts w:hint="eastAsia" w:ascii="仿宋_GB2312" w:hAnsi="宋体" w:eastAsia="仿宋_GB2312" w:cs="宋体"/>
          <w:kern w:val="0"/>
          <w:sz w:val="32"/>
          <w:szCs w:val="32"/>
          <w:highlight w:val="none"/>
        </w:rPr>
        <w:t>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九、关于中共呼图壁县委员会机要保密局2025年国有资本经营预算拨款情况说明</w:t>
      </w:r>
    </w:p>
    <w:p>
      <w:pPr>
        <w:spacing w:line="560" w:lineRule="exact"/>
        <w:ind w:firstLine="640" w:firstLineChars="200"/>
        <w:rPr>
          <w:rFonts w:ascii="仿宋_GB2312" w:hAnsi="仿宋_GB2312" w:eastAsia="仿宋_GB2312" w:cs="仿宋_GB2312"/>
          <w:b/>
          <w:color w:val="FF0000"/>
          <w:kern w:val="0"/>
          <w:sz w:val="32"/>
          <w:szCs w:val="32"/>
          <w:highlight w:val="none"/>
        </w:rPr>
      </w:pPr>
      <w:r>
        <w:rPr>
          <w:rFonts w:hint="eastAsia" w:ascii="仿宋_GB2312" w:hAnsi="宋体" w:eastAsia="仿宋_GB2312" w:cs="宋体"/>
          <w:kern w:val="0"/>
          <w:sz w:val="32"/>
          <w:szCs w:val="32"/>
          <w:highlight w:val="none"/>
        </w:rPr>
        <w:t>中共呼图壁县委员会机要保密局2025年没有使用国有资本经营预算拨款安排的支出，国有资本经营预算支出情况表为空表。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十、关于中共呼图壁县委员会机要保密局2025年财政拨款“三公”经费预算情况说明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中共呼图壁县委员会机要保密局2025年</w:t>
      </w:r>
      <w:r>
        <w:rPr>
          <w:rFonts w:hint="eastAsia" w:ascii="仿宋_GB2312" w:hAnsi="宋体" w:eastAsia="仿宋_GB2312" w:cs="宋体"/>
          <w:kern w:val="0"/>
          <w:sz w:val="32"/>
          <w:szCs w:val="32"/>
          <w:highlight w:val="none"/>
        </w:rPr>
        <w:t>财政拨款“三公”经费数为0.884万元，其中：因公出国（境）费0万元，公务用车购置费0万元，公务用车运行费0.784万元，公务接待费0.1万元。</w:t>
      </w:r>
    </w:p>
    <w:p>
      <w:pPr>
        <w:spacing w:line="60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2025年财政拨款“三公”经费比上年预算减少1.016万元，下降53.47%，其中：因公出国（境）费增加0万元，增长0 %，主要原因是</w:t>
      </w:r>
      <w:r>
        <w:rPr>
          <w:rFonts w:hint="eastAsia" w:ascii="仿宋_GB2312" w:hAnsi="宋体" w:eastAsia="仿宋_GB2312" w:cs="宋体"/>
          <w:kern w:val="0"/>
          <w:sz w:val="32"/>
          <w:szCs w:val="32"/>
          <w:highlight w:val="none"/>
          <w:lang w:val="en-US" w:eastAsia="zh-CN"/>
        </w:rPr>
        <w:t>2024年与2025年均未安排因公出国（境）费用</w:t>
      </w:r>
      <w:r>
        <w:rPr>
          <w:rFonts w:hint="eastAsia" w:ascii="仿宋_GB2312" w:hAnsi="宋体" w:eastAsia="仿宋_GB2312" w:cs="宋体"/>
          <w:kern w:val="0"/>
          <w:sz w:val="32"/>
          <w:szCs w:val="32"/>
          <w:highlight w:val="none"/>
        </w:rPr>
        <w:t>；公务用车购置费增加0万元，增长0 %，主要原因是</w:t>
      </w:r>
      <w:r>
        <w:rPr>
          <w:rFonts w:hint="eastAsia" w:ascii="仿宋_GB2312" w:hAnsi="宋体" w:eastAsia="仿宋_GB2312" w:cs="宋体"/>
          <w:kern w:val="0"/>
          <w:sz w:val="32"/>
          <w:szCs w:val="32"/>
          <w:highlight w:val="none"/>
          <w:lang w:val="en-US" w:eastAsia="zh-CN"/>
        </w:rPr>
        <w:t>2024年与2025年均未安排</w:t>
      </w:r>
      <w:r>
        <w:rPr>
          <w:rFonts w:hint="eastAsia" w:ascii="仿宋_GB2312" w:hAnsi="宋体" w:eastAsia="仿宋_GB2312" w:cs="宋体"/>
          <w:kern w:val="0"/>
          <w:sz w:val="32"/>
          <w:szCs w:val="32"/>
          <w:highlight w:val="none"/>
        </w:rPr>
        <w:t>公务用车购置费</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公务用车运行费减少0.816万元，下降51%，主要原因是</w:t>
      </w:r>
      <w:r>
        <w:rPr>
          <w:rFonts w:hint="eastAsia" w:ascii="仿宋_GB2312" w:hAnsi="宋体" w:eastAsia="仿宋_GB2312" w:cs="宋体"/>
          <w:kern w:val="0"/>
          <w:sz w:val="32"/>
          <w:szCs w:val="32"/>
          <w:highlight w:val="none"/>
          <w:lang w:eastAsia="zh-CN"/>
        </w:rPr>
        <w:t>严格执行中央八项规定</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厉行节约，三公经费只减不增</w:t>
      </w:r>
      <w:r>
        <w:rPr>
          <w:rFonts w:hint="eastAsia" w:ascii="仿宋_GB2312" w:hAnsi="宋体" w:eastAsia="仿宋_GB2312" w:cs="宋体"/>
          <w:kern w:val="0"/>
          <w:sz w:val="32"/>
          <w:szCs w:val="32"/>
          <w:highlight w:val="none"/>
        </w:rPr>
        <w:t>；公务接待费减少0.2万元，下降</w:t>
      </w:r>
      <w:r>
        <w:rPr>
          <w:rFonts w:hint="eastAsia" w:ascii="仿宋_GB2312" w:hAnsi="宋体" w:eastAsia="仿宋_GB2312" w:cs="宋体"/>
          <w:kern w:val="0"/>
          <w:sz w:val="32"/>
          <w:szCs w:val="32"/>
          <w:highlight w:val="none"/>
          <w:lang w:val="en-US" w:eastAsia="zh-CN"/>
        </w:rPr>
        <w:t>66.67</w:t>
      </w:r>
      <w:r>
        <w:rPr>
          <w:rFonts w:hint="eastAsia" w:ascii="仿宋_GB2312" w:hAnsi="宋体" w:eastAsia="仿宋_GB2312" w:cs="宋体"/>
          <w:kern w:val="0"/>
          <w:sz w:val="32"/>
          <w:szCs w:val="32"/>
          <w:highlight w:val="none"/>
        </w:rPr>
        <w:t xml:space="preserve"> %，主要原因是</w:t>
      </w:r>
      <w:r>
        <w:rPr>
          <w:rFonts w:hint="eastAsia" w:ascii="仿宋_GB2312" w:hAnsi="宋体" w:eastAsia="仿宋_GB2312" w:cs="宋体"/>
          <w:kern w:val="0"/>
          <w:sz w:val="32"/>
          <w:szCs w:val="32"/>
          <w:highlight w:val="none"/>
          <w:lang w:eastAsia="zh-CN"/>
        </w:rPr>
        <w:t>严格执行中央八项规定</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厉行节约，三公经费只减不增</w:t>
      </w:r>
      <w:r>
        <w:rPr>
          <w:rFonts w:hint="eastAsia" w:ascii="仿宋_GB2312" w:hAnsi="宋体" w:eastAsia="仿宋_GB2312" w:cs="宋体"/>
          <w:kern w:val="0"/>
          <w:sz w:val="32"/>
          <w:szCs w:val="32"/>
          <w:highlight w:val="none"/>
        </w:rPr>
        <w:t>。</w:t>
      </w:r>
    </w:p>
    <w:p>
      <w:pPr>
        <w:spacing w:line="600" w:lineRule="exact"/>
        <w:ind w:firstLine="643" w:firstLineChars="200"/>
        <w:rPr>
          <w:rFonts w:hint="eastAsia"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val="en-US" w:eastAsia="zh-CN"/>
        </w:rPr>
        <w:t>十一、关于中共呼图壁县</w:t>
      </w:r>
      <w:r>
        <w:rPr>
          <w:rFonts w:hint="eastAsia" w:ascii="楷体_GB2312" w:hAnsi="楷体_GB2312" w:eastAsia="楷体_GB2312" w:cs="楷体_GB2312"/>
          <w:b/>
          <w:bCs/>
          <w:kern w:val="0"/>
          <w:sz w:val="32"/>
          <w:szCs w:val="32"/>
          <w:highlight w:val="none"/>
        </w:rPr>
        <w:t>委员会机要保密局部门2025年上年结转结余预算情况说明</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中共呼图壁县委员会机要保密局2025年没有上年结转结余预算的支出，上年结转结余情况明细表为空表。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（一）单位运行经费情况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中共呼图壁县委员会机要保密局2025年的机关运行经费财政拨款预算5.47万元，比上年预算增加0.02万元，增长0.37 %。</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本单位人员应发工资有上涨，运行经费科目中工会经费按照应发工资总额2%所列预算，工会经费增加，运行经费相应增加</w:t>
      </w:r>
      <w:r>
        <w:rPr>
          <w:rFonts w:hint="eastAsia" w:ascii="仿宋_GB2312" w:hAnsi="仿宋_GB2312" w:eastAsia="仿宋_GB2312" w:cs="仿宋_GB2312"/>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600" w:lineRule="exact"/>
        <w:ind w:firstLine="640" w:firstLineChars="200"/>
        <w:rPr>
          <w:rFonts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2025年，中共呼图壁县委员会机要保密局政府采购预算</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175.75</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万元，其中：政府采购货物预算</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174.27</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万元，政府采购工程预算</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万元，政府采购服务预算</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1.48</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万元。</w:t>
      </w:r>
    </w:p>
    <w:p>
      <w:pPr>
        <w:spacing w:line="600" w:lineRule="exact"/>
        <w:ind w:firstLine="640" w:firstLineChars="200"/>
        <w:rPr>
          <w:rFonts w:ascii="仿宋_GB2312" w:hAnsi="仿宋_GB2312" w:eastAsia="仿宋_GB2312" w:cs="仿宋_GB2312"/>
          <w:color w:val="FF0000"/>
          <w:sz w:val="32"/>
          <w:highlight w:val="none"/>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2025年，中共呼图壁县委员会机要保密局</w:t>
      </w:r>
      <w:r>
        <w:rPr>
          <w:rFonts w:hint="eastAsia" w:ascii="仿宋_GB2312" w:hAnsi="仿宋_GB2312" w:eastAsia="仿宋_GB2312" w:cs="仿宋_GB2312"/>
          <w:color w:val="000000" w:themeColor="text1"/>
          <w:sz w:val="32"/>
          <w:highlight w:val="none"/>
          <w14:textFill>
            <w14:solidFill>
              <w14:schemeClr w14:val="tx1"/>
            </w14:solidFill>
          </w14:textFill>
        </w:rPr>
        <w:t>部门面向中小企业预留政府采购项目预算金额</w:t>
      </w:r>
      <w:r>
        <w:rPr>
          <w:rFonts w:hint="eastAsia" w:ascii="仿宋_GB2312" w:hAnsi="仿宋_GB2312" w:eastAsia="仿宋_GB2312" w:cs="仿宋_GB2312"/>
          <w:color w:val="000000" w:themeColor="text1"/>
          <w:sz w:val="32"/>
          <w:highlight w:val="none"/>
          <w:lang w:val="en-US" w:eastAsia="zh-CN"/>
          <w14:textFill>
            <w14:solidFill>
              <w14:schemeClr w14:val="tx1"/>
            </w14:solidFill>
          </w14:textFill>
        </w:rPr>
        <w:t>175.75</w:t>
      </w:r>
      <w:r>
        <w:rPr>
          <w:rFonts w:hint="eastAsia" w:ascii="仿宋_GB2312" w:hAnsi="仿宋_GB2312" w:eastAsia="仿宋_GB2312" w:cs="仿宋_GB2312"/>
          <w:color w:val="000000" w:themeColor="text1"/>
          <w:sz w:val="32"/>
          <w:highlight w:val="none"/>
          <w14:textFill>
            <w14:solidFill>
              <w14:schemeClr w14:val="tx1"/>
            </w14:solidFill>
          </w14:textFill>
        </w:rPr>
        <w:t>万元，小微企业预留政府采购项目预算金额</w:t>
      </w:r>
      <w:r>
        <w:rPr>
          <w:rFonts w:hint="eastAsia" w:ascii="仿宋_GB2312" w:hAnsi="仿宋_GB2312" w:eastAsia="仿宋_GB2312" w:cs="仿宋_GB2312"/>
          <w:color w:val="000000" w:themeColor="text1"/>
          <w:sz w:val="32"/>
          <w:highlight w:val="none"/>
          <w:lang w:val="en-US" w:eastAsia="zh-CN"/>
          <w14:textFill>
            <w14:solidFill>
              <w14:schemeClr w14:val="tx1"/>
            </w14:solidFill>
          </w14:textFill>
        </w:rPr>
        <w:t>175.75</w:t>
      </w:r>
      <w:r>
        <w:rPr>
          <w:rFonts w:hint="eastAsia" w:ascii="仿宋_GB2312" w:hAnsi="仿宋_GB2312" w:eastAsia="仿宋_GB2312" w:cs="仿宋_GB2312"/>
          <w:color w:val="000000" w:themeColor="text1"/>
          <w:sz w:val="32"/>
          <w:highlight w:val="none"/>
          <w14:textFill>
            <w14:solidFill>
              <w14:schemeClr w14:val="tx1"/>
            </w14:solidFill>
          </w14:textFill>
        </w:rPr>
        <w:t>万元</w:t>
      </w:r>
      <w:r>
        <w:rPr>
          <w:rFonts w:hint="eastAsia" w:ascii="仿宋_GB2312" w:hAnsi="仿宋_GB2312" w:eastAsia="仿宋_GB2312" w:cs="仿宋_GB2312"/>
          <w:color w:val="FF0000"/>
          <w:sz w:val="32"/>
          <w:highlight w:val="none"/>
        </w:rPr>
        <w:t>。</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截至2024年底，中共呼图壁县委员会机要保密局占用使用国有资产总体情况为：</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1.房屋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平方米，价值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2.车辆  </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 xml:space="preserve">  辆，价值  </w:t>
      </w:r>
      <w:r>
        <w:rPr>
          <w:rFonts w:hint="eastAsia" w:ascii="仿宋_GB2312" w:hAnsi="仿宋_GB2312" w:eastAsia="仿宋_GB2312" w:cs="仿宋_GB2312"/>
          <w:kern w:val="0"/>
          <w:sz w:val="32"/>
          <w:szCs w:val="32"/>
          <w:highlight w:val="none"/>
          <w:lang w:val="en-US" w:eastAsia="zh-CN"/>
        </w:rPr>
        <w:t>15.5</w:t>
      </w:r>
      <w:r>
        <w:rPr>
          <w:rFonts w:hint="eastAsia" w:ascii="仿宋_GB2312" w:hAnsi="仿宋_GB2312" w:eastAsia="仿宋_GB2312" w:cs="仿宋_GB2312"/>
          <w:kern w:val="0"/>
          <w:sz w:val="32"/>
          <w:szCs w:val="32"/>
          <w:highlight w:val="none"/>
        </w:rPr>
        <w:t xml:space="preserve"> 万元；其中：一般公务用车 </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 xml:space="preserve"> 辆，价值  </w:t>
      </w:r>
      <w:r>
        <w:rPr>
          <w:rFonts w:hint="eastAsia" w:ascii="仿宋_GB2312" w:hAnsi="仿宋_GB2312" w:eastAsia="仿宋_GB2312" w:cs="仿宋_GB2312"/>
          <w:kern w:val="0"/>
          <w:sz w:val="32"/>
          <w:szCs w:val="32"/>
          <w:highlight w:val="none"/>
          <w:lang w:val="en-US" w:eastAsia="zh-CN"/>
        </w:rPr>
        <w:t>15.5</w:t>
      </w:r>
      <w:r>
        <w:rPr>
          <w:rFonts w:hint="eastAsia" w:ascii="仿宋_GB2312" w:hAnsi="仿宋_GB2312" w:eastAsia="仿宋_GB2312" w:cs="仿宋_GB2312"/>
          <w:kern w:val="0"/>
          <w:sz w:val="32"/>
          <w:szCs w:val="32"/>
          <w:highlight w:val="none"/>
        </w:rPr>
        <w:t xml:space="preserve"> 万元；执法执勤用车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辆，价值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万元；其他车辆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辆，价值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3.办公家具价值  </w:t>
      </w:r>
      <w:r>
        <w:rPr>
          <w:rFonts w:hint="eastAsia" w:ascii="仿宋_GB2312" w:hAnsi="仿宋_GB2312" w:eastAsia="仿宋_GB2312" w:cs="仿宋_GB2312"/>
          <w:kern w:val="0"/>
          <w:sz w:val="32"/>
          <w:szCs w:val="32"/>
          <w:highlight w:val="none"/>
          <w:lang w:val="en-US" w:eastAsia="zh-CN"/>
        </w:rPr>
        <w:t>4.61</w:t>
      </w:r>
      <w:r>
        <w:rPr>
          <w:rFonts w:hint="eastAsia" w:ascii="仿宋_GB2312" w:hAnsi="仿宋_GB2312" w:eastAsia="仿宋_GB2312" w:cs="仿宋_GB2312"/>
          <w:kern w:val="0"/>
          <w:sz w:val="32"/>
          <w:szCs w:val="32"/>
          <w:highlight w:val="none"/>
        </w:rPr>
        <w:t xml:space="preserve"> 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4.其他资产价值 </w:t>
      </w:r>
      <w:r>
        <w:rPr>
          <w:rFonts w:hint="eastAsia" w:ascii="仿宋_GB2312" w:hAnsi="仿宋_GB2312" w:eastAsia="仿宋_GB2312" w:cs="仿宋_GB2312"/>
          <w:kern w:val="0"/>
          <w:sz w:val="32"/>
          <w:szCs w:val="32"/>
          <w:highlight w:val="none"/>
          <w:lang w:val="en-US" w:eastAsia="zh-CN"/>
        </w:rPr>
        <w:t>166.87</w:t>
      </w:r>
      <w:r>
        <w:rPr>
          <w:rFonts w:hint="eastAsia" w:ascii="仿宋_GB2312" w:hAnsi="仿宋_GB2312" w:eastAsia="仿宋_GB2312" w:cs="仿宋_GB2312"/>
          <w:kern w:val="0"/>
          <w:sz w:val="32"/>
          <w:szCs w:val="32"/>
          <w:highlight w:val="none"/>
        </w:rPr>
        <w:t xml:space="preserve">  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部门价值50万元以上大型设备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台，部门价值100万元以上大型设备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台。</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2025年部门预算未安排购置车辆经费，安排购置50万元以上大型设备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台，单位价值100万元以上大型设备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台。</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（四）预算绩效情况</w:t>
      </w:r>
    </w:p>
    <w:p>
      <w:pPr>
        <w:spacing w:line="600" w:lineRule="exact"/>
        <w:ind w:firstLine="640" w:firstLineChars="200"/>
        <w:rPr>
          <w:rFonts w:ascii="仿宋_GB2312" w:hAnsi="仿宋_GB2312" w:eastAsia="仿宋_GB2312" w:cs="仿宋_GB2312"/>
          <w:kern w:val="0"/>
          <w:sz w:val="32"/>
          <w:szCs w:val="32"/>
          <w:highlight w:val="none"/>
        </w:rPr>
      </w:pPr>
      <w:bookmarkStart w:id="0" w:name="OLE_LINK1"/>
      <w:r>
        <w:rPr>
          <w:rFonts w:eastAsia="仿宋_GB2312"/>
          <w:kern w:val="0"/>
          <w:sz w:val="32"/>
          <w:szCs w:val="32"/>
          <w:highlight w:val="none"/>
        </w:rPr>
        <w:t>2025</w:t>
      </w:r>
      <w:r>
        <w:rPr>
          <w:rFonts w:hint="eastAsia" w:ascii="仿宋_GB2312" w:hAnsi="仿宋_GB2312" w:eastAsia="仿宋_GB2312" w:cs="仿宋_GB2312"/>
          <w:kern w:val="0"/>
          <w:sz w:val="32"/>
          <w:szCs w:val="32"/>
          <w:highlight w:val="none"/>
        </w:rPr>
        <w:t>年，本部门预算绩效管理整体预算绩效目标1个，涉及预算金额537.08万元；当年预算安排项目共</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个，其中:财政拨款项目涉及预算金额</w:t>
      </w:r>
      <w:r>
        <w:rPr>
          <w:rFonts w:hint="eastAsia" w:ascii="仿宋_GB2312" w:hAnsi="仿宋_GB2312" w:eastAsia="仿宋_GB2312" w:cs="仿宋_GB2312"/>
          <w:kern w:val="0"/>
          <w:sz w:val="32"/>
          <w:szCs w:val="32"/>
          <w:highlight w:val="none"/>
          <w:lang w:val="en-US" w:eastAsia="zh-CN"/>
        </w:rPr>
        <w:t>306.07</w:t>
      </w:r>
      <w:r>
        <w:rPr>
          <w:rFonts w:hint="eastAsia" w:ascii="仿宋_GB2312" w:hAnsi="仿宋_GB2312" w:eastAsia="仿宋_GB2312" w:cs="仿宋_GB2312"/>
          <w:kern w:val="0"/>
          <w:sz w:val="32"/>
          <w:szCs w:val="32"/>
          <w:highlight w:val="none"/>
        </w:rPr>
        <w:t>万元；非财政拨款项目涉及预算金额</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万元。具体情况见下表：  </w:t>
      </w:r>
    </w:p>
    <w:p>
      <w:pPr>
        <w:spacing w:line="600" w:lineRule="exact"/>
        <w:ind w:firstLine="640" w:firstLineChars="200"/>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p>
      <w:pPr>
        <w:pStyle w:val="2"/>
        <w:rPr>
          <w:rFonts w:hint="eastAsia" w:ascii="仿宋_GB2312" w:hAnsi="仿宋_GB2312" w:eastAsia="仿宋_GB2312" w:cs="仿宋_GB2312"/>
          <w:color w:val="FF0000"/>
          <w:kern w:val="0"/>
          <w:sz w:val="32"/>
          <w:szCs w:val="32"/>
          <w:highlight w:val="none"/>
        </w:rPr>
      </w:pPr>
    </w:p>
    <w:bookmarkEnd w:id="0"/>
    <w:tbl>
      <w:tblPr>
        <w:tblStyle w:val="7"/>
        <w:tblW w:w="9582" w:type="dxa"/>
        <w:tblInd w:w="-53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3"/>
        <w:gridCol w:w="570"/>
        <w:gridCol w:w="949"/>
        <w:gridCol w:w="1376"/>
        <w:gridCol w:w="990"/>
        <w:gridCol w:w="765"/>
        <w:gridCol w:w="2370"/>
        <w:gridCol w:w="12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82" w:type="dxa"/>
            <w:gridSpan w:val="8"/>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582" w:type="dxa"/>
            <w:gridSpan w:val="8"/>
            <w:tcBorders>
              <w:bottom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部门（单位）名称（盖章）</w:t>
            </w:r>
          </w:p>
        </w:tc>
        <w:tc>
          <w:tcPr>
            <w:tcW w:w="769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中共呼图壁县委员会机要保密局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部门（单位）联系人</w:t>
            </w:r>
          </w:p>
        </w:tc>
        <w:tc>
          <w:tcPr>
            <w:tcW w:w="23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刘梦颖</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联系电话：</w:t>
            </w:r>
          </w:p>
        </w:tc>
        <w:tc>
          <w:tcPr>
            <w:tcW w:w="43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18209944333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260" w:hRule="atLeast"/>
        </w:trPr>
        <w:tc>
          <w:tcPr>
            <w:tcW w:w="42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年度绩效目标</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强化保密监督检查，指导各级机关单位、乡镇、驻县单位、国有企业保密工作开展；对教育部门考试保密管理情况进行指导、监督和检查；有效开展保密、密码宣传教育工作，组织开展保密宣传教育月和“4·15”全民国家安全教育日系列活动；涉密会议服务保障；保障全县电子政务内网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年度预算（万元）</w:t>
            </w:r>
          </w:p>
        </w:tc>
        <w:tc>
          <w:tcPr>
            <w:tcW w:w="769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8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财政资金（万元）</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上级资金</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本级资金</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463.4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88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其他资金（万元）</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其他</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73.68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23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合计：</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537.08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23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一级指标</w:t>
            </w: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二级指标</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三级指标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指标值设定依据</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履职效能</w:t>
            </w:r>
          </w:p>
        </w:tc>
        <w:tc>
          <w:tcPr>
            <w:tcW w:w="9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数量指标</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保障车辆数量</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&gt;=1辆</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中共呼图壁县委员会机要保密局工作计划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服务保障涉密会议</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&gt;=28场次</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呼图壁县委机要保密局工作计划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保密检查</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&gt;=3轮次</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中共呼图壁县委员会机要保密局工作计划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保密宣传培训</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&gt;=14场次</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文件办理</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&gt;=200份</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质量指标</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文件办理合格率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&gt;=100%</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时效指标</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电报办理及时率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&gt;=100%</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12</w:t>
            </w:r>
          </w:p>
        </w:tc>
      </w:tr>
    </w:tbl>
    <w:p>
      <w:pPr>
        <w:spacing w:line="600" w:lineRule="exact"/>
        <w:ind w:firstLine="640" w:firstLineChars="200"/>
        <w:rPr>
          <w:rFonts w:ascii="仿宋_GB2312" w:hAnsi="仿宋_GB2312" w:eastAsia="仿宋_GB2312" w:cs="仿宋_GB2312"/>
          <w:kern w:val="0"/>
          <w:sz w:val="32"/>
          <w:szCs w:val="32"/>
          <w:highlight w:val="none"/>
        </w:rPr>
      </w:pPr>
    </w:p>
    <w:p>
      <w:pPr>
        <w:spacing w:line="600" w:lineRule="exact"/>
        <w:rPr>
          <w:rFonts w:ascii="仿宋_GB2312" w:hAnsi="仿宋_GB2312" w:eastAsia="仿宋_GB2312" w:cs="仿宋_GB2312"/>
          <w:b/>
          <w:kern w:val="0"/>
          <w:sz w:val="32"/>
          <w:szCs w:val="32"/>
          <w:highlight w:val="none"/>
        </w:rPr>
      </w:pPr>
    </w:p>
    <w:p>
      <w:pPr>
        <w:pStyle w:val="2"/>
        <w:rPr>
          <w:rFonts w:ascii="仿宋_GB2312" w:hAnsi="仿宋_GB2312" w:eastAsia="仿宋_GB2312" w:cs="仿宋_GB2312"/>
          <w:b/>
          <w:kern w:val="0"/>
          <w:sz w:val="32"/>
          <w:szCs w:val="32"/>
          <w:highlight w:val="none"/>
        </w:rPr>
      </w:pPr>
    </w:p>
    <w:p>
      <w:pPr>
        <w:spacing w:line="600" w:lineRule="exact"/>
        <w:rPr>
          <w:rFonts w:hint="default" w:ascii="楷体_GB2312" w:hAnsi="宋体" w:eastAsia="楷体_GB2312" w:cs="宋体"/>
          <w:b/>
          <w:kern w:val="0"/>
          <w:sz w:val="32"/>
          <w:szCs w:val="32"/>
          <w:highlight w:val="none"/>
          <w:lang w:val="en-US" w:eastAsia="zh-CN"/>
        </w:rPr>
      </w:pPr>
    </w:p>
    <w:p>
      <w:pPr>
        <w:spacing w:line="600" w:lineRule="exact"/>
        <w:rPr>
          <w:rFonts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spacing w:line="600" w:lineRule="exact"/>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中共呼图壁县委员会机要保密局</w:t>
      </w:r>
      <w:r>
        <w:rPr>
          <w:rFonts w:hint="eastAsia" w:ascii="仿宋_GB2312" w:eastAsia="仿宋_GB2312"/>
          <w:sz w:val="32"/>
          <w:szCs w:val="32"/>
          <w:highlight w:val="none"/>
          <w:lang w:eastAsia="zh-CN"/>
        </w:rPr>
        <w:t>本年</w:t>
      </w:r>
      <w:r>
        <w:rPr>
          <w:rFonts w:hint="eastAsia" w:ascii="仿宋_GB2312" w:eastAsia="仿宋_GB2312"/>
          <w:sz w:val="32"/>
          <w:szCs w:val="32"/>
          <w:highlight w:val="none"/>
        </w:rPr>
        <w:t>有2个</w:t>
      </w:r>
      <w:r>
        <w:rPr>
          <w:rFonts w:hint="eastAsia" w:ascii="仿宋_GB2312" w:eastAsia="仿宋_GB2312"/>
          <w:sz w:val="32"/>
          <w:szCs w:val="32"/>
          <w:highlight w:val="none"/>
          <w:lang w:val="en-US" w:eastAsia="zh-CN"/>
        </w:rPr>
        <w:t>sm</w:t>
      </w:r>
      <w:r>
        <w:rPr>
          <w:rFonts w:hint="eastAsia" w:ascii="仿宋_GB2312" w:eastAsia="仿宋_GB2312"/>
          <w:sz w:val="32"/>
          <w:szCs w:val="32"/>
          <w:highlight w:val="none"/>
        </w:rPr>
        <w:t>项目，涉及预算资金</w:t>
      </w:r>
      <w:r>
        <w:rPr>
          <w:rFonts w:hint="eastAsia" w:ascii="仿宋_GB2312" w:eastAsia="仿宋_GB2312"/>
          <w:sz w:val="32"/>
          <w:szCs w:val="32"/>
          <w:highlight w:val="none"/>
          <w:lang w:val="en-US" w:eastAsia="zh-CN"/>
        </w:rPr>
        <w:t>306.07</w:t>
      </w:r>
      <w:r>
        <w:rPr>
          <w:rFonts w:hint="eastAsia" w:ascii="仿宋_GB2312" w:eastAsia="仿宋_GB2312"/>
          <w:sz w:val="32"/>
          <w:szCs w:val="32"/>
          <w:highlight w:val="none"/>
        </w:rPr>
        <w:t>万元，项目绩效目标表完全不予公开。</w:t>
      </w:r>
    </w:p>
    <w:p>
      <w:pPr>
        <w:spacing w:line="600" w:lineRule="exact"/>
        <w:jc w:val="center"/>
        <w:rPr>
          <w:rFonts w:ascii="黑体" w:hAnsi="黑体" w:eastAsia="黑体"/>
          <w:kern w:val="0"/>
          <w:sz w:val="32"/>
          <w:szCs w:val="32"/>
          <w:highlight w:val="none"/>
        </w:rPr>
      </w:pP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部门（单位）支出预算的组成部分，是各部门为完成其特定的行政任务或事业发展目标，在基本支出预算之外编制的年度项目支出计划。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七、“三公”经费：</w:t>
      </w:r>
      <w:r>
        <w:rPr>
          <w:rFonts w:hint="eastAsia" w:ascii="仿宋_GB2312" w:eastAsia="仿宋_GB2312"/>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中共呼图壁县委员会机要保密局</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bookmarkEnd w:id="1"/>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p>
                        <w:p>
                          <w:pPr>
                            <w:pStyle w:val="4"/>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- 25 -</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0010C2"/>
    <w:rsid w:val="000168AB"/>
    <w:rsid w:val="00070449"/>
    <w:rsid w:val="000A0684"/>
    <w:rsid w:val="00123AD1"/>
    <w:rsid w:val="00136AEC"/>
    <w:rsid w:val="00157093"/>
    <w:rsid w:val="00187341"/>
    <w:rsid w:val="00190CF6"/>
    <w:rsid w:val="001F3CF7"/>
    <w:rsid w:val="002023C4"/>
    <w:rsid w:val="00263BC2"/>
    <w:rsid w:val="00284FF8"/>
    <w:rsid w:val="002E6955"/>
    <w:rsid w:val="003277AF"/>
    <w:rsid w:val="003342F2"/>
    <w:rsid w:val="00355B35"/>
    <w:rsid w:val="00363763"/>
    <w:rsid w:val="003A14BB"/>
    <w:rsid w:val="003E682F"/>
    <w:rsid w:val="00451241"/>
    <w:rsid w:val="00483A0C"/>
    <w:rsid w:val="004924E7"/>
    <w:rsid w:val="00494B9D"/>
    <w:rsid w:val="004C4DB6"/>
    <w:rsid w:val="004E76FB"/>
    <w:rsid w:val="0051157F"/>
    <w:rsid w:val="00546400"/>
    <w:rsid w:val="00564726"/>
    <w:rsid w:val="00566502"/>
    <w:rsid w:val="005927AD"/>
    <w:rsid w:val="005E54D3"/>
    <w:rsid w:val="00602369"/>
    <w:rsid w:val="00631718"/>
    <w:rsid w:val="006618C3"/>
    <w:rsid w:val="0067582C"/>
    <w:rsid w:val="006B0EEB"/>
    <w:rsid w:val="006C6C99"/>
    <w:rsid w:val="006D0364"/>
    <w:rsid w:val="006E1F4A"/>
    <w:rsid w:val="006E2F4C"/>
    <w:rsid w:val="0071637A"/>
    <w:rsid w:val="0077153F"/>
    <w:rsid w:val="007822A6"/>
    <w:rsid w:val="007A59BC"/>
    <w:rsid w:val="007A647C"/>
    <w:rsid w:val="007E532C"/>
    <w:rsid w:val="007F0219"/>
    <w:rsid w:val="00805180"/>
    <w:rsid w:val="008135D2"/>
    <w:rsid w:val="00837B7C"/>
    <w:rsid w:val="008439A2"/>
    <w:rsid w:val="00871CD9"/>
    <w:rsid w:val="00881549"/>
    <w:rsid w:val="00890C77"/>
    <w:rsid w:val="008C09EE"/>
    <w:rsid w:val="008E6522"/>
    <w:rsid w:val="009252E4"/>
    <w:rsid w:val="00940343"/>
    <w:rsid w:val="009464F8"/>
    <w:rsid w:val="00957506"/>
    <w:rsid w:val="00992460"/>
    <w:rsid w:val="009A4822"/>
    <w:rsid w:val="009B0378"/>
    <w:rsid w:val="009E1563"/>
    <w:rsid w:val="009F6AF8"/>
    <w:rsid w:val="00A219DF"/>
    <w:rsid w:val="00A3014F"/>
    <w:rsid w:val="00A301E3"/>
    <w:rsid w:val="00A3626A"/>
    <w:rsid w:val="00A712C2"/>
    <w:rsid w:val="00AD7D36"/>
    <w:rsid w:val="00AF4F2E"/>
    <w:rsid w:val="00B06037"/>
    <w:rsid w:val="00B21957"/>
    <w:rsid w:val="00B26E39"/>
    <w:rsid w:val="00B328FC"/>
    <w:rsid w:val="00BB5588"/>
    <w:rsid w:val="00BB7661"/>
    <w:rsid w:val="00BD34BC"/>
    <w:rsid w:val="00C17CF9"/>
    <w:rsid w:val="00C54C68"/>
    <w:rsid w:val="00C83877"/>
    <w:rsid w:val="00CA5B3A"/>
    <w:rsid w:val="00CA6A29"/>
    <w:rsid w:val="00CB2D0B"/>
    <w:rsid w:val="00CC0017"/>
    <w:rsid w:val="00D206D4"/>
    <w:rsid w:val="00D40275"/>
    <w:rsid w:val="00E35D5A"/>
    <w:rsid w:val="00E41A1F"/>
    <w:rsid w:val="00E521A3"/>
    <w:rsid w:val="00E615EE"/>
    <w:rsid w:val="00E62188"/>
    <w:rsid w:val="00E6558C"/>
    <w:rsid w:val="00E90905"/>
    <w:rsid w:val="00E94536"/>
    <w:rsid w:val="00E959A3"/>
    <w:rsid w:val="00E96F70"/>
    <w:rsid w:val="00EC34C1"/>
    <w:rsid w:val="00ED6341"/>
    <w:rsid w:val="00F41983"/>
    <w:rsid w:val="00F801D3"/>
    <w:rsid w:val="00F83204"/>
    <w:rsid w:val="017B2F92"/>
    <w:rsid w:val="020E507E"/>
    <w:rsid w:val="02732F8E"/>
    <w:rsid w:val="02CB7F49"/>
    <w:rsid w:val="037800D1"/>
    <w:rsid w:val="04267087"/>
    <w:rsid w:val="04267B2D"/>
    <w:rsid w:val="044C330C"/>
    <w:rsid w:val="05397FD9"/>
    <w:rsid w:val="057A5F58"/>
    <w:rsid w:val="05CA273A"/>
    <w:rsid w:val="070E6657"/>
    <w:rsid w:val="080E3E4F"/>
    <w:rsid w:val="084451C2"/>
    <w:rsid w:val="08450B28"/>
    <w:rsid w:val="08762705"/>
    <w:rsid w:val="088F5575"/>
    <w:rsid w:val="08E81855"/>
    <w:rsid w:val="0A4168EC"/>
    <w:rsid w:val="0A47214F"/>
    <w:rsid w:val="0A952342"/>
    <w:rsid w:val="0AD672A7"/>
    <w:rsid w:val="0B247F12"/>
    <w:rsid w:val="0B5C4935"/>
    <w:rsid w:val="0B7C3034"/>
    <w:rsid w:val="0B841FFD"/>
    <w:rsid w:val="0BD56A2F"/>
    <w:rsid w:val="0C0A3890"/>
    <w:rsid w:val="0CD20198"/>
    <w:rsid w:val="0CEC568C"/>
    <w:rsid w:val="0D6E5FD0"/>
    <w:rsid w:val="0E074CF0"/>
    <w:rsid w:val="0E320E7D"/>
    <w:rsid w:val="0E9208E7"/>
    <w:rsid w:val="0FF038F8"/>
    <w:rsid w:val="10587512"/>
    <w:rsid w:val="105D0E37"/>
    <w:rsid w:val="10916BDA"/>
    <w:rsid w:val="11036B00"/>
    <w:rsid w:val="11301FEB"/>
    <w:rsid w:val="11B6451D"/>
    <w:rsid w:val="11FE30F9"/>
    <w:rsid w:val="121E62E8"/>
    <w:rsid w:val="13260ACA"/>
    <w:rsid w:val="1697741D"/>
    <w:rsid w:val="17286D0C"/>
    <w:rsid w:val="19A215AC"/>
    <w:rsid w:val="1A132B78"/>
    <w:rsid w:val="1AC437A4"/>
    <w:rsid w:val="1AE73753"/>
    <w:rsid w:val="1B153D26"/>
    <w:rsid w:val="1B743A2B"/>
    <w:rsid w:val="1BEB54C3"/>
    <w:rsid w:val="1C3C6084"/>
    <w:rsid w:val="1C8C02F2"/>
    <w:rsid w:val="1CD86F62"/>
    <w:rsid w:val="1D3E1AFE"/>
    <w:rsid w:val="1DB66681"/>
    <w:rsid w:val="1DE52C81"/>
    <w:rsid w:val="1E6432D4"/>
    <w:rsid w:val="1E89232D"/>
    <w:rsid w:val="1EB61656"/>
    <w:rsid w:val="20407429"/>
    <w:rsid w:val="20CF3CE4"/>
    <w:rsid w:val="20DD55C0"/>
    <w:rsid w:val="22922CB8"/>
    <w:rsid w:val="22DB78DD"/>
    <w:rsid w:val="244D65B8"/>
    <w:rsid w:val="2492221D"/>
    <w:rsid w:val="24B42D8E"/>
    <w:rsid w:val="250855AF"/>
    <w:rsid w:val="258B383C"/>
    <w:rsid w:val="263B7010"/>
    <w:rsid w:val="26B4291F"/>
    <w:rsid w:val="26BD282A"/>
    <w:rsid w:val="26E769FA"/>
    <w:rsid w:val="2712106E"/>
    <w:rsid w:val="286D65BC"/>
    <w:rsid w:val="28D9041B"/>
    <w:rsid w:val="293B2E83"/>
    <w:rsid w:val="29C82A11"/>
    <w:rsid w:val="29E56D4B"/>
    <w:rsid w:val="2AFC4894"/>
    <w:rsid w:val="2B3A05DE"/>
    <w:rsid w:val="2B6901C6"/>
    <w:rsid w:val="2D480265"/>
    <w:rsid w:val="2D977453"/>
    <w:rsid w:val="2E2943BA"/>
    <w:rsid w:val="2EF22236"/>
    <w:rsid w:val="2FED29FE"/>
    <w:rsid w:val="300E1D4A"/>
    <w:rsid w:val="30B05F05"/>
    <w:rsid w:val="310F3573"/>
    <w:rsid w:val="31F74741"/>
    <w:rsid w:val="32D560F7"/>
    <w:rsid w:val="33A76F60"/>
    <w:rsid w:val="341E7629"/>
    <w:rsid w:val="34762022"/>
    <w:rsid w:val="35F117C8"/>
    <w:rsid w:val="36BE4F98"/>
    <w:rsid w:val="38284F1B"/>
    <w:rsid w:val="39B0409D"/>
    <w:rsid w:val="3BE45FB7"/>
    <w:rsid w:val="3BF21AC7"/>
    <w:rsid w:val="3C013037"/>
    <w:rsid w:val="3FDF4D23"/>
    <w:rsid w:val="41083B3B"/>
    <w:rsid w:val="41270465"/>
    <w:rsid w:val="41DB2FFE"/>
    <w:rsid w:val="42F779C3"/>
    <w:rsid w:val="43502DA9"/>
    <w:rsid w:val="43801837"/>
    <w:rsid w:val="43C26223"/>
    <w:rsid w:val="43D8307E"/>
    <w:rsid w:val="44507CD3"/>
    <w:rsid w:val="44AF5181"/>
    <w:rsid w:val="455A018C"/>
    <w:rsid w:val="462A6941"/>
    <w:rsid w:val="46B02CAB"/>
    <w:rsid w:val="46CE3131"/>
    <w:rsid w:val="493059DD"/>
    <w:rsid w:val="494F7907"/>
    <w:rsid w:val="4ADF73DC"/>
    <w:rsid w:val="4B1B26BD"/>
    <w:rsid w:val="4B315A3D"/>
    <w:rsid w:val="4C0055E5"/>
    <w:rsid w:val="4C3677AE"/>
    <w:rsid w:val="4C706B3A"/>
    <w:rsid w:val="4F3B332E"/>
    <w:rsid w:val="51C15CED"/>
    <w:rsid w:val="52285DEB"/>
    <w:rsid w:val="529E10F5"/>
    <w:rsid w:val="52AD62F0"/>
    <w:rsid w:val="53875695"/>
    <w:rsid w:val="53A94D0A"/>
    <w:rsid w:val="546308FE"/>
    <w:rsid w:val="56FE59C9"/>
    <w:rsid w:val="570D735E"/>
    <w:rsid w:val="571B2674"/>
    <w:rsid w:val="589917F1"/>
    <w:rsid w:val="59B241EC"/>
    <w:rsid w:val="59D14A11"/>
    <w:rsid w:val="5A5E27F6"/>
    <w:rsid w:val="5A704801"/>
    <w:rsid w:val="5A8C5E4D"/>
    <w:rsid w:val="5AED2A9A"/>
    <w:rsid w:val="5D9E1657"/>
    <w:rsid w:val="5E225DE5"/>
    <w:rsid w:val="5E257683"/>
    <w:rsid w:val="5E7802BC"/>
    <w:rsid w:val="5E9F188A"/>
    <w:rsid w:val="5EE078B0"/>
    <w:rsid w:val="5F0D5523"/>
    <w:rsid w:val="5F2346ED"/>
    <w:rsid w:val="61086613"/>
    <w:rsid w:val="61686204"/>
    <w:rsid w:val="622C5D87"/>
    <w:rsid w:val="62917095"/>
    <w:rsid w:val="630E06E5"/>
    <w:rsid w:val="6408782B"/>
    <w:rsid w:val="65322CBF"/>
    <w:rsid w:val="65B35574"/>
    <w:rsid w:val="65C658ED"/>
    <w:rsid w:val="6609788A"/>
    <w:rsid w:val="674F2F0C"/>
    <w:rsid w:val="68CC52CB"/>
    <w:rsid w:val="68DE4FFE"/>
    <w:rsid w:val="691B0000"/>
    <w:rsid w:val="694B58D7"/>
    <w:rsid w:val="69CE4E15"/>
    <w:rsid w:val="6A121322"/>
    <w:rsid w:val="6B1370FB"/>
    <w:rsid w:val="6B3E7E06"/>
    <w:rsid w:val="6B7F3246"/>
    <w:rsid w:val="6BF904A6"/>
    <w:rsid w:val="6CB5251A"/>
    <w:rsid w:val="6CD429A0"/>
    <w:rsid w:val="6EF07839"/>
    <w:rsid w:val="6F63000B"/>
    <w:rsid w:val="6FCF0C72"/>
    <w:rsid w:val="71500A63"/>
    <w:rsid w:val="717C1858"/>
    <w:rsid w:val="72B56DCF"/>
    <w:rsid w:val="72E964BC"/>
    <w:rsid w:val="735C7C42"/>
    <w:rsid w:val="73D50144"/>
    <w:rsid w:val="74D07EF1"/>
    <w:rsid w:val="75B570E6"/>
    <w:rsid w:val="75BF3AC1"/>
    <w:rsid w:val="763D3EB9"/>
    <w:rsid w:val="7706409E"/>
    <w:rsid w:val="7797777E"/>
    <w:rsid w:val="780A1873"/>
    <w:rsid w:val="787D11B8"/>
    <w:rsid w:val="78A771BA"/>
    <w:rsid w:val="78AC6820"/>
    <w:rsid w:val="792C5912"/>
    <w:rsid w:val="7CBA4FE2"/>
    <w:rsid w:val="7CEE4A43"/>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8520</Words>
  <Characters>10575</Characters>
  <Lines>99</Lines>
  <Paragraphs>28</Paragraphs>
  <TotalTime>4</TotalTime>
  <ScaleCrop>false</ScaleCrop>
  <LinksUpToDate>false</LinksUpToDate>
  <CharactersWithSpaces>11861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2025-10-29T12:10:17Z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BAC403A9ED3146959DE7C0AC984C60C9_13</vt:lpwstr>
  </property>
  <property fmtid="{D5CDD505-2E9C-101B-9397-08002B2CF9AE}" pid="4" name="KSOTemplateDocerSaveRecord">
    <vt:lpwstr>eyJoZGlkIjoiMGQyMGMzOWI0Y2E4NzVkODBjNTY2NTZkZDk5YTRmZTIiLCJ1c2VySWQiOiIyODEyNDA0NzIifQ==</vt:lpwstr>
  </property>
</Properties>
</file>