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1" w:name="_GoBack"/>
    </w:p>
    <w:p>
      <w:pPr>
        <w:pStyle w:val="5"/>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中共呼图壁县委员会机构编制委员会办公室</w:t>
      </w:r>
      <w:r>
        <w:rPr>
          <w:rFonts w:hint="eastAsia" w:ascii="方正小标宋_GBK" w:hAnsi="宋体" w:eastAsia="方正小标宋_GBK"/>
          <w:color w:val="auto"/>
          <w:kern w:val="0"/>
          <w:sz w:val="44"/>
          <w:szCs w:val="44"/>
          <w:highlight w:val="none"/>
          <w:lang w:val="en-US" w:eastAsia="zh-CN"/>
        </w:rPr>
        <w:t>2025年</w:t>
      </w: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2025年中国共呼图壁县委员会机构编制委员会办公室</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2025年中共呼图壁县委员会机构编制委员会办公室</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贯彻执行党和国家及自治区、州关于行政管理体制改革、机构改革、事业单位改革和机构编制管理的方针、政策和法律、法规、规章、制度，研究县行政管理体制改革、机构改革、事业单位改革和机构编制管理有关问题，提出意见和建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研究拟订县、乡镇机构改革方案、事业单位改革方案并组织实施；审核党政机构、人大和政协机关、人民团体和群众团体机关、园区管理机构以及县党委、政府直属事业单位“三定”规定，负责各部门“三定”规定的具体解释工作；审核各部门所属事业单位机构改革方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统一管理全县党政机构、人大和政协机关、人民团体和群众团体机关、园区管理机构、各类事业单位及乡镇内设机构、事业站所职能职责配置、机构设置、人员编制和领导职数核定工作；审核并提出各部门、各单位职能配置和职责调整意见，协调各部门之间以及各部门与乡镇之间的职责分工；审核并提出各部门、各单位机构设置、人员编制和领导职数调整意见；审核并提出有关人民团体和群众团体机关以及事业单位的机构设置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监督检查县党政机构改革方案和事业单位改革方案执行情况；监督检查各乡镇、各部门各单位贯彻执行机构编制法律法规和有关机构编制政策、规定情况以及“三定”规定执行情况；监督检查各级各类事业单位机构编制事项的执行情况；受理违反机构编制法规、纪律的检举和投诉，进行调查核实并提出处理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负责事业单位登记管理工作。依法对县本级及授权登记的事业单位进行法人登记，组织实施年度报告公开工作，管理维护网上登记管理信息系统，依法保护事业单位有关登记事项的合法权益，依法处理违反《事业单位登记管理暂行条例》和《事业单位登记管理暂行条例实施细则》的行为；负责县党政机构、人大和政协机关以及纳入机构编制管理的人民团体、群众团体机关统一社会信用代码赋码发证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负责机构编制统计工作。负责县各级各类机构编制统计、汇总、分析和上报工作，负责县机构编制实名制管理工作。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中共呼图壁县委员会机构编制委员会办公室无下属预算单位，</w:t>
      </w:r>
      <w:r>
        <w:rPr>
          <w:rFonts w:hint="eastAsia" w:ascii="仿宋_GB2312" w:hAnsi="仿宋_GB2312" w:eastAsia="仿宋_GB2312" w:cs="仿宋_GB2312"/>
          <w:color w:val="auto"/>
          <w:kern w:val="0"/>
          <w:sz w:val="32"/>
          <w:szCs w:val="32"/>
          <w:highlight w:val="none"/>
          <w:lang w:val="en-US" w:eastAsia="zh-CN"/>
        </w:rPr>
        <w:t>下设0个处室，分别是：无。</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14</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14</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keepNext w:val="0"/>
        <w:keepLines w:val="0"/>
        <w:widowControl w:val="0"/>
        <w:suppressLineNumbers w:val="0"/>
        <w:spacing w:before="0" w:beforeAutospacing="0" w:after="0" w:afterAutospacing="0"/>
        <w:ind w:left="0" w:right="0"/>
        <w:jc w:val="both"/>
        <w:rPr>
          <w:rFonts w:ascii="仿宋_GB2312" w:hAnsi="宋体" w:eastAsia="仿宋_GB2312"/>
          <w:color w:val="auto"/>
          <w:kern w:val="0"/>
          <w:sz w:val="24"/>
          <w:highlight w:val="none"/>
        </w:rPr>
      </w:pPr>
      <w:r>
        <w:rPr>
          <w:rFonts w:hint="default" w:ascii="仿宋_GB2312" w:hAnsi="宋体" w:eastAsia="仿宋_GB2312" w:cs="仿宋_GB2312"/>
          <w:kern w:val="0"/>
          <w:sz w:val="24"/>
          <w:szCs w:val="24"/>
          <w:highlight w:val="none"/>
          <w:lang w:val="en-US" w:eastAsia="zh-CN" w:bidi="ar"/>
        </w:rPr>
        <w:t>编制</w:t>
      </w:r>
      <w:r>
        <w:rPr>
          <w:rFonts w:hint="eastAsia" w:ascii="仿宋_GB2312" w:hAnsi="宋体" w:eastAsia="仿宋_GB2312" w:cs="仿宋_GB2312"/>
          <w:kern w:val="0"/>
          <w:sz w:val="24"/>
          <w:szCs w:val="24"/>
          <w:highlight w:val="none"/>
          <w:lang w:val="en-US" w:eastAsia="zh-CN" w:bidi="ar"/>
        </w:rPr>
        <w:t>部门</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320.73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164.96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221.91</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221.91</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64.31</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36.14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98.82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98.82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55.32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320.73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320.73</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rPr>
        <w:t xml:space="preserve">单位：万元                                              </w:t>
      </w:r>
    </w:p>
    <w:tbl>
      <w:tblPr>
        <w:tblStyle w:val="7"/>
        <w:tblW w:w="10680" w:type="dxa"/>
        <w:tblInd w:w="-795" w:type="dxa"/>
        <w:tblLayout w:type="fixed"/>
        <w:tblCellMar>
          <w:top w:w="0" w:type="dxa"/>
          <w:left w:w="108" w:type="dxa"/>
          <w:bottom w:w="0" w:type="dxa"/>
          <w:right w:w="108" w:type="dxa"/>
        </w:tblCellMar>
      </w:tblPr>
      <w:tblGrid>
        <w:gridCol w:w="600"/>
        <w:gridCol w:w="450"/>
        <w:gridCol w:w="465"/>
        <w:gridCol w:w="1860"/>
        <w:gridCol w:w="855"/>
        <w:gridCol w:w="810"/>
        <w:gridCol w:w="930"/>
        <w:gridCol w:w="285"/>
        <w:gridCol w:w="510"/>
        <w:gridCol w:w="705"/>
        <w:gridCol w:w="420"/>
        <w:gridCol w:w="630"/>
        <w:gridCol w:w="360"/>
        <w:gridCol w:w="930"/>
        <w:gridCol w:w="465"/>
        <w:gridCol w:w="405"/>
      </w:tblGrid>
      <w:tr>
        <w:tblPrEx>
          <w:tblCellMar>
            <w:top w:w="0" w:type="dxa"/>
            <w:left w:w="108" w:type="dxa"/>
            <w:bottom w:w="0" w:type="dxa"/>
            <w:right w:w="108" w:type="dxa"/>
          </w:tblCellMar>
        </w:tblPrEx>
        <w:trPr>
          <w:trHeight w:val="697" w:hRule="atLeast"/>
        </w:trPr>
        <w:tc>
          <w:tcPr>
            <w:tcW w:w="151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4"/>
                <w:highlight w:val="none"/>
              </w:rPr>
              <w:t>功能分类科目编码</w:t>
            </w:r>
          </w:p>
        </w:tc>
        <w:tc>
          <w:tcPr>
            <w:tcW w:w="18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功能分类科目名称</w:t>
            </w:r>
          </w:p>
        </w:tc>
        <w:tc>
          <w:tcPr>
            <w:tcW w:w="85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总  计</w:t>
            </w:r>
          </w:p>
        </w:tc>
        <w:tc>
          <w:tcPr>
            <w:tcW w:w="429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hAnsi="宋体" w:eastAsia="仿宋_GB2312" w:cs="宋体"/>
                <w:b/>
                <w:color w:val="000000"/>
                <w:sz w:val="24"/>
                <w:highlight w:val="none"/>
              </w:rPr>
              <w:t>财  政  拨  款  (  补  助  )</w:t>
            </w:r>
          </w:p>
        </w:tc>
        <w:tc>
          <w:tcPr>
            <w:tcW w:w="3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财政专户（教育收费）</w:t>
            </w:r>
          </w:p>
        </w:tc>
        <w:tc>
          <w:tcPr>
            <w:tcW w:w="9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单位资金</w:t>
            </w:r>
          </w:p>
        </w:tc>
        <w:tc>
          <w:tcPr>
            <w:tcW w:w="4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财政拨款结转</w:t>
            </w:r>
          </w:p>
        </w:tc>
        <w:tc>
          <w:tcPr>
            <w:tcW w:w="4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非财政拨款结转结余</w:t>
            </w:r>
          </w:p>
        </w:tc>
      </w:tr>
      <w:tr>
        <w:tblPrEx>
          <w:tblCellMar>
            <w:top w:w="0" w:type="dxa"/>
            <w:left w:w="108" w:type="dxa"/>
            <w:bottom w:w="0" w:type="dxa"/>
            <w:right w:w="108" w:type="dxa"/>
          </w:tblCellMar>
        </w:tblPrEx>
        <w:trPr>
          <w:trHeight w:val="2600" w:hRule="atLeast"/>
        </w:trPr>
        <w:tc>
          <w:tcPr>
            <w:tcW w:w="600"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类</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款</w:t>
            </w:r>
          </w:p>
        </w:tc>
        <w:tc>
          <w:tcPr>
            <w:tcW w:w="465"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项</w:t>
            </w:r>
          </w:p>
        </w:tc>
        <w:tc>
          <w:tcPr>
            <w:tcW w:w="18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85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81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财政拨款(补助)小计</w:t>
            </w: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一般公共预算</w:t>
            </w:r>
          </w:p>
        </w:tc>
        <w:tc>
          <w:tcPr>
            <w:tcW w:w="2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上级一般公共预算安排的转移支付</w:t>
            </w:r>
          </w:p>
        </w:tc>
        <w:tc>
          <w:tcPr>
            <w:tcW w:w="51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政府性基金预算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上级政府性基金安排的转移支付</w:t>
            </w:r>
          </w:p>
        </w:tc>
        <w:tc>
          <w:tcPr>
            <w:tcW w:w="4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国有资本经营预算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上级国有资本经营预算安排的转移支付</w:t>
            </w:r>
          </w:p>
        </w:tc>
        <w:tc>
          <w:tcPr>
            <w:tcW w:w="3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9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4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4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eastAsia="宋体"/>
                <w:sz w:val="20"/>
                <w:szCs w:val="22"/>
                <w:highlight w:val="none"/>
                <w:lang w:eastAsia="zh-CN"/>
              </w:rPr>
            </w:pPr>
            <w:r>
              <w:rPr>
                <w:rFonts w:hint="eastAsia"/>
                <w:sz w:val="20"/>
                <w:szCs w:val="22"/>
                <w:highlight w:val="none"/>
              </w:rPr>
              <w:t>一般公共服务</w:t>
            </w:r>
            <w:r>
              <w:rPr>
                <w:rFonts w:hint="eastAsia"/>
                <w:sz w:val="20"/>
                <w:szCs w:val="22"/>
                <w:highlight w:val="none"/>
                <w:lang w:eastAsia="zh-CN"/>
              </w:rPr>
              <w:t>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164.96</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161.14</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161.14</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3.82</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31</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党委办公厅（室）及相关机构事务</w:t>
            </w:r>
          </w:p>
        </w:tc>
        <w:tc>
          <w:tcPr>
            <w:tcW w:w="855"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sz w:val="21"/>
                <w:szCs w:val="24"/>
                <w:highlight w:val="none"/>
                <w:lang w:val="en-US" w:eastAsia="zh-CN"/>
              </w:rPr>
              <w:t>164.96</w:t>
            </w:r>
          </w:p>
        </w:tc>
        <w:tc>
          <w:tcPr>
            <w:tcW w:w="81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161.14</w:t>
            </w:r>
          </w:p>
        </w:tc>
        <w:tc>
          <w:tcPr>
            <w:tcW w:w="93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161.14</w:t>
            </w:r>
          </w:p>
        </w:tc>
        <w:tc>
          <w:tcPr>
            <w:tcW w:w="285"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51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705"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42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63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3.82</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31</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行政运行</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79.34</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75.52</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75.52</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3.82</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201</w:t>
            </w:r>
          </w:p>
        </w:tc>
        <w:tc>
          <w:tcPr>
            <w:tcW w:w="45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31</w:t>
            </w:r>
          </w:p>
        </w:tc>
        <w:tc>
          <w:tcPr>
            <w:tcW w:w="46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50</w:t>
            </w:r>
          </w:p>
        </w:tc>
        <w:tc>
          <w:tcPr>
            <w:tcW w:w="1860" w:type="dxa"/>
            <w:tcBorders>
              <w:top w:val="nil"/>
              <w:left w:val="nil"/>
              <w:bottom w:val="single" w:color="auto" w:sz="4" w:space="0"/>
              <w:right w:val="single" w:color="auto" w:sz="4" w:space="0"/>
            </w:tcBorders>
            <w:noWrap w:val="0"/>
            <w:vAlign w:val="center"/>
          </w:tcPr>
          <w:p>
            <w:pPr>
              <w:jc w:val="center"/>
              <w:rPr>
                <w:rFonts w:hint="eastAsia" w:eastAsia="宋体"/>
                <w:sz w:val="20"/>
                <w:szCs w:val="22"/>
                <w:highlight w:val="none"/>
                <w:lang w:eastAsia="zh-CN"/>
              </w:rPr>
            </w:pPr>
            <w:r>
              <w:rPr>
                <w:rFonts w:hint="eastAsia"/>
                <w:sz w:val="20"/>
                <w:szCs w:val="22"/>
                <w:highlight w:val="none"/>
                <w:lang w:eastAsia="zh-CN"/>
              </w:rPr>
              <w:t>事业运行</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85.62</w:t>
            </w:r>
          </w:p>
        </w:tc>
        <w:tc>
          <w:tcPr>
            <w:tcW w:w="810" w:type="dxa"/>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lang w:val="en-US" w:eastAsia="zh-CN"/>
              </w:rPr>
              <w:t>85.62</w:t>
            </w:r>
          </w:p>
        </w:tc>
        <w:tc>
          <w:tcPr>
            <w:tcW w:w="930" w:type="dxa"/>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lang w:val="en-US" w:eastAsia="zh-CN"/>
              </w:rPr>
              <w:t>85.62</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18"/>
                <w:szCs w:val="21"/>
                <w:highlight w:val="none"/>
              </w:rPr>
            </w:pPr>
            <w:r>
              <w:rPr>
                <w:rFonts w:hint="eastAsia"/>
                <w:sz w:val="18"/>
                <w:szCs w:val="21"/>
                <w:highlight w:val="none"/>
              </w:rPr>
              <w:t>社会保障和就业支出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64.31</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25.82</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25.82</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38.49</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18"/>
                <w:szCs w:val="21"/>
                <w:highlight w:val="none"/>
              </w:rPr>
            </w:pPr>
            <w:r>
              <w:rPr>
                <w:rFonts w:hint="eastAsia"/>
                <w:sz w:val="18"/>
                <w:szCs w:val="21"/>
                <w:highlight w:val="none"/>
              </w:rPr>
              <w:t>行政事业单位养老支出</w:t>
            </w:r>
          </w:p>
        </w:tc>
        <w:tc>
          <w:tcPr>
            <w:tcW w:w="855"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sz w:val="21"/>
                <w:szCs w:val="24"/>
                <w:highlight w:val="none"/>
                <w:lang w:val="en-US" w:eastAsia="zh-CN"/>
              </w:rPr>
              <w:t>64.31</w:t>
            </w:r>
          </w:p>
        </w:tc>
        <w:tc>
          <w:tcPr>
            <w:tcW w:w="81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25.82</w:t>
            </w:r>
          </w:p>
        </w:tc>
        <w:tc>
          <w:tcPr>
            <w:tcW w:w="93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25.82</w:t>
            </w:r>
          </w:p>
        </w:tc>
        <w:tc>
          <w:tcPr>
            <w:tcW w:w="285"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51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705"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42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63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38.49</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05</w:t>
            </w:r>
          </w:p>
        </w:tc>
        <w:tc>
          <w:tcPr>
            <w:tcW w:w="46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01</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行政单位离退休</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3.83</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3.83</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3.83</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机关事业单位基本养老保险费支出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54.98</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21.99</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21.99</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32.99</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05</w:t>
            </w:r>
          </w:p>
        </w:tc>
        <w:tc>
          <w:tcPr>
            <w:tcW w:w="46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06</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机关事业单位职业年金缴费支出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5.50</w:t>
            </w:r>
          </w:p>
        </w:tc>
        <w:tc>
          <w:tcPr>
            <w:tcW w:w="8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5.50</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卫生健康支出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36.14</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16.63</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16.63</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19.51</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行政事业单位医疗</w:t>
            </w:r>
          </w:p>
        </w:tc>
        <w:tc>
          <w:tcPr>
            <w:tcW w:w="855"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sz w:val="21"/>
                <w:szCs w:val="24"/>
                <w:highlight w:val="none"/>
                <w:lang w:val="en-US" w:eastAsia="zh-CN"/>
              </w:rPr>
              <w:t>36.14</w:t>
            </w:r>
          </w:p>
        </w:tc>
        <w:tc>
          <w:tcPr>
            <w:tcW w:w="81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16.63</w:t>
            </w:r>
          </w:p>
        </w:tc>
        <w:tc>
          <w:tcPr>
            <w:tcW w:w="93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16.63</w:t>
            </w:r>
          </w:p>
        </w:tc>
        <w:tc>
          <w:tcPr>
            <w:tcW w:w="285"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51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705"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42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63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19.51</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行政单位医疗</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18.65</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4.90</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4.90</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13.75</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11</w:t>
            </w:r>
          </w:p>
        </w:tc>
        <w:tc>
          <w:tcPr>
            <w:tcW w:w="46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02</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事业单位医疗</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6.10</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6.10</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6.10</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03</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公务员医疗补助</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11.00</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5.50</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5.50</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5.50</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99</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其他行政事业单位医疗支出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0.40</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0.14</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0.14</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0.26</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住房保障支出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55.32</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18.32</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18.32</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37.00</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02</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住房改革支出</w:t>
            </w:r>
          </w:p>
        </w:tc>
        <w:tc>
          <w:tcPr>
            <w:tcW w:w="855" w:type="dxa"/>
            <w:tcBorders>
              <w:top w:val="nil"/>
              <w:left w:val="nil"/>
              <w:bottom w:val="single" w:color="auto" w:sz="4" w:space="0"/>
              <w:right w:val="single" w:color="auto" w:sz="4" w:space="0"/>
            </w:tcBorders>
            <w:noWrap w:val="0"/>
            <w:vAlign w:val="center"/>
          </w:tcPr>
          <w:p>
            <w:pPr>
              <w:jc w:val="center"/>
              <w:rPr>
                <w:rFonts w:hint="eastAsia"/>
                <w:sz w:val="21"/>
                <w:szCs w:val="24"/>
                <w:highlight w:val="none"/>
              </w:rPr>
            </w:pPr>
            <w:r>
              <w:rPr>
                <w:rFonts w:hint="eastAsia"/>
                <w:sz w:val="21"/>
                <w:szCs w:val="24"/>
                <w:highlight w:val="none"/>
                <w:lang w:val="en-US" w:eastAsia="zh-CN"/>
              </w:rPr>
              <w:t>55.32</w:t>
            </w:r>
          </w:p>
        </w:tc>
        <w:tc>
          <w:tcPr>
            <w:tcW w:w="81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18.32</w:t>
            </w:r>
          </w:p>
        </w:tc>
        <w:tc>
          <w:tcPr>
            <w:tcW w:w="93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18.32</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37.00</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02</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住房公积金</w:t>
            </w:r>
          </w:p>
        </w:tc>
        <w:tc>
          <w:tcPr>
            <w:tcW w:w="855" w:type="dxa"/>
            <w:tcBorders>
              <w:top w:val="nil"/>
              <w:left w:val="nil"/>
              <w:bottom w:val="single" w:color="auto" w:sz="4" w:space="0"/>
              <w:right w:val="single" w:color="auto" w:sz="4" w:space="0"/>
            </w:tcBorders>
            <w:noWrap w:val="0"/>
            <w:vAlign w:val="center"/>
          </w:tcPr>
          <w:p>
            <w:pPr>
              <w:jc w:val="center"/>
              <w:rPr>
                <w:rFonts w:hint="eastAsia"/>
                <w:sz w:val="21"/>
                <w:szCs w:val="24"/>
                <w:highlight w:val="none"/>
              </w:rPr>
            </w:pPr>
            <w:r>
              <w:rPr>
                <w:rFonts w:hint="eastAsia"/>
                <w:sz w:val="21"/>
                <w:szCs w:val="24"/>
                <w:highlight w:val="none"/>
                <w:lang w:val="en-US" w:eastAsia="zh-CN"/>
              </w:rPr>
              <w:t>55.32</w:t>
            </w:r>
          </w:p>
        </w:tc>
        <w:tc>
          <w:tcPr>
            <w:tcW w:w="81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18.32</w:t>
            </w:r>
          </w:p>
        </w:tc>
        <w:tc>
          <w:tcPr>
            <w:tcW w:w="93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18.32</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37.00</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b/>
                <w:bCs/>
                <w:sz w:val="20"/>
                <w:szCs w:val="22"/>
                <w:highlight w:val="none"/>
              </w:rPr>
            </w:pPr>
            <w:r>
              <w:rPr>
                <w:rFonts w:hint="eastAsia"/>
                <w:b/>
                <w:bCs/>
                <w:sz w:val="20"/>
                <w:szCs w:val="22"/>
                <w:highlight w:val="none"/>
              </w:rPr>
              <w:t>合 计</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b/>
                <w:bCs/>
                <w:sz w:val="21"/>
                <w:szCs w:val="24"/>
                <w:highlight w:val="none"/>
                <w:lang w:val="en-US" w:eastAsia="zh-CN"/>
              </w:rPr>
            </w:pPr>
            <w:r>
              <w:rPr>
                <w:rFonts w:hint="eastAsia"/>
                <w:b/>
                <w:bCs/>
                <w:sz w:val="21"/>
                <w:szCs w:val="24"/>
                <w:highlight w:val="none"/>
                <w:lang w:val="en-US" w:eastAsia="zh-CN"/>
              </w:rPr>
              <w:t>320.73</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b/>
                <w:bCs/>
                <w:highlight w:val="none"/>
                <w:lang w:val="en-US" w:eastAsia="zh-CN"/>
              </w:rPr>
            </w:pPr>
            <w:r>
              <w:rPr>
                <w:rFonts w:hint="eastAsia"/>
                <w:b/>
                <w:bCs/>
                <w:highlight w:val="none"/>
                <w:lang w:val="en-US" w:eastAsia="zh-CN"/>
              </w:rPr>
              <w:t>221.91</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b/>
                <w:bCs/>
                <w:highlight w:val="none"/>
                <w:lang w:val="en-US" w:eastAsia="zh-CN"/>
              </w:rPr>
            </w:pPr>
            <w:r>
              <w:rPr>
                <w:rFonts w:hint="eastAsia"/>
                <w:b/>
                <w:bCs/>
                <w:highlight w:val="none"/>
                <w:lang w:val="en-US" w:eastAsia="zh-CN"/>
              </w:rPr>
              <w:t>221.91</w:t>
            </w:r>
          </w:p>
        </w:tc>
        <w:tc>
          <w:tcPr>
            <w:tcW w:w="285"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b/>
                <w:bCs/>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b/>
                <w:bCs/>
                <w:highlight w:val="none"/>
                <w:lang w:val="en-US" w:eastAsia="zh-CN"/>
              </w:rPr>
            </w:pPr>
            <w:r>
              <w:rPr>
                <w:rFonts w:hint="eastAsia"/>
                <w:b/>
                <w:bCs/>
                <w:highlight w:val="none"/>
                <w:lang w:val="en-US" w:eastAsia="zh-CN"/>
              </w:rPr>
              <w:t>98.82</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b/>
                <w:bCs/>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rPr>
        <w:t xml:space="preserve">单位：万元                                              </w:t>
      </w:r>
    </w:p>
    <w:tbl>
      <w:tblPr>
        <w:tblStyle w:val="7"/>
        <w:tblW w:w="9420" w:type="dxa"/>
        <w:tblInd w:w="-240" w:type="dxa"/>
        <w:tblLayout w:type="autofit"/>
        <w:tblCellMar>
          <w:top w:w="0" w:type="dxa"/>
          <w:left w:w="108" w:type="dxa"/>
          <w:bottom w:w="0" w:type="dxa"/>
          <w:right w:w="108" w:type="dxa"/>
        </w:tblCellMar>
      </w:tblPr>
      <w:tblGrid>
        <w:gridCol w:w="531"/>
        <w:gridCol w:w="426"/>
        <w:gridCol w:w="426"/>
        <w:gridCol w:w="2549"/>
        <w:gridCol w:w="1813"/>
        <w:gridCol w:w="1814"/>
        <w:gridCol w:w="1861"/>
      </w:tblGrid>
      <w:tr>
        <w:tblPrEx>
          <w:tblCellMar>
            <w:top w:w="0" w:type="dxa"/>
            <w:left w:w="108" w:type="dxa"/>
            <w:bottom w:w="0" w:type="dxa"/>
            <w:right w:w="108" w:type="dxa"/>
          </w:tblCellMar>
        </w:tblPrEx>
        <w:trPr>
          <w:trHeight w:val="328" w:hRule="atLeast"/>
        </w:trPr>
        <w:tc>
          <w:tcPr>
            <w:tcW w:w="393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8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1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1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3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1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1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sz w:val="20"/>
                <w:szCs w:val="22"/>
                <w:highlight w:val="none"/>
              </w:rPr>
              <w:t>一般公共服务</w:t>
            </w:r>
            <w:r>
              <w:rPr>
                <w:rFonts w:hint="eastAsia"/>
                <w:sz w:val="20"/>
                <w:szCs w:val="22"/>
                <w:highlight w:val="none"/>
                <w:lang w:eastAsia="zh-CN"/>
              </w:rPr>
              <w:t>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164.96</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164.96</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31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sz w:val="20"/>
                <w:szCs w:val="22"/>
                <w:highlight w:val="none"/>
              </w:rPr>
              <w:t>党委办公厅（室）及相关机构事务</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164.96</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164.96</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31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01</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sz w:val="20"/>
                <w:szCs w:val="22"/>
                <w:highlight w:val="none"/>
              </w:rPr>
              <w:t>行政运行</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79.34</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79.34</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31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lang w:val="en-US" w:eastAsia="zh-CN"/>
              </w:rPr>
              <w:t>50</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sz w:val="20"/>
                <w:szCs w:val="22"/>
                <w:highlight w:val="none"/>
                <w:lang w:eastAsia="zh-CN"/>
              </w:rPr>
              <w:t>事业运行</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85.62</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85.62</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208</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18"/>
                <w:szCs w:val="21"/>
                <w:highlight w:val="none"/>
              </w:rPr>
              <w:t>社会保障和就业支出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64.31</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64.31</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208</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05</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18"/>
                <w:szCs w:val="21"/>
                <w:highlight w:val="none"/>
              </w:rPr>
              <w:t>行政事业单位养老支出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64.31</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64.31</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val="0"/>
                <w:bCs w:val="0"/>
                <w:color w:val="000000"/>
                <w:kern w:val="0"/>
                <w:sz w:val="21"/>
                <w:szCs w:val="21"/>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208</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05</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lang w:val="en-US" w:eastAsia="zh-CN"/>
              </w:rPr>
              <w:t>01</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行政单位离退休</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3.83</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3.83</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208</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05</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05</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机关事业单位基本养老保险费支出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54.98</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54.98</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208</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05</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lang w:val="en-US" w:eastAsia="zh-CN"/>
              </w:rPr>
              <w:t>06</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机关事业单位职业年金缴费支出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5.50</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5.50</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210</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卫生健康支出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36.14</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36.14</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210</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11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行政事业单位医疗</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36.14</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36.14</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val="0"/>
                <w:bCs w:val="0"/>
                <w:color w:val="000000"/>
                <w:kern w:val="0"/>
                <w:sz w:val="21"/>
                <w:szCs w:val="21"/>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210</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11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01</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行政单位医疗</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18.65</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18.65</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210</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11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lang w:val="en-US" w:eastAsia="zh-CN"/>
              </w:rPr>
              <w:t>02</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事业单位医疗</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6.10</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6.10</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210</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11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03</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公务员医疗补助</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11.00</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11.00</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210</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11</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99</w:t>
            </w:r>
          </w:p>
        </w:tc>
        <w:tc>
          <w:tcPr>
            <w:tcW w:w="2549"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szCs w:val="22"/>
                <w:highlight w:val="none"/>
                <w:lang w:val="en-US" w:eastAsia="zh-CN" w:bidi="ar-SA"/>
              </w:rPr>
            </w:pPr>
            <w:r>
              <w:rPr>
                <w:rFonts w:hint="eastAsia"/>
                <w:sz w:val="20"/>
                <w:szCs w:val="22"/>
                <w:highlight w:val="none"/>
              </w:rPr>
              <w:t>其他行政事业单位医疗支出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0.40</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0.40</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bCs/>
                <w:color w:val="000000"/>
                <w:kern w:val="0"/>
                <w:sz w:val="22"/>
                <w:szCs w:val="22"/>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221</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szCs w:val="22"/>
                <w:highlight w:val="none"/>
                <w:lang w:val="en-US" w:eastAsia="zh-CN" w:bidi="ar-SA"/>
              </w:rPr>
            </w:pPr>
            <w:r>
              <w:rPr>
                <w:rFonts w:hint="eastAsia"/>
                <w:sz w:val="20"/>
                <w:szCs w:val="22"/>
                <w:highlight w:val="none"/>
              </w:rPr>
              <w:t>住房保障支出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55.32</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55.32</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bCs/>
                <w:color w:val="000000"/>
                <w:kern w:val="0"/>
                <w:sz w:val="22"/>
                <w:szCs w:val="22"/>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221</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02</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szCs w:val="22"/>
                <w:highlight w:val="none"/>
                <w:lang w:val="en-US" w:eastAsia="zh-CN" w:bidi="ar-SA"/>
              </w:rPr>
            </w:pPr>
            <w:r>
              <w:rPr>
                <w:rFonts w:hint="eastAsia"/>
                <w:sz w:val="20"/>
                <w:szCs w:val="22"/>
                <w:highlight w:val="none"/>
              </w:rPr>
              <w:t>住房改革支出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22"/>
                <w:szCs w:val="22"/>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55.32</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22"/>
                <w:szCs w:val="22"/>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55.32</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bCs/>
                <w:color w:val="000000"/>
                <w:kern w:val="0"/>
                <w:sz w:val="22"/>
                <w:szCs w:val="22"/>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221</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02</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01</w:t>
            </w:r>
          </w:p>
        </w:tc>
        <w:tc>
          <w:tcPr>
            <w:tcW w:w="2549"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szCs w:val="22"/>
                <w:highlight w:val="none"/>
                <w:lang w:val="en-US" w:eastAsia="zh-CN" w:bidi="ar-SA"/>
              </w:rPr>
            </w:pPr>
            <w:r>
              <w:rPr>
                <w:rFonts w:hint="eastAsia"/>
                <w:sz w:val="20"/>
                <w:szCs w:val="22"/>
                <w:highlight w:val="none"/>
              </w:rPr>
              <w:t>住房公积金</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22"/>
                <w:szCs w:val="22"/>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55.32</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22"/>
                <w:szCs w:val="22"/>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55.32</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bCs/>
                <w:color w:val="000000"/>
                <w:kern w:val="0"/>
                <w:sz w:val="22"/>
                <w:szCs w:val="22"/>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320.73</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320.73</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szCs w:val="24"/>
          <w:highlight w:val="none"/>
        </w:rPr>
        <w:t xml:space="preserve">                                              </w:t>
      </w:r>
    </w:p>
    <w:tbl>
      <w:tblPr>
        <w:tblStyle w:val="7"/>
        <w:tblW w:w="9449" w:type="dxa"/>
        <w:tblInd w:w="-240" w:type="dxa"/>
        <w:tblLayout w:type="autofit"/>
        <w:tblCellMar>
          <w:top w:w="0" w:type="dxa"/>
          <w:left w:w="108" w:type="dxa"/>
          <w:bottom w:w="0" w:type="dxa"/>
          <w:right w:w="108" w:type="dxa"/>
        </w:tblCellMar>
      </w:tblPr>
      <w:tblGrid>
        <w:gridCol w:w="1929"/>
        <w:gridCol w:w="914"/>
        <w:gridCol w:w="2570"/>
        <w:gridCol w:w="900"/>
        <w:gridCol w:w="876"/>
        <w:gridCol w:w="1130"/>
        <w:gridCol w:w="1130"/>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000000"/>
                <w:kern w:val="0"/>
                <w:sz w:val="18"/>
                <w:szCs w:val="18"/>
                <w:highlight w:val="none"/>
                <w:lang w:val="en-US" w:eastAsia="zh-CN" w:bidi="ar-SA"/>
              </w:rPr>
            </w:pPr>
            <w:r>
              <w:rPr>
                <w:rFonts w:hint="eastAsia" w:ascii="仿宋_GB2312" w:hAnsi="宋体" w:eastAsia="仿宋_GB2312" w:cs="宋体"/>
                <w:color w:val="000000"/>
                <w:kern w:val="0"/>
                <w:sz w:val="18"/>
                <w:szCs w:val="18"/>
                <w:highlight w:val="none"/>
                <w:lang w:val="en-US" w:eastAsia="zh-CN"/>
              </w:rPr>
              <w:t>221.91</w:t>
            </w: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161.14</w:t>
            </w: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161.14</w:t>
            </w: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000000"/>
                <w:kern w:val="0"/>
                <w:sz w:val="18"/>
                <w:szCs w:val="18"/>
                <w:highlight w:val="none"/>
                <w:lang w:val="en-US" w:eastAsia="zh-CN" w:bidi="ar-SA"/>
              </w:rPr>
            </w:pPr>
            <w:r>
              <w:rPr>
                <w:rFonts w:hint="eastAsia" w:ascii="仿宋_GB2312" w:hAnsi="宋体" w:eastAsia="仿宋_GB2312" w:cs="宋体"/>
                <w:color w:val="000000"/>
                <w:kern w:val="0"/>
                <w:sz w:val="18"/>
                <w:szCs w:val="18"/>
                <w:highlight w:val="none"/>
                <w:lang w:val="en-US" w:eastAsia="zh-CN"/>
              </w:rPr>
              <w:t>221.91</w:t>
            </w: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25.82</w:t>
            </w: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25.82</w:t>
            </w: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16.63</w:t>
            </w: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16.63</w:t>
            </w: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18.32</w:t>
            </w: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18.32</w:t>
            </w: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221.91</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221.91</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221.91</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516"/>
        <w:gridCol w:w="499"/>
        <w:gridCol w:w="502"/>
        <w:gridCol w:w="2498"/>
        <w:gridCol w:w="1675"/>
        <w:gridCol w:w="1832"/>
        <w:gridCol w:w="1692"/>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c>
      </w:tr>
      <w:tr>
        <w:tblPrEx>
          <w:tblCellMar>
            <w:top w:w="0" w:type="dxa"/>
            <w:left w:w="108" w:type="dxa"/>
            <w:bottom w:w="0" w:type="dxa"/>
            <w:right w:w="108" w:type="dxa"/>
          </w:tblCellMar>
        </w:tblPrEx>
        <w:trPr>
          <w:trHeight w:val="405" w:hRule="atLeast"/>
        </w:trPr>
        <w:tc>
          <w:tcPr>
            <w:tcW w:w="401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9"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一般公共服务支出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161.14</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161.14</w:t>
            </w:r>
          </w:p>
        </w:tc>
        <w:tc>
          <w:tcPr>
            <w:tcW w:w="169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31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党委办公厅（室）及相关机构事务</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161.14</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161.14</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31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01</w:t>
            </w:r>
          </w:p>
        </w:tc>
        <w:tc>
          <w:tcPr>
            <w:tcW w:w="24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行政运行</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75.52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75.52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31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50</w:t>
            </w:r>
          </w:p>
        </w:tc>
        <w:tc>
          <w:tcPr>
            <w:tcW w:w="24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事业运行</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85.62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85.62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208</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社会保障和就业支出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25.82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25.82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208</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行政事业单位养老支出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25.82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25.82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208</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01</w:t>
            </w: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行政单位离退休</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3.83</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3.83</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208</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05</w:t>
            </w: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机关事业单位基本养老保险费支出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21.99</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21.99</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卫生健康支出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16.63</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16.63</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行政事业单位医疗</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16.63</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16.63</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01</w:t>
            </w: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行政单位医疗</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4.90</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4.90</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02</w:t>
            </w:r>
          </w:p>
        </w:tc>
        <w:tc>
          <w:tcPr>
            <w:tcW w:w="24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事业单位医疗</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6.10</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6.10</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03</w:t>
            </w: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公务员医疗补助</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5.50</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5.50</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99</w:t>
            </w: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其他行政事业单位医疗支出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0.14</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0.14</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住房保障支出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18.32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18.32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住房改革支出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18.32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18.32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221</w:t>
            </w:r>
            <w:r>
              <w:rPr>
                <w:rFonts w:hint="eastAsia" w:ascii="宋体" w:hAnsi="宋体" w:eastAsia="宋体" w:cs="宋体"/>
                <w:color w:val="000000"/>
                <w:kern w:val="0"/>
                <w:sz w:val="20"/>
                <w:szCs w:val="20"/>
                <w:highlight w:val="none"/>
                <w:lang w:eastAsia="zh-CN"/>
              </w:rPr>
              <w:t>　</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01</w:t>
            </w: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住房公积金</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18.32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18.32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221.91</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221.91</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szCs w:val="24"/>
                <w:highlight w:val="none"/>
                <w:lang w:val="en-US" w:eastAsia="zh-CN" w:bidi="ar-SA"/>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c>
      </w:tr>
      <w:tr>
        <w:tblPrEx>
          <w:tblCellMar>
            <w:top w:w="0" w:type="dxa"/>
            <w:left w:w="108" w:type="dxa"/>
            <w:bottom w:w="0" w:type="dxa"/>
            <w:right w:w="108" w:type="dxa"/>
          </w:tblCellMar>
        </w:tblPrEx>
        <w:trPr>
          <w:trHeight w:val="319"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210.58</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210.58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基本工资</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52.67</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52.67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津贴补贴</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34.59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34.59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奖金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44.9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44.9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绩效工资</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20.55</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08</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机关事业单位基本养老保险</w:t>
            </w:r>
            <w:r>
              <w:rPr>
                <w:rFonts w:hint="eastAsia" w:ascii="宋体" w:hAnsi="宋体" w:cs="宋体"/>
                <w:b w:val="0"/>
                <w:bCs w:val="0"/>
                <w:i w:val="0"/>
                <w:color w:val="auto"/>
                <w:kern w:val="0"/>
                <w:sz w:val="18"/>
                <w:szCs w:val="18"/>
                <w:highlight w:val="none"/>
                <w:u w:val="none"/>
                <w:lang w:val="en-US" w:eastAsia="zh-CN" w:bidi="ar"/>
              </w:rPr>
              <w:t>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21.99</w:t>
            </w:r>
          </w:p>
        </w:tc>
        <w:tc>
          <w:tcPr>
            <w:tcW w:w="1701" w:type="dxa"/>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21.99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10</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职工基本医疗保险缴费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10.99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10.99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11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公务员医疗补助缴费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5.50</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12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其他社会保障缴费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1.07</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13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住房公积金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18.32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18.32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商品和服务支出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6.98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办公费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印刷费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cs="宋体"/>
                <w:b w:val="0"/>
                <w:bCs w:val="0"/>
                <w:i w:val="0"/>
                <w:color w:val="auto"/>
                <w:kern w:val="0"/>
                <w:sz w:val="18"/>
                <w:szCs w:val="18"/>
                <w:highlight w:val="none"/>
                <w:u w:val="none"/>
                <w:lang w:val="en-US" w:eastAsia="zh-CN" w:bidi="ar"/>
              </w:rPr>
              <w:t>04</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cs="宋体"/>
                <w:b w:val="0"/>
                <w:bCs w:val="0"/>
                <w:i w:val="0"/>
                <w:color w:val="auto"/>
                <w:kern w:val="0"/>
                <w:sz w:val="18"/>
                <w:szCs w:val="18"/>
                <w:highlight w:val="none"/>
                <w:u w:val="none"/>
                <w:lang w:val="en-US" w:eastAsia="zh-CN" w:bidi="ar"/>
              </w:rPr>
              <w:t>手续费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05</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06</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0.45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邮电费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0.33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1</w:t>
            </w:r>
            <w:r>
              <w:rPr>
                <w:rFonts w:hint="eastAsia" w:ascii="宋体" w:hAnsi="宋体" w:cs="宋体"/>
                <w:b w:val="0"/>
                <w:bCs w:val="0"/>
                <w:i w:val="0"/>
                <w:color w:val="auto"/>
                <w:kern w:val="0"/>
                <w:sz w:val="18"/>
                <w:szCs w:val="18"/>
                <w:highlight w:val="none"/>
                <w:u w:val="none"/>
                <w:lang w:val="en-US" w:eastAsia="zh-CN" w:bidi="ar"/>
              </w:rPr>
              <w:t>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cs="宋体"/>
                <w:b w:val="0"/>
                <w:bCs w:val="0"/>
                <w:i w:val="0"/>
                <w:color w:val="auto"/>
                <w:kern w:val="0"/>
                <w:sz w:val="18"/>
                <w:szCs w:val="18"/>
                <w:highlight w:val="none"/>
                <w:u w:val="none"/>
                <w:lang w:val="en-US" w:eastAsia="zh-CN" w:bidi="ar"/>
              </w:rPr>
              <w:t>维修（护）费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17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公务接待费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28</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工会经费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2.66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公务用车运行维护费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4.35</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4.35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退休费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3.83</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3.83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09</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奖励金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0.52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221.91</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214.93</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autofit"/>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618"/>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9455" w:type="dxa"/>
            <w:gridSpan w:val="16"/>
            <w:tcBorders>
              <w:top w:val="nil"/>
              <w:left w:val="nil"/>
              <w:bottom w:val="nil"/>
              <w:right w:val="nil"/>
            </w:tcBorders>
            <w:noWrap w:val="0"/>
            <w:vAlign w:val="center"/>
          </w:tcPr>
          <w:p>
            <w:pPr>
              <w:widowControl/>
              <w:jc w:val="left"/>
              <w:rPr>
                <w:rFonts w:ascii="仿宋_GB2312" w:hAnsi="宋体" w:eastAsia="仿宋_GB2312" w:cs="宋体"/>
                <w:color w:val="auto"/>
                <w:kern w:val="0"/>
                <w:sz w:val="24"/>
                <w:szCs w:val="24"/>
                <w:highlight w:val="none"/>
                <w:lang w:val="en-US" w:eastAsia="zh-CN" w:bidi="ar-SA"/>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宋体" w:hAnsi="宋体" w:eastAsia="宋体" w:cs="宋体"/>
          <w:i w:val="0"/>
          <w:color w:val="FF0000"/>
          <w:kern w:val="0"/>
          <w:sz w:val="20"/>
          <w:szCs w:val="20"/>
          <w:highlight w:val="none"/>
          <w:u w:val="none"/>
          <w:lang w:val="en-US" w:eastAsia="zh-CN" w:bidi="ar"/>
        </w:rPr>
      </w:pPr>
      <w:r>
        <w:rPr>
          <w:rFonts w:hint="eastAsia" w:ascii="仿宋_GB2312" w:hAnsi="宋体" w:eastAsia="仿宋_GB2312" w:cs="Times New Roman"/>
          <w:b/>
          <w:kern w:val="0"/>
          <w:sz w:val="28"/>
          <w:szCs w:val="32"/>
          <w:highlight w:val="none"/>
          <w:lang w:val="en-US" w:eastAsia="zh-CN"/>
        </w:rPr>
        <w:t>备注：中共呼图壁县委员会机构编制委员会办公室2025年没有使用一般公共预算</w:t>
      </w:r>
      <w:r>
        <w:rPr>
          <w:rFonts w:hint="eastAsia" w:ascii="仿宋_GB2312" w:hAnsi="宋体" w:eastAsia="仿宋_GB2312"/>
          <w:b/>
          <w:kern w:val="0"/>
          <w:sz w:val="28"/>
          <w:szCs w:val="32"/>
          <w:highlight w:val="none"/>
          <w:lang w:val="en-US" w:eastAsia="zh-CN"/>
        </w:rPr>
        <w:t>项目支出</w:t>
      </w:r>
      <w:r>
        <w:rPr>
          <w:rFonts w:hint="eastAsia" w:ascii="仿宋_GB2312" w:hAnsi="宋体" w:eastAsia="仿宋_GB2312"/>
          <w:b/>
          <w:kern w:val="0"/>
          <w:sz w:val="28"/>
          <w:szCs w:val="32"/>
          <w:highlight w:val="none"/>
          <w:lang w:eastAsia="zh-CN"/>
        </w:rPr>
        <w:t>，</w:t>
      </w:r>
      <w:r>
        <w:rPr>
          <w:rFonts w:hint="eastAsia" w:ascii="仿宋_GB2312" w:hAnsi="宋体" w:eastAsia="仿宋_GB2312" w:cs="Times New Roman"/>
          <w:b/>
          <w:kern w:val="0"/>
          <w:sz w:val="28"/>
          <w:szCs w:val="32"/>
          <w:highlight w:val="none"/>
          <w:lang w:val="en-US" w:eastAsia="zh-CN"/>
        </w:rPr>
        <w:t>一般公共预算项目支出情况表</w:t>
      </w:r>
      <w:r>
        <w:rPr>
          <w:rFonts w:hint="eastAsia" w:ascii="仿宋_GB2312" w:hAnsi="宋体" w:eastAsia="仿宋_GB2312"/>
          <w:b/>
          <w:kern w:val="0"/>
          <w:sz w:val="28"/>
          <w:szCs w:val="32"/>
          <w:highlight w:val="none"/>
          <w:lang w:eastAsia="zh-CN"/>
        </w:rPr>
        <w:t>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keepNext w:val="0"/>
        <w:keepLines w:val="0"/>
        <w:widowControl w:val="0"/>
        <w:suppressLineNumbers w:val="0"/>
        <w:spacing w:before="0" w:beforeAutospacing="0" w:after="0" w:afterAutospacing="0"/>
        <w:ind w:left="0" w:right="0"/>
        <w:jc w:val="both"/>
        <w:rPr>
          <w:rFonts w:ascii="仿宋_GB2312" w:hAnsi="宋体" w:eastAsia="仿宋_GB2312"/>
          <w:color w:val="auto"/>
          <w:kern w:val="0"/>
          <w:sz w:val="24"/>
          <w:highlight w:val="none"/>
        </w:rPr>
      </w:pPr>
      <w:r>
        <w:rPr>
          <w:rFonts w:hint="eastAsia" w:ascii="仿宋_GB2312" w:hAnsi="宋体" w:eastAsia="仿宋_GB2312" w:cs="仿宋_GB2312"/>
          <w:kern w:val="0"/>
          <w:sz w:val="24"/>
          <w:szCs w:val="24"/>
          <w:highlight w:val="none"/>
          <w:lang w:val="en-US" w:eastAsia="zh-CN" w:bidi="ar"/>
        </w:rPr>
        <w:t>编制部门：</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FF0000"/>
          <w:kern w:val="0"/>
          <w:sz w:val="20"/>
          <w:szCs w:val="20"/>
          <w:highlight w:val="none"/>
          <w:u w:val="none"/>
          <w:lang w:val="en-US" w:eastAsia="zh-CN" w:bidi="ar"/>
        </w:rPr>
      </w:pPr>
      <w:r>
        <w:rPr>
          <w:rFonts w:hint="eastAsia" w:ascii="仿宋_GB2312" w:hAnsi="宋体" w:eastAsia="仿宋_GB2312"/>
          <w:b/>
          <w:kern w:val="0"/>
          <w:sz w:val="28"/>
          <w:szCs w:val="32"/>
          <w:highlight w:val="none"/>
          <w:lang w:eastAsia="zh-CN"/>
        </w:rPr>
        <w:t>备注：</w:t>
      </w:r>
      <w:r>
        <w:rPr>
          <w:rFonts w:hint="eastAsia" w:ascii="仿宋_GB2312" w:hAnsi="宋体" w:eastAsia="仿宋_GB2312" w:cs="Times New Roman"/>
          <w:b/>
          <w:kern w:val="0"/>
          <w:sz w:val="28"/>
          <w:szCs w:val="32"/>
          <w:highlight w:val="none"/>
          <w:lang w:val="en-US" w:eastAsia="zh-CN"/>
        </w:rPr>
        <w:t>中共呼图壁县委员会机构编制委员会办公室2025年没有使用</w:t>
      </w:r>
      <w:r>
        <w:rPr>
          <w:rFonts w:hint="eastAsia" w:ascii="仿宋_GB2312" w:hAnsi="宋体" w:eastAsia="仿宋_GB2312"/>
          <w:b/>
          <w:kern w:val="0"/>
          <w:sz w:val="28"/>
          <w:szCs w:val="32"/>
          <w:highlight w:val="none"/>
          <w:lang w:val="en-US" w:eastAsia="zh-CN"/>
        </w:rPr>
        <w:t>政府性基金预算支出，</w:t>
      </w:r>
      <w:r>
        <w:rPr>
          <w:rFonts w:hint="eastAsia" w:ascii="仿宋_GB2312" w:hAnsi="宋体" w:eastAsia="仿宋_GB2312" w:cs="Times New Roman"/>
          <w:b/>
          <w:kern w:val="0"/>
          <w:sz w:val="28"/>
          <w:szCs w:val="32"/>
          <w:highlight w:val="none"/>
          <w:lang w:val="en-US" w:eastAsia="zh-CN"/>
        </w:rPr>
        <w:t>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中共呼图壁县委员会机构编制委员会办公室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highlight w:val="none"/>
          <w:lang w:eastAsia="zh-CN"/>
        </w:rPr>
      </w:pPr>
      <w:r>
        <w:rPr>
          <w:rFonts w:hint="eastAsia" w:ascii="仿宋_GB2312" w:hAnsi="宋体" w:eastAsia="仿宋_GB2312"/>
          <w:b/>
          <w:kern w:val="0"/>
          <w:sz w:val="28"/>
          <w:szCs w:val="32"/>
          <w:highlight w:val="none"/>
        </w:rPr>
        <w:t>备注：</w:t>
      </w:r>
      <w:r>
        <w:rPr>
          <w:rFonts w:hint="eastAsia" w:ascii="仿宋_GB2312" w:hAnsi="宋体" w:eastAsia="仿宋_GB2312" w:cs="Times New Roman"/>
          <w:b/>
          <w:kern w:val="0"/>
          <w:sz w:val="28"/>
          <w:szCs w:val="32"/>
          <w:highlight w:val="none"/>
          <w:lang w:val="en-US" w:eastAsia="zh-CN"/>
        </w:rPr>
        <w:t>中共呼图壁县委员会机构编制委员会办公室2025年没有使用国有资本经营预算支出</w:t>
      </w:r>
      <w:r>
        <w:rPr>
          <w:rFonts w:hint="eastAsia" w:ascii="仿宋_GB2312" w:hAnsi="宋体" w:eastAsia="仿宋_GB2312"/>
          <w:b/>
          <w:kern w:val="0"/>
          <w:sz w:val="28"/>
          <w:szCs w:val="32"/>
          <w:highlight w:val="none"/>
          <w:lang w:eastAsia="zh-CN"/>
        </w:rPr>
        <w:t>，</w:t>
      </w:r>
      <w:r>
        <w:rPr>
          <w:rFonts w:hint="eastAsia" w:ascii="仿宋_GB2312" w:hAnsi="宋体" w:eastAsia="仿宋_GB2312" w:cs="Times New Roman"/>
          <w:b/>
          <w:kern w:val="0"/>
          <w:sz w:val="28"/>
          <w:szCs w:val="32"/>
          <w:highlight w:val="none"/>
          <w:lang w:val="en-US" w:eastAsia="zh-CN"/>
        </w:rPr>
        <w:t>国有资本经营预算支出情况表</w:t>
      </w:r>
      <w:r>
        <w:rPr>
          <w:rFonts w:hint="eastAsia" w:ascii="仿宋_GB2312" w:hAnsi="宋体" w:eastAsia="仿宋_GB2312"/>
          <w:b/>
          <w:kern w:val="0"/>
          <w:sz w:val="28"/>
          <w:szCs w:val="32"/>
          <w:highlight w:val="none"/>
          <w:lang w:eastAsia="zh-CN"/>
        </w:rPr>
        <w:t>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keepNext w:val="0"/>
        <w:keepLines w:val="0"/>
        <w:widowControl w:val="0"/>
        <w:suppressLineNumbers w:val="0"/>
        <w:spacing w:before="0" w:beforeAutospacing="0" w:after="0" w:afterAutospacing="0"/>
        <w:ind w:left="0" w:right="0"/>
        <w:jc w:val="both"/>
        <w:rPr>
          <w:rFonts w:hint="default" w:ascii="仿宋_GB2312" w:hAnsi="宋体" w:eastAsia="仿宋_GB2312"/>
          <w:color w:val="auto"/>
          <w:kern w:val="0"/>
          <w:sz w:val="24"/>
          <w:highlight w:val="none"/>
          <w:lang w:val="en-US"/>
        </w:rPr>
      </w:pPr>
      <w:r>
        <w:rPr>
          <w:rFonts w:hint="eastAsia" w:ascii="仿宋_GB2312" w:hAnsi="宋体" w:eastAsia="仿宋_GB2312" w:cs="仿宋_GB2312"/>
          <w:kern w:val="0"/>
          <w:sz w:val="24"/>
          <w:szCs w:val="24"/>
          <w:highlight w:val="none"/>
          <w:lang w:val="en-US" w:eastAsia="zh-CN" w:bidi="ar"/>
        </w:rPr>
        <w:t>编制部门：</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1.70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1.70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0.10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0.10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keepNext w:val="0"/>
        <w:keepLines w:val="0"/>
        <w:widowControl w:val="0"/>
        <w:suppressLineNumbers w:val="0"/>
        <w:spacing w:before="0" w:beforeAutospacing="0" w:after="0" w:afterAutospacing="0"/>
        <w:ind w:left="0" w:right="0"/>
        <w:jc w:val="both"/>
        <w:rPr>
          <w:rFonts w:hint="default" w:ascii="仿宋_GB2312" w:hAnsi="宋体" w:eastAsia="仿宋_GB2312"/>
          <w:b/>
          <w:color w:val="auto"/>
          <w:kern w:val="0"/>
          <w:sz w:val="32"/>
          <w:szCs w:val="32"/>
          <w:highlight w:val="none"/>
          <w:lang w:val="en-US" w:eastAsia="zh-Hans"/>
        </w:rPr>
      </w:pPr>
      <w:r>
        <w:rPr>
          <w:rFonts w:hint="eastAsia" w:ascii="仿宋_GB2312" w:hAnsi="宋体" w:eastAsia="仿宋_GB2312" w:cs="仿宋_GB2312"/>
          <w:kern w:val="0"/>
          <w:sz w:val="24"/>
          <w:szCs w:val="24"/>
          <w:highlight w:val="none"/>
          <w:lang w:val="en-US" w:eastAsia="zh-CN" w:bidi="ar"/>
        </w:rPr>
        <w:t>编制部门：</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cs="Times New Roman"/>
          <w:b/>
          <w:kern w:val="0"/>
          <w:sz w:val="28"/>
          <w:szCs w:val="32"/>
          <w:highlight w:val="none"/>
          <w:lang w:val="en-US" w:eastAsia="zh-CN"/>
        </w:rPr>
        <w:t>中共呼图壁县委员会机构编制委员会办公室2025年没有</w:t>
      </w:r>
      <w:r>
        <w:rPr>
          <w:rFonts w:hint="eastAsia" w:ascii="仿宋" w:hAnsi="仿宋" w:eastAsia="仿宋" w:cs="仿宋_GB2312"/>
          <w:b/>
          <w:bCs w:val="0"/>
          <w:color w:val="auto"/>
          <w:kern w:val="0"/>
          <w:sz w:val="28"/>
          <w:szCs w:val="28"/>
          <w:highlight w:val="none"/>
        </w:rPr>
        <w:t>上年结转</w:t>
      </w:r>
      <w:r>
        <w:rPr>
          <w:rFonts w:hint="eastAsia" w:ascii="仿宋" w:hAnsi="仿宋" w:eastAsia="仿宋" w:cs="仿宋_GB2312"/>
          <w:b/>
          <w:bCs w:val="0"/>
          <w:color w:val="auto"/>
          <w:kern w:val="0"/>
          <w:sz w:val="28"/>
          <w:szCs w:val="28"/>
          <w:highlight w:val="none"/>
          <w:lang w:val="en-US" w:eastAsia="zh-CN"/>
        </w:rPr>
        <w:t>结余</w:t>
      </w:r>
      <w:r>
        <w:rPr>
          <w:rFonts w:hint="eastAsia" w:ascii="仿宋" w:hAnsi="仿宋" w:eastAsia="仿宋" w:cs="仿宋_GB2312"/>
          <w:b/>
          <w:bCs w:val="0"/>
          <w:color w:val="auto"/>
          <w:kern w:val="0"/>
          <w:sz w:val="28"/>
          <w:szCs w:val="28"/>
          <w:highlight w:val="none"/>
        </w:rPr>
        <w:t>情况</w:t>
      </w:r>
      <w:r>
        <w:rPr>
          <w:rFonts w:hint="eastAsia" w:ascii="仿宋" w:hAnsi="仿宋" w:eastAsia="仿宋" w:cs="仿宋_GB2312"/>
          <w:b/>
          <w:bCs w:val="0"/>
          <w:color w:val="auto"/>
          <w:kern w:val="0"/>
          <w:sz w:val="28"/>
          <w:szCs w:val="28"/>
          <w:highlight w:val="none"/>
          <w:lang w:eastAsia="zh-CN"/>
        </w:rPr>
        <w:t>，</w:t>
      </w:r>
      <w:r>
        <w:rPr>
          <w:rFonts w:hint="eastAsia" w:ascii="仿宋" w:hAnsi="仿宋" w:eastAsia="仿宋" w:cs="仿宋_GB2312"/>
          <w:b/>
          <w:bCs w:val="0"/>
          <w:color w:val="auto"/>
          <w:kern w:val="0"/>
          <w:sz w:val="28"/>
          <w:szCs w:val="28"/>
          <w:highlight w:val="none"/>
        </w:rPr>
        <w:t>上年结转</w:t>
      </w:r>
      <w:r>
        <w:rPr>
          <w:rFonts w:hint="eastAsia" w:ascii="仿宋" w:hAnsi="仿宋" w:eastAsia="仿宋" w:cs="仿宋_GB2312"/>
          <w:b/>
          <w:bCs w:val="0"/>
          <w:color w:val="auto"/>
          <w:kern w:val="0"/>
          <w:sz w:val="28"/>
          <w:szCs w:val="28"/>
          <w:highlight w:val="none"/>
          <w:lang w:val="en-US" w:eastAsia="zh-CN"/>
        </w:rPr>
        <w:t>结余</w:t>
      </w:r>
      <w:r>
        <w:rPr>
          <w:rFonts w:hint="eastAsia" w:ascii="仿宋" w:hAnsi="仿宋" w:eastAsia="仿宋" w:cs="仿宋_GB2312"/>
          <w:b/>
          <w:bCs w:val="0"/>
          <w:color w:val="auto"/>
          <w:kern w:val="0"/>
          <w:sz w:val="28"/>
          <w:szCs w:val="28"/>
          <w:highlight w:val="none"/>
        </w:rPr>
        <w:t>情况</w:t>
      </w:r>
      <w:r>
        <w:rPr>
          <w:rFonts w:hint="eastAsia" w:ascii="仿宋" w:hAnsi="仿宋" w:eastAsia="仿宋" w:cs="仿宋_GB2312"/>
          <w:b/>
          <w:bCs w:val="0"/>
          <w:color w:val="auto"/>
          <w:kern w:val="0"/>
          <w:sz w:val="28"/>
          <w:szCs w:val="28"/>
          <w:highlight w:val="none"/>
          <w:lang w:eastAsia="zh-CN"/>
        </w:rPr>
        <w:t>明细表为空表。</w:t>
      </w: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1871"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w:t>
      </w:r>
      <w:r>
        <w:rPr>
          <w:rFonts w:hint="eastAsia" w:ascii="黑体" w:hAnsi="黑体" w:eastAsia="黑体"/>
          <w:color w:val="auto"/>
          <w:kern w:val="0"/>
          <w:sz w:val="32"/>
          <w:szCs w:val="32"/>
          <w:highlight w:val="none"/>
          <w:lang w:val="en-US" w:eastAsia="zh-CN"/>
        </w:rPr>
        <w:t>分 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320.73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中共呼图壁县委员会机构编制委员会办公室部门</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320.73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221.91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69.19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40.47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15.42%，</w:t>
      </w:r>
      <w:r>
        <w:rPr>
          <w:rFonts w:hint="eastAsia" w:ascii="仿宋_GB2312" w:hAnsi="宋体" w:eastAsia="仿宋_GB2312" w:cs="宋体"/>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2024年预算在职</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17人，2024年2月调出行政编1人，3月调出事业编3人，7月调入事业编1人，人员减少导致工资减少经费减少</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 xml:space="preserve">政府性基金预算未安排。   </w:t>
      </w:r>
      <w:r>
        <w:rPr>
          <w:rFonts w:hint="eastAsia" w:ascii="仿宋_GB2312" w:hAnsi="宋体" w:eastAsia="仿宋_GB2312" w:cs="宋体"/>
          <w:color w:val="auto"/>
          <w:kern w:val="0"/>
          <w:sz w:val="32"/>
          <w:szCs w:val="32"/>
          <w:highlight w:val="none"/>
        </w:rPr>
        <w:t xml:space="preserve">   </w:t>
      </w:r>
    </w:p>
    <w:p>
      <w:pPr>
        <w:spacing w:line="60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上级政府性基金安排的转移支付资金未安排。 </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highlight w:val="none"/>
        </w:rPr>
        <w:t xml:space="preserve">   </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上级国有资本经营预算安排的转移支付资金未安排。</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98.82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30.81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2.53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2.63%，</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人员社保及公积金基数调整，预估其他收入。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320.73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320.73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32.94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9.31%，</w:t>
      </w:r>
      <w:r>
        <w:rPr>
          <w:rFonts w:hint="eastAsia" w:ascii="仿宋_GB2312" w:hAnsi="宋体" w:eastAsia="仿宋_GB2312" w:cs="宋体"/>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2024年预算在职</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17人，2024年2月调出行政编1人，3月调出事业编3人，7月调入事业编1人，人员减少导致工资减少经费减少</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2025年未安排工作经费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221.91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221.91</w:t>
      </w:r>
      <w:r>
        <w:rPr>
          <w:rFonts w:hint="eastAsia" w:ascii="仿宋_GB2312" w:hAnsi="宋体" w:eastAsia="仿宋_GB2312" w:cs="宋体"/>
          <w:color w:val="auto"/>
          <w:kern w:val="0"/>
          <w:sz w:val="32"/>
          <w:szCs w:val="32"/>
          <w:highlight w:val="none"/>
        </w:rPr>
        <w:t>万元。</w:t>
      </w:r>
    </w:p>
    <w:p>
      <w:pPr>
        <w:widowControl/>
        <w:spacing w:before="156" w:beforeLines="50" w:after="156" w:afterLines="50" w:line="560" w:lineRule="exact"/>
        <w:ind w:firstLine="640" w:firstLineChars="200"/>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161.14</w:t>
      </w:r>
      <w:r>
        <w:rPr>
          <w:rFonts w:hint="eastAsia" w:ascii="仿宋_GB2312" w:hAnsi="宋体" w:eastAsia="仿宋_GB2312" w:cs="宋体"/>
          <w:color w:val="auto"/>
          <w:kern w:val="0"/>
          <w:sz w:val="32"/>
          <w:szCs w:val="32"/>
          <w:highlight w:val="none"/>
        </w:rPr>
        <w:t>万元，主要用于人员工资福利支出及日常运转支出；社会保障和就业支出</w:t>
      </w:r>
      <w:r>
        <w:rPr>
          <w:rFonts w:hint="eastAsia" w:ascii="仿宋_GB2312" w:hAnsi="宋体" w:eastAsia="仿宋_GB2312" w:cs="宋体"/>
          <w:color w:val="auto"/>
          <w:kern w:val="0"/>
          <w:sz w:val="32"/>
          <w:szCs w:val="32"/>
          <w:highlight w:val="none"/>
          <w:lang w:val="en-US" w:eastAsia="zh-CN"/>
        </w:rPr>
        <w:t>25.82</w:t>
      </w:r>
      <w:r>
        <w:rPr>
          <w:rFonts w:hint="eastAsia" w:ascii="仿宋_GB2312" w:hAnsi="宋体" w:eastAsia="仿宋_GB2312" w:cs="宋体"/>
          <w:color w:val="auto"/>
          <w:kern w:val="0"/>
          <w:sz w:val="32"/>
          <w:szCs w:val="32"/>
          <w:highlight w:val="none"/>
        </w:rPr>
        <w:t>万元，主要用于社会保险缴费支出；卫生健康支出</w:t>
      </w:r>
      <w:r>
        <w:rPr>
          <w:rFonts w:hint="eastAsia" w:ascii="仿宋_GB2312" w:hAnsi="宋体" w:eastAsia="仿宋_GB2312" w:cs="宋体"/>
          <w:color w:val="auto"/>
          <w:kern w:val="0"/>
          <w:sz w:val="32"/>
          <w:szCs w:val="32"/>
          <w:highlight w:val="none"/>
          <w:lang w:val="en-US" w:eastAsia="zh-CN"/>
        </w:rPr>
        <w:t>16.63</w:t>
      </w:r>
      <w:r>
        <w:rPr>
          <w:rFonts w:hint="eastAsia" w:ascii="仿宋_GB2312" w:hAnsi="宋体" w:eastAsia="仿宋_GB2312" w:cs="宋体"/>
          <w:color w:val="auto"/>
          <w:kern w:val="0"/>
          <w:sz w:val="32"/>
          <w:szCs w:val="32"/>
          <w:highlight w:val="none"/>
        </w:rPr>
        <w:t>万元，主要用于医疗保险缴费支出；住房保障支出</w:t>
      </w:r>
      <w:r>
        <w:rPr>
          <w:rFonts w:hint="eastAsia" w:ascii="仿宋_GB2312" w:hAnsi="宋体" w:eastAsia="仿宋_GB2312" w:cs="宋体"/>
          <w:color w:val="auto"/>
          <w:kern w:val="0"/>
          <w:sz w:val="32"/>
          <w:szCs w:val="32"/>
          <w:highlight w:val="none"/>
          <w:lang w:val="en-US" w:eastAsia="zh-CN"/>
        </w:rPr>
        <w:t>18.32</w:t>
      </w:r>
      <w:r>
        <w:rPr>
          <w:rFonts w:hint="eastAsia" w:ascii="仿宋_GB2312" w:hAnsi="宋体" w:eastAsia="仿宋_GB2312" w:cs="宋体"/>
          <w:color w:val="auto"/>
          <w:kern w:val="0"/>
          <w:sz w:val="32"/>
          <w:szCs w:val="32"/>
          <w:highlight w:val="none"/>
        </w:rPr>
        <w:t>万元，主要用于住房公积金缴费支出。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221.91</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221.91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35.47</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13.78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2024年预算在职</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17人，2024年2月调出行政编1人，3月调出事业编3人，7月调入事业编1人，总体人员减少，工资减少</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2025年未安排工作经费。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eastAsia="仿宋_GB2312"/>
          <w:sz w:val="32"/>
          <w:szCs w:val="32"/>
          <w:highlight w:val="none"/>
        </w:rPr>
        <w:t>1.一般公共服务</w:t>
      </w:r>
      <w:r>
        <w:rPr>
          <w:rFonts w:hint="eastAsia" w:ascii="仿宋_GB2312" w:eastAsia="仿宋_GB2312"/>
          <w:sz w:val="32"/>
          <w:szCs w:val="32"/>
          <w:highlight w:val="none"/>
          <w:lang w:eastAsia="zh-CN"/>
        </w:rPr>
        <w:t>支出</w:t>
      </w:r>
      <w:r>
        <w:rPr>
          <w:rFonts w:hint="eastAsia" w:ascii="仿宋_GB2312" w:eastAsia="仿宋_GB2312"/>
          <w:sz w:val="32"/>
          <w:szCs w:val="32"/>
          <w:highlight w:val="none"/>
        </w:rPr>
        <w:t>（类）</w:t>
      </w:r>
      <w:r>
        <w:rPr>
          <w:rFonts w:hint="eastAsia" w:ascii="仿宋" w:hAnsi="仿宋" w:eastAsia="仿宋" w:cs="仿宋"/>
          <w:sz w:val="32"/>
          <w:szCs w:val="32"/>
          <w:highlight w:val="none"/>
          <w:lang w:val="en-US" w:eastAsia="zh-CN"/>
        </w:rPr>
        <w:t>161.14</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72.62</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eastAsia="仿宋_GB2312"/>
          <w:sz w:val="32"/>
          <w:szCs w:val="32"/>
          <w:highlight w:val="none"/>
        </w:rPr>
      </w:pPr>
      <w:r>
        <w:rPr>
          <w:rFonts w:hint="eastAsia" w:ascii="仿宋_GB2312" w:hAnsi="宋体" w:eastAsia="仿宋_GB2312" w:cs="宋体"/>
          <w:kern w:val="0"/>
          <w:sz w:val="32"/>
          <w:szCs w:val="32"/>
          <w:highlight w:val="none"/>
        </w:rPr>
        <w:t>2.</w:t>
      </w:r>
      <w:r>
        <w:rPr>
          <w:rFonts w:hint="eastAsia" w:ascii="仿宋" w:hAnsi="仿宋" w:eastAsia="仿宋" w:cs="仿宋"/>
          <w:sz w:val="32"/>
          <w:szCs w:val="32"/>
          <w:highlight w:val="none"/>
        </w:rPr>
        <w:t>社会保障和就业支出</w:t>
      </w:r>
      <w:r>
        <w:rPr>
          <w:rFonts w:hint="eastAsia" w:ascii="仿宋_GB2312" w:eastAsia="仿宋_GB2312"/>
          <w:sz w:val="32"/>
          <w:szCs w:val="32"/>
          <w:highlight w:val="none"/>
        </w:rPr>
        <w:t>（类）</w:t>
      </w:r>
      <w:r>
        <w:rPr>
          <w:rFonts w:hint="eastAsia" w:ascii="仿宋_GB2312" w:eastAsia="仿宋_GB2312"/>
          <w:sz w:val="32"/>
          <w:szCs w:val="32"/>
          <w:highlight w:val="none"/>
          <w:lang w:val="en-US" w:eastAsia="zh-CN"/>
        </w:rPr>
        <w:t>25.82</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11.64</w:t>
      </w:r>
      <w:r>
        <w:rPr>
          <w:rFonts w:hint="eastAsia" w:ascii="仿宋_GB2312" w:eastAsia="仿宋_GB2312"/>
          <w:sz w:val="32"/>
          <w:szCs w:val="32"/>
          <w:highlight w:val="none"/>
        </w:rPr>
        <w:t>%。</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3.</w:t>
      </w:r>
      <w:r>
        <w:rPr>
          <w:rFonts w:hint="eastAsia" w:ascii="仿宋_GB2312" w:hAnsi="宋体" w:eastAsia="仿宋_GB2312" w:cs="宋体"/>
          <w:kern w:val="0"/>
          <w:sz w:val="32"/>
          <w:szCs w:val="32"/>
          <w:highlight w:val="none"/>
        </w:rPr>
        <w:t>卫生健康支出（类）</w:t>
      </w:r>
      <w:r>
        <w:rPr>
          <w:rFonts w:hint="eastAsia" w:ascii="仿宋_GB2312" w:hAnsi="宋体" w:eastAsia="仿宋_GB2312" w:cs="宋体"/>
          <w:kern w:val="0"/>
          <w:sz w:val="32"/>
          <w:szCs w:val="32"/>
          <w:highlight w:val="none"/>
          <w:lang w:val="en-US" w:eastAsia="zh-CN"/>
        </w:rPr>
        <w:t>16.63</w:t>
      </w:r>
      <w:r>
        <w:rPr>
          <w:rFonts w:hint="eastAsia" w:ascii="仿宋_GB2312" w:hAnsi="宋体" w:eastAsia="仿宋_GB2312" w:cs="宋体"/>
          <w:kern w:val="0"/>
          <w:sz w:val="32"/>
          <w:szCs w:val="32"/>
          <w:highlight w:val="none"/>
        </w:rPr>
        <w:t>万元，</w:t>
      </w:r>
      <w:r>
        <w:rPr>
          <w:rFonts w:hint="eastAsia" w:ascii="仿宋_GB2312" w:eastAsia="仿宋_GB2312"/>
          <w:sz w:val="32"/>
          <w:szCs w:val="32"/>
          <w:highlight w:val="none"/>
        </w:rPr>
        <w:t>占</w:t>
      </w:r>
      <w:r>
        <w:rPr>
          <w:rFonts w:hint="eastAsia" w:ascii="仿宋_GB2312" w:eastAsia="仿宋_GB2312"/>
          <w:sz w:val="32"/>
          <w:szCs w:val="32"/>
          <w:highlight w:val="none"/>
          <w:lang w:val="en-US" w:eastAsia="zh-CN"/>
        </w:rPr>
        <w:t>7.49</w:t>
      </w:r>
      <w:r>
        <w:rPr>
          <w:rFonts w:hint="eastAsia" w:ascii="仿宋_GB2312" w:eastAsia="仿宋_GB2312"/>
          <w:sz w:val="32"/>
          <w:szCs w:val="32"/>
          <w:highlight w:val="none"/>
        </w:rPr>
        <w:t>%。</w:t>
      </w:r>
    </w:p>
    <w:p>
      <w:pPr>
        <w:spacing w:line="560" w:lineRule="exact"/>
        <w:ind w:firstLine="640" w:firstLineChars="200"/>
        <w:rPr>
          <w:rFonts w:hint="default" w:ascii="仿宋_GB2312" w:eastAsia="仿宋_GB2312"/>
          <w:sz w:val="32"/>
          <w:szCs w:val="32"/>
          <w:highlight w:val="none"/>
          <w:lang w:val="en-US" w:eastAsia="zh-CN"/>
        </w:rPr>
      </w:pPr>
      <w:r>
        <w:rPr>
          <w:rFonts w:hint="eastAsia" w:ascii="仿宋_GB2312" w:hAnsi="宋体" w:eastAsia="仿宋_GB2312" w:cs="宋体"/>
          <w:kern w:val="0"/>
          <w:sz w:val="32"/>
          <w:szCs w:val="32"/>
          <w:highlight w:val="none"/>
        </w:rPr>
        <w:t>4.住房保障支出（类）</w:t>
      </w:r>
      <w:r>
        <w:rPr>
          <w:rFonts w:hint="eastAsia" w:ascii="仿宋_GB2312" w:hAnsi="宋体" w:eastAsia="仿宋_GB2312" w:cs="宋体"/>
          <w:kern w:val="0"/>
          <w:sz w:val="32"/>
          <w:szCs w:val="32"/>
          <w:highlight w:val="none"/>
          <w:lang w:val="en-US" w:eastAsia="zh-CN"/>
        </w:rPr>
        <w:t>18.32</w:t>
      </w:r>
      <w:r>
        <w:rPr>
          <w:rFonts w:hint="eastAsia" w:ascii="仿宋_GB2312" w:hAnsi="宋体" w:eastAsia="仿宋_GB2312" w:cs="宋体"/>
          <w:kern w:val="0"/>
          <w:sz w:val="32"/>
          <w:szCs w:val="32"/>
          <w:highlight w:val="none"/>
        </w:rPr>
        <w:t>万元，</w:t>
      </w:r>
      <w:r>
        <w:rPr>
          <w:rFonts w:hint="eastAsia" w:ascii="仿宋_GB2312" w:eastAsia="仿宋_GB2312"/>
          <w:sz w:val="32"/>
          <w:szCs w:val="32"/>
          <w:highlight w:val="none"/>
        </w:rPr>
        <w:t>占</w:t>
      </w:r>
      <w:r>
        <w:rPr>
          <w:rFonts w:hint="eastAsia" w:ascii="仿宋_GB2312" w:eastAsia="仿宋_GB2312"/>
          <w:sz w:val="32"/>
          <w:szCs w:val="32"/>
          <w:highlight w:val="none"/>
          <w:lang w:val="en-US" w:eastAsia="zh-CN"/>
        </w:rPr>
        <w:t>8.26</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1.一般公共服务（类）</w:t>
      </w:r>
      <w:r>
        <w:rPr>
          <w:rFonts w:hint="eastAsia" w:ascii="仿宋_GB2312" w:hAnsi="仿宋_GB2312" w:eastAsia="仿宋_GB2312" w:cs="仿宋_GB2312"/>
          <w:kern w:val="0"/>
          <w:sz w:val="32"/>
          <w:szCs w:val="32"/>
          <w:highlight w:val="none"/>
          <w:lang w:eastAsia="zh-CN"/>
        </w:rPr>
        <w:t>党委办公厅（室）及相关机构事务</w:t>
      </w:r>
      <w:r>
        <w:rPr>
          <w:rFonts w:hint="eastAsia" w:ascii="仿宋_GB2312" w:hAnsi="仿宋_GB2312" w:eastAsia="仿宋_GB2312" w:cs="仿宋_GB2312"/>
          <w:kern w:val="0"/>
          <w:sz w:val="32"/>
          <w:szCs w:val="32"/>
          <w:highlight w:val="none"/>
        </w:rPr>
        <w:t>（款）行政运行（项）: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75.52</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10.29</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11.99</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2024年预算行政编制人员7人，2月调出行政编1人</w:t>
      </w:r>
      <w:r>
        <w:rPr>
          <w:rFonts w:hint="eastAsia" w:ascii="仿宋_GB2312" w:hAnsi="仿宋_GB2312" w:eastAsia="仿宋_GB2312" w:cs="仿宋_GB2312"/>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人员减少，经费减少</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一般公共服务（类）</w:t>
      </w:r>
      <w:r>
        <w:rPr>
          <w:rFonts w:hint="eastAsia" w:ascii="仿宋_GB2312" w:hAnsi="仿宋_GB2312" w:eastAsia="仿宋_GB2312" w:cs="仿宋_GB2312"/>
          <w:kern w:val="0"/>
          <w:sz w:val="32"/>
          <w:szCs w:val="32"/>
          <w:highlight w:val="none"/>
          <w:lang w:eastAsia="zh-CN"/>
        </w:rPr>
        <w:t>党委办公厅（室）及相关机构事务</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事业运行</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85.62万元，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16.79</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下降16.39</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2024年预算事业编制人员10人，3月调出事业编3人，7月调入事业编1人，人员减少2人，经费减少</w:t>
      </w:r>
      <w:r>
        <w:rPr>
          <w:rFonts w:hint="eastAsia" w:ascii="仿宋_GB2312" w:hAnsi="宋体" w:eastAsia="仿宋_GB2312" w:cs="宋体"/>
          <w:kern w:val="0"/>
          <w:sz w:val="32"/>
          <w:szCs w:val="32"/>
          <w:highlight w:val="none"/>
          <w:lang w:val="en-US" w:eastAsia="zh-CN"/>
        </w:rPr>
        <w:t>。</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3.</w:t>
      </w:r>
      <w:r>
        <w:rPr>
          <w:rFonts w:hint="eastAsia" w:ascii="仿宋" w:hAnsi="仿宋" w:eastAsia="仿宋" w:cs="仿宋"/>
          <w:color w:val="auto"/>
          <w:sz w:val="32"/>
          <w:szCs w:val="32"/>
          <w:highlight w:val="none"/>
        </w:rPr>
        <w:t>社会保障和就业支出（类）行政事业单位养老支出（款）</w:t>
      </w:r>
      <w:r>
        <w:rPr>
          <w:rFonts w:hint="eastAsia" w:ascii="仿宋" w:hAnsi="仿宋" w:eastAsia="仿宋" w:cs="仿宋"/>
          <w:color w:val="auto"/>
          <w:sz w:val="32"/>
          <w:szCs w:val="32"/>
          <w:highlight w:val="none"/>
          <w:lang w:val="en-US" w:eastAsia="zh-CN"/>
        </w:rPr>
        <w:t>行政单位离退休</w:t>
      </w:r>
      <w:r>
        <w:rPr>
          <w:rFonts w:hint="eastAsia" w:ascii="仿宋_GB2312" w:hAnsi="仿宋_GB2312" w:eastAsia="仿宋_GB2312" w:cs="仿宋_GB2312"/>
          <w:kern w:val="0"/>
          <w:sz w:val="32"/>
          <w:szCs w:val="32"/>
          <w:highlight w:val="none"/>
        </w:rPr>
        <w:t>（项）</w:t>
      </w:r>
      <w:r>
        <w:rPr>
          <w:rFonts w:hint="eastAsia" w:ascii="仿宋" w:hAnsi="仿宋" w:eastAsia="仿宋" w:cs="仿宋"/>
          <w:color w:val="auto"/>
          <w:sz w:val="32"/>
          <w:szCs w:val="32"/>
          <w:highlight w:val="none"/>
          <w:lang w:val="en-US" w:eastAsia="zh-CN"/>
        </w:rPr>
        <w:t>：2025年预算数为3.83万元，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1.76</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31.48</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2025年将退休人员独生子女奖励金在行政主款列支。</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楷体_GB2312" w:hAnsi="宋体" w:eastAsia="楷体_GB2312" w:cs="宋体"/>
          <w:b w:val="0"/>
          <w:bCs w:val="0"/>
          <w:kern w:val="0"/>
          <w:sz w:val="32"/>
          <w:szCs w:val="32"/>
          <w:highlight w:val="none"/>
          <w:lang w:val="en-US" w:eastAsia="zh-CN"/>
        </w:rPr>
        <w:t>4</w:t>
      </w:r>
      <w:r>
        <w:rPr>
          <w:rFonts w:hint="eastAsia" w:ascii="楷体_GB2312" w:hAnsi="宋体" w:eastAsia="楷体_GB2312" w:cs="宋体"/>
          <w:kern w:val="0"/>
          <w:sz w:val="32"/>
          <w:szCs w:val="32"/>
          <w:highlight w:val="none"/>
        </w:rPr>
        <w:t>.</w:t>
      </w:r>
      <w:r>
        <w:rPr>
          <w:rFonts w:hint="eastAsia" w:ascii="仿宋" w:hAnsi="仿宋" w:eastAsia="仿宋" w:cs="仿宋"/>
          <w:color w:val="auto"/>
          <w:sz w:val="32"/>
          <w:szCs w:val="32"/>
          <w:highlight w:val="none"/>
        </w:rPr>
        <w:t>社会保障和就业支出（类）行政事业单位养老支出（款）</w:t>
      </w:r>
      <w:r>
        <w:rPr>
          <w:rFonts w:hint="eastAsia" w:ascii="仿宋" w:hAnsi="仿宋" w:eastAsia="仿宋" w:cs="仿宋"/>
          <w:color w:val="auto"/>
          <w:sz w:val="32"/>
          <w:szCs w:val="32"/>
          <w:highlight w:val="none"/>
          <w:lang w:val="en-US" w:eastAsia="zh-CN"/>
        </w:rPr>
        <w:t>机关事业单位基本养老保险费支出</w:t>
      </w:r>
      <w:r>
        <w:rPr>
          <w:rFonts w:hint="eastAsia" w:ascii="仿宋_GB2312" w:hAnsi="仿宋_GB2312" w:eastAsia="仿宋_GB2312" w:cs="仿宋_GB2312"/>
          <w:kern w:val="0"/>
          <w:sz w:val="32"/>
          <w:szCs w:val="32"/>
          <w:highlight w:val="none"/>
        </w:rPr>
        <w:t>（项）</w:t>
      </w:r>
      <w:r>
        <w:rPr>
          <w:rFonts w:hint="eastAsia" w:ascii="仿宋" w:hAnsi="仿宋" w:eastAsia="仿宋" w:cs="仿宋"/>
          <w:color w:val="auto"/>
          <w:sz w:val="32"/>
          <w:szCs w:val="32"/>
          <w:highlight w:val="none"/>
          <w:lang w:val="en-US" w:eastAsia="zh-CN"/>
        </w:rPr>
        <w:t>：2025年预算数为21.99</w:t>
      </w:r>
      <w:r>
        <w:rPr>
          <w:rFonts w:hint="eastAsia" w:ascii="仿宋_GB2312" w:hAnsi="宋体" w:eastAsia="仿宋_GB2312" w:cs="宋体"/>
          <w:color w:val="auto"/>
          <w:kern w:val="0"/>
          <w:sz w:val="32"/>
          <w:szCs w:val="32"/>
          <w:highlight w:val="none"/>
          <w:lang w:val="en-US" w:eastAsia="zh-CN"/>
        </w:rPr>
        <w:t>万元，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3.7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14.40</w:t>
      </w:r>
      <w:r>
        <w:rPr>
          <w:rFonts w:hint="eastAsia" w:ascii="仿宋_GB2312" w:hAnsi="仿宋_GB2312" w:eastAsia="仿宋_GB2312" w:cs="仿宋_GB2312"/>
          <w:kern w:val="0"/>
          <w:sz w:val="32"/>
          <w:szCs w:val="32"/>
          <w:highlight w:val="none"/>
        </w:rPr>
        <w:t>%，</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2024年预算在职</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17人，2024年2月调出行政编1人，3月调出事业编3人，7月调入事业编1人，总体人员减少，养老保险缴费支出减少</w:t>
      </w:r>
      <w:r>
        <w:rPr>
          <w:rFonts w:hint="eastAsia" w:ascii="仿宋_GB2312" w:hAnsi="宋体" w:eastAsia="仿宋_GB2312" w:cs="宋体"/>
          <w:kern w:val="0"/>
          <w:sz w:val="32"/>
          <w:szCs w:val="32"/>
          <w:highlight w:val="none"/>
          <w:lang w:val="en-US" w:eastAsia="zh-CN"/>
        </w:rPr>
        <w:t>。</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 w:hAnsi="仿宋" w:eastAsia="仿宋" w:cs="仿宋"/>
          <w:color w:val="auto"/>
          <w:sz w:val="32"/>
          <w:szCs w:val="32"/>
          <w:highlight w:val="none"/>
          <w:lang w:val="en-US" w:eastAsia="zh-CN"/>
        </w:rPr>
        <w:t>5.</w:t>
      </w:r>
      <w:r>
        <w:rPr>
          <w:rFonts w:hint="eastAsia" w:ascii="仿宋_GB2312" w:hAnsi="宋体" w:eastAsia="仿宋_GB2312" w:cs="宋体"/>
          <w:color w:val="auto"/>
          <w:kern w:val="0"/>
          <w:sz w:val="32"/>
          <w:szCs w:val="32"/>
          <w:highlight w:val="none"/>
          <w:lang w:val="en-US" w:eastAsia="zh-CN"/>
        </w:rPr>
        <w:t>卫生健康支出（类）行政事业单位医疗（款）行政单位医疗</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 w:hAnsi="仿宋" w:eastAsia="仿宋" w:cs="仿宋"/>
          <w:color w:val="auto"/>
          <w:sz w:val="32"/>
          <w:szCs w:val="32"/>
          <w:highlight w:val="none"/>
          <w:lang w:val="en-US" w:eastAsia="zh-CN"/>
        </w:rPr>
        <w:t>2025年预算数为</w:t>
      </w:r>
      <w:r>
        <w:rPr>
          <w:rFonts w:hint="eastAsia" w:ascii="仿宋_GB2312" w:hAnsi="宋体" w:eastAsia="仿宋_GB2312" w:cs="宋体"/>
          <w:color w:val="auto"/>
          <w:kern w:val="0"/>
          <w:sz w:val="32"/>
          <w:szCs w:val="32"/>
          <w:highlight w:val="none"/>
          <w:lang w:val="en-US" w:eastAsia="zh-CN"/>
        </w:rPr>
        <w:t>4.90万元，比上年预算减少0.69万元，下降12.34%，</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2024年预算行政编制人员7人，2月调出行政编1人</w:t>
      </w:r>
      <w:r>
        <w:rPr>
          <w:rFonts w:hint="eastAsia" w:ascii="仿宋_GB2312" w:hAnsi="仿宋_GB2312" w:eastAsia="仿宋_GB2312" w:cs="仿宋_GB2312"/>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人员减少，经费减少</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b w:val="0"/>
          <w:bCs w:val="0"/>
          <w:kern w:val="0"/>
          <w:sz w:val="32"/>
          <w:szCs w:val="32"/>
          <w:highlight w:val="none"/>
          <w:lang w:val="en-US" w:eastAsia="zh-CN"/>
        </w:rPr>
        <w:t>6</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卫生健康支出（类）行政事业单位医疗（款）事业单位医疗</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 w:hAnsi="仿宋" w:eastAsia="仿宋" w:cs="仿宋"/>
          <w:color w:val="auto"/>
          <w:sz w:val="32"/>
          <w:szCs w:val="32"/>
          <w:highlight w:val="none"/>
          <w:lang w:val="en-US" w:eastAsia="zh-CN"/>
        </w:rPr>
        <w:t>2025年预算数为</w:t>
      </w:r>
      <w:r>
        <w:rPr>
          <w:rFonts w:hint="eastAsia" w:ascii="仿宋_GB2312" w:hAnsi="宋体" w:eastAsia="仿宋_GB2312" w:cs="宋体"/>
          <w:color w:val="auto"/>
          <w:kern w:val="0"/>
          <w:sz w:val="32"/>
          <w:szCs w:val="32"/>
          <w:highlight w:val="none"/>
          <w:lang w:val="en-US" w:eastAsia="zh-CN"/>
        </w:rPr>
        <w:t>6.10万元，比上年预算减少1.15万元，下降15.86%，</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2024年预算事业编制人员10人，3月调出事业编3人，7月调入事业编1人，人员减少2人，经费减少</w:t>
      </w:r>
      <w:r>
        <w:rPr>
          <w:rFonts w:hint="eastAsia" w:ascii="仿宋_GB2312" w:hAnsi="宋体" w:eastAsia="仿宋_GB2312" w:cs="宋体"/>
          <w:kern w:val="0"/>
          <w:sz w:val="32"/>
          <w:szCs w:val="32"/>
          <w:highlight w:val="none"/>
          <w:lang w:val="en-US" w:eastAsia="zh-CN"/>
        </w:rPr>
        <w:t>。</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7.卫生健康支出（类）行政事业单位医疗（款）公务员医疗补助缴费</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2025</w:t>
      </w:r>
      <w:r>
        <w:rPr>
          <w:rFonts w:hint="eastAsia" w:ascii="仿宋" w:hAnsi="仿宋" w:eastAsia="仿宋" w:cs="仿宋"/>
          <w:color w:val="auto"/>
          <w:sz w:val="32"/>
          <w:szCs w:val="32"/>
          <w:highlight w:val="none"/>
          <w:lang w:val="en-US" w:eastAsia="zh-CN"/>
        </w:rPr>
        <w:t>年预算数为</w:t>
      </w:r>
      <w:r>
        <w:rPr>
          <w:rFonts w:hint="eastAsia" w:ascii="仿宋_GB2312" w:hAnsi="宋体" w:eastAsia="仿宋_GB2312" w:cs="宋体"/>
          <w:color w:val="auto"/>
          <w:kern w:val="0"/>
          <w:sz w:val="32"/>
          <w:szCs w:val="32"/>
          <w:highlight w:val="none"/>
          <w:lang w:val="en-US" w:eastAsia="zh-CN"/>
        </w:rPr>
        <w:t>5.50万元，比上年预算增加1.97万元，增长55.81%，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2025年公务员医疗补助缴费比例从2%提高至4%。</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卫生健康支出（类）行政事业单位医疗（款）其他行政事业单位医疗支出</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2025</w:t>
      </w:r>
      <w:r>
        <w:rPr>
          <w:rFonts w:hint="eastAsia" w:ascii="仿宋" w:hAnsi="仿宋" w:eastAsia="仿宋" w:cs="仿宋"/>
          <w:color w:val="auto"/>
          <w:sz w:val="32"/>
          <w:szCs w:val="32"/>
          <w:highlight w:val="none"/>
          <w:lang w:val="en-US" w:eastAsia="zh-CN"/>
        </w:rPr>
        <w:t>年预算数为0.14</w:t>
      </w:r>
      <w:r>
        <w:rPr>
          <w:rFonts w:hint="eastAsia" w:ascii="仿宋_GB2312" w:hAnsi="宋体" w:eastAsia="仿宋_GB2312" w:cs="宋体"/>
          <w:color w:val="auto"/>
          <w:kern w:val="0"/>
          <w:sz w:val="32"/>
          <w:szCs w:val="32"/>
          <w:highlight w:val="none"/>
          <w:lang w:val="en-US" w:eastAsia="zh-CN"/>
        </w:rPr>
        <w:t>万元，比上年预算增加0.04万元，增长40%，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2025年将在职大病保险比例上调为1%。</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9.</w:t>
      </w:r>
      <w:r>
        <w:rPr>
          <w:rFonts w:hint="eastAsia" w:ascii="仿宋_GB2312" w:hAnsi="宋体" w:eastAsia="仿宋_GB2312" w:cs="宋体"/>
          <w:color w:val="auto"/>
          <w:kern w:val="0"/>
          <w:sz w:val="32"/>
          <w:szCs w:val="32"/>
          <w:highlight w:val="none"/>
          <w:lang w:val="en-US" w:eastAsia="zh-CN"/>
        </w:rPr>
        <w:t>住房保障支出（类）住房改革支出（款）住房公积金</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 w:hAnsi="仿宋" w:eastAsia="仿宋" w:cs="仿宋"/>
          <w:color w:val="auto"/>
          <w:sz w:val="32"/>
          <w:szCs w:val="32"/>
          <w:highlight w:val="none"/>
          <w:lang w:val="en-US" w:eastAsia="zh-CN"/>
        </w:rPr>
        <w:t>2025年预算数为</w:t>
      </w:r>
      <w:r>
        <w:rPr>
          <w:rFonts w:hint="eastAsia" w:ascii="仿宋_GB2312" w:hAnsi="宋体" w:eastAsia="仿宋_GB2312" w:cs="宋体"/>
          <w:color w:val="auto"/>
          <w:kern w:val="0"/>
          <w:sz w:val="32"/>
          <w:szCs w:val="32"/>
          <w:highlight w:val="none"/>
          <w:lang w:val="en-US" w:eastAsia="zh-CN"/>
        </w:rPr>
        <w:t>18.32万元，比上年预算减少3.17万元，下降14.75%，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公积金基数调整，总体人员减少，经费减少。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221.91</w:t>
      </w:r>
      <w:r>
        <w:rPr>
          <w:rFonts w:hint="eastAsia" w:ascii="仿宋_GB2312" w:hAnsi="宋体" w:eastAsia="仿宋_GB2312" w:cs="宋体"/>
          <w:color w:val="auto"/>
          <w:spacing w:val="-6"/>
          <w:kern w:val="0"/>
          <w:sz w:val="32"/>
          <w:szCs w:val="32"/>
          <w:highlight w:val="none"/>
        </w:rPr>
        <w:t>万元， 其中：</w:t>
      </w:r>
    </w:p>
    <w:p>
      <w:pPr>
        <w:pStyle w:val="6"/>
        <w:widowControl/>
        <w:spacing w:before="0" w:beforeAutospacing="0" w:after="0" w:afterAutospacing="0"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214.93</w:t>
      </w:r>
      <w:r>
        <w:rPr>
          <w:rFonts w:hint="eastAsia" w:ascii="仿宋_GB2312" w:hAnsi="宋体" w:eastAsia="仿宋_GB2312" w:cs="宋体"/>
          <w:color w:val="auto"/>
          <w:kern w:val="0"/>
          <w:sz w:val="32"/>
          <w:szCs w:val="32"/>
          <w:highlight w:val="none"/>
        </w:rPr>
        <w:t>万元，主要包括：</w:t>
      </w:r>
      <w:r>
        <w:rPr>
          <w:rFonts w:hint="eastAsia" w:ascii="仿宋_GB2312" w:hAnsi="宋体" w:eastAsia="仿宋_GB2312" w:cs="宋体"/>
          <w:sz w:val="32"/>
          <w:szCs w:val="32"/>
          <w:highlight w:val="none"/>
        </w:rPr>
        <w:t xml:space="preserve">基本工资、津贴补贴、奖金、绩效工资、机关事业单位基本养老保险缴费、职工基本医疗保险缴费、公务员医疗补助缴费、其他社会保障缴费、住房公积金、退休费、奖励金。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6.98</w:t>
      </w:r>
      <w:r>
        <w:rPr>
          <w:rFonts w:hint="eastAsia" w:ascii="仿宋_GB2312" w:hAnsi="宋体" w:eastAsia="仿宋_GB2312" w:cs="宋体"/>
          <w:color w:val="auto"/>
          <w:kern w:val="0"/>
          <w:sz w:val="32"/>
          <w:szCs w:val="32"/>
          <w:highlight w:val="none"/>
        </w:rPr>
        <w:t>万元，主要包括：办公费、印刷费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手续费、水费、电费、邮电费、维修（护）费、公务接待费、工会经费、公务用车运行维护费。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1.70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0.10</w:t>
      </w:r>
      <w:r>
        <w:rPr>
          <w:rFonts w:hint="eastAsia" w:ascii="仿宋_GB2312" w:hAnsi="宋体" w:eastAsia="仿宋_GB2312" w:cs="宋体"/>
          <w:color w:val="auto"/>
          <w:kern w:val="0"/>
          <w:sz w:val="32"/>
          <w:szCs w:val="32"/>
          <w:highlight w:val="none"/>
        </w:rPr>
        <w:t>万元。</w:t>
      </w:r>
    </w:p>
    <w:p>
      <w:pPr>
        <w:widowControl/>
        <w:spacing w:line="560" w:lineRule="exact"/>
        <w:ind w:firstLine="640" w:firstLineChars="200"/>
        <w:rPr>
          <w:rFonts w:hint="default"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lang w:eastAsia="zh-CN"/>
        </w:rPr>
        <w:t>年财政拨款“三公”经费预算比上年预算增加0.00万元，增长0.00%，其中：因公出国（境）费增加0.00万元，增长0.00%，主要原因是</w:t>
      </w:r>
      <w:r>
        <w:rPr>
          <w:rFonts w:hint="eastAsia" w:ascii="仿宋_GB2312" w:hAnsi="宋体" w:eastAsia="仿宋_GB2312" w:cs="宋体"/>
          <w:color w:val="auto"/>
          <w:kern w:val="0"/>
          <w:sz w:val="32"/>
          <w:szCs w:val="32"/>
          <w:highlight w:val="none"/>
          <w:lang w:val="en-US" w:eastAsia="zh-CN"/>
        </w:rPr>
        <w:t>2024年、2025年均</w:t>
      </w:r>
      <w:r>
        <w:rPr>
          <w:rFonts w:hint="eastAsia" w:ascii="仿宋_GB2312" w:hAnsi="宋体" w:eastAsia="仿宋_GB2312" w:cs="宋体"/>
          <w:color w:val="auto"/>
          <w:kern w:val="0"/>
          <w:sz w:val="32"/>
          <w:szCs w:val="32"/>
          <w:highlight w:val="none"/>
          <w:lang w:eastAsia="zh-CN"/>
        </w:rPr>
        <w:t>未安排因公出国（境）费预算；公务用车购置费增加0.00万元，增长0.00%，主要原因是</w:t>
      </w:r>
      <w:r>
        <w:rPr>
          <w:rFonts w:hint="eastAsia" w:ascii="仿宋_GB2312" w:hAnsi="宋体" w:eastAsia="仿宋_GB2312" w:cs="宋体"/>
          <w:color w:val="auto"/>
          <w:kern w:val="0"/>
          <w:sz w:val="32"/>
          <w:szCs w:val="32"/>
          <w:highlight w:val="none"/>
          <w:lang w:val="en-US" w:eastAsia="zh-CN"/>
        </w:rPr>
        <w:t>2024年、2025年均</w:t>
      </w:r>
      <w:r>
        <w:rPr>
          <w:rFonts w:hint="eastAsia" w:ascii="仿宋_GB2312" w:hAnsi="宋体" w:eastAsia="仿宋_GB2312" w:cs="宋体"/>
          <w:color w:val="auto"/>
          <w:kern w:val="0"/>
          <w:sz w:val="32"/>
          <w:szCs w:val="32"/>
          <w:highlight w:val="none"/>
          <w:lang w:eastAsia="zh-CN"/>
        </w:rPr>
        <w:t>未安排公务用车购置费预算；公务用车运行费增加0.00万元，增长0.00%，主要原因是严格执行中央八项规定，三公经费只减不增；公务接待费增加0.00万元，增长0.00%，主要原因是严格执行中央八项规定，三公经费只减不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6.98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减少1.03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下降12.86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2024年预算在职</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17人，2024年2月调出行政编1人，3月调出事业编3人，7月调入事业编1人，总体人员减少，经费减少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3.15</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1.45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1.70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3.15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3.15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1.房屋</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平方米，价值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17.98</w:t>
      </w:r>
      <w:r>
        <w:rPr>
          <w:rFonts w:hint="eastAsia" w:ascii="仿宋_GB2312" w:hAnsi="仿宋_GB2312" w:eastAsia="仿宋_GB2312" w:cs="仿宋_GB2312"/>
          <w:kern w:val="0"/>
          <w:sz w:val="32"/>
          <w:szCs w:val="32"/>
          <w:highlight w:val="none"/>
        </w:rPr>
        <w:t>万元；其中：一般公务用车</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17.98</w:t>
      </w:r>
      <w:r>
        <w:rPr>
          <w:rFonts w:hint="eastAsia" w:ascii="仿宋_GB2312" w:hAnsi="仿宋_GB2312" w:eastAsia="仿宋_GB2312" w:cs="仿宋_GB2312"/>
          <w:kern w:val="0"/>
          <w:sz w:val="32"/>
          <w:szCs w:val="32"/>
          <w:highlight w:val="none"/>
        </w:rPr>
        <w:t>万元；执法执勤用车</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万元；其他车辆</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w:t>
      </w:r>
      <w:r>
        <w:rPr>
          <w:rFonts w:hint="eastAsia" w:ascii="仿宋_GB2312" w:hAnsi="仿宋_GB2312" w:eastAsia="仿宋_GB2312" w:cs="仿宋_GB2312"/>
          <w:kern w:val="0"/>
          <w:sz w:val="32"/>
          <w:szCs w:val="32"/>
          <w:highlight w:val="none"/>
          <w:lang w:val="en-US" w:eastAsia="zh-CN"/>
        </w:rPr>
        <w:t>9.86</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w:t>
      </w:r>
      <w:r>
        <w:rPr>
          <w:rFonts w:hint="eastAsia" w:ascii="仿宋_GB2312" w:hAnsi="仿宋_GB2312" w:eastAsia="仿宋_GB2312" w:cs="仿宋_GB2312"/>
          <w:kern w:val="0"/>
          <w:sz w:val="32"/>
          <w:szCs w:val="32"/>
          <w:highlight w:val="none"/>
          <w:lang w:val="en-US" w:eastAsia="zh-CN"/>
        </w:rPr>
        <w:t>27.67</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价值50万元以上大型设备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年预算未安排购置车辆经费，安排购置50万元以上大型设备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台（套），单位价值100万元以上大型设备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整体预算绩效目标1个，涉及预算金额320.73万元；当年预算安排项目共0个，其中: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910"/>
        <w:gridCol w:w="1018"/>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 w:hAnsi="Calibri" w:eastAsia="仿宋" w:cs="Times New Roman"/>
                <w:sz w:val="18"/>
                <w:szCs w:val="18"/>
                <w:highlight w:val="none"/>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中共呼图壁县委员会机构编制委员会办公室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司晓玲</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15739613639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严格按照区、州安排部署，牢牢把握州党委编办关于机构改革分段安排的时间节点，统筹谋划，为更好落实改革工作提供了制度保证。坚持目标导向，理顺职责职能，进一步规范和完善权责清单制度，增强权责清单的权威性、时效性和准确性，充分发挥权责清单制度在推动部门全面正确履职尽责方面的基础性制度作用，完成全面建立乡镇履行职责事项清单工作，筑牢党在基层的治理基础，持续为基层减负赋能。统筹科学配置机构编制资源，通过编制资源优化配置，努力实现机构编制资源效益最大化，为重点工作开展提供机构编制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221.91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98.82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12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履职效能</w:t>
            </w:r>
          </w:p>
        </w:tc>
        <w:tc>
          <w:tcPr>
            <w:tcW w:w="1367" w:type="dxa"/>
            <w:vMerge w:val="restart"/>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数量指标</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完成事业单位法人证书线下审核、网上公示数量</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&lt;=149个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呼图壁县委编办关于2024年工作总结和2025年工作计划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367" w:type="dxa"/>
            <w:vMerge w:val="continue"/>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按程序做好部门权责清单动态调整</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&lt;=30个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呼图壁县委编办关于2024年工作总结和2025年工作计划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367" w:type="dxa"/>
            <w:vMerge w:val="continue"/>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全面建立乡镇履行职责事项清单</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=7个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呼图壁县委编办关于2024年工作总结和2025年工作计划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质量指标</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2025年新招录公务员及事业单位公开招聘人员落编率</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呼图壁县委编办关于2024年工作总结和2025年工作计划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1"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时效指标</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清单调整及时率</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呼图壁县委编办关于2024年工作总结和2025年工作计划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16</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320" w:firstLineChars="100"/>
        <w:jc w:val="left"/>
        <w:textAlignment w:val="auto"/>
        <w:outlineLvl w:val="9"/>
        <w:rPr>
          <w:rFonts w:hint="eastAsia" w:ascii="黑体" w:hAnsi="黑体" w:eastAsia="黑体"/>
          <w:kern w:val="0"/>
          <w:sz w:val="32"/>
          <w:szCs w:val="32"/>
          <w:highlight w:val="none"/>
          <w:lang w:eastAsia="zh-CN"/>
        </w:rPr>
      </w:pPr>
      <w:r>
        <w:rPr>
          <w:rFonts w:hint="eastAsia" w:ascii="仿宋_GB2312" w:hAnsi="宋体" w:eastAsia="仿宋_GB2312" w:cs="宋体"/>
          <w:kern w:val="0"/>
          <w:sz w:val="32"/>
          <w:szCs w:val="32"/>
          <w:highlight w:val="none"/>
          <w:lang w:eastAsia="zh-CN"/>
        </w:rPr>
        <w:t>无</w:t>
      </w: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w:t>
      </w:r>
      <w:r>
        <w:rPr>
          <w:rFonts w:hint="eastAsia" w:ascii="黑体" w:hAnsi="黑体" w:eastAsia="黑体"/>
          <w:kern w:val="0"/>
          <w:sz w:val="32"/>
          <w:szCs w:val="32"/>
          <w:highlight w:val="none"/>
          <w:lang w:val="en-US" w:eastAsia="zh-CN"/>
        </w:rPr>
        <w:t xml:space="preserve"> </w:t>
      </w:r>
      <w:r>
        <w:rPr>
          <w:rFonts w:hint="eastAsia" w:ascii="黑体" w:hAnsi="黑体" w:eastAsia="黑体"/>
          <w:kern w:val="0"/>
          <w:sz w:val="32"/>
          <w:szCs w:val="32"/>
          <w:highlight w:val="none"/>
        </w:rPr>
        <w:t>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中共呼图壁县委员会机构编制委员会办公室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bookmarkEnd w:id="1"/>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00172A27"/>
    <w:rsid w:val="00E41A1F"/>
    <w:rsid w:val="017B2F92"/>
    <w:rsid w:val="020E507E"/>
    <w:rsid w:val="02732F8E"/>
    <w:rsid w:val="02CB7F49"/>
    <w:rsid w:val="037026D5"/>
    <w:rsid w:val="037800D1"/>
    <w:rsid w:val="03DB6B9A"/>
    <w:rsid w:val="03DE7D39"/>
    <w:rsid w:val="04267087"/>
    <w:rsid w:val="04267B2D"/>
    <w:rsid w:val="044C330C"/>
    <w:rsid w:val="04896F13"/>
    <w:rsid w:val="05397FD9"/>
    <w:rsid w:val="057A5F58"/>
    <w:rsid w:val="05AA2527"/>
    <w:rsid w:val="05AA7222"/>
    <w:rsid w:val="05CA273A"/>
    <w:rsid w:val="06EB5A67"/>
    <w:rsid w:val="070A6E75"/>
    <w:rsid w:val="070E6657"/>
    <w:rsid w:val="080E3E4F"/>
    <w:rsid w:val="084451C2"/>
    <w:rsid w:val="08450B28"/>
    <w:rsid w:val="08762705"/>
    <w:rsid w:val="088F5575"/>
    <w:rsid w:val="08E81855"/>
    <w:rsid w:val="091F2971"/>
    <w:rsid w:val="09631973"/>
    <w:rsid w:val="0A4168EC"/>
    <w:rsid w:val="0AD672A7"/>
    <w:rsid w:val="0B247F12"/>
    <w:rsid w:val="0B7C3034"/>
    <w:rsid w:val="0B841FFD"/>
    <w:rsid w:val="0BD56A2F"/>
    <w:rsid w:val="0C0A3890"/>
    <w:rsid w:val="0CD20198"/>
    <w:rsid w:val="0CEC568C"/>
    <w:rsid w:val="0D6E5FD0"/>
    <w:rsid w:val="0E320E7D"/>
    <w:rsid w:val="0E9208E7"/>
    <w:rsid w:val="0F5F6446"/>
    <w:rsid w:val="0F815DA9"/>
    <w:rsid w:val="0FAD3666"/>
    <w:rsid w:val="10587512"/>
    <w:rsid w:val="105C75E2"/>
    <w:rsid w:val="105D0E37"/>
    <w:rsid w:val="10916BDA"/>
    <w:rsid w:val="11036B00"/>
    <w:rsid w:val="11301FEB"/>
    <w:rsid w:val="11B6451D"/>
    <w:rsid w:val="121E62E8"/>
    <w:rsid w:val="12D84E3E"/>
    <w:rsid w:val="12E13922"/>
    <w:rsid w:val="1697741D"/>
    <w:rsid w:val="175B29DE"/>
    <w:rsid w:val="19A215AC"/>
    <w:rsid w:val="19C32B9D"/>
    <w:rsid w:val="1A132B78"/>
    <w:rsid w:val="1A5965F0"/>
    <w:rsid w:val="1A8769F4"/>
    <w:rsid w:val="1AC437A4"/>
    <w:rsid w:val="1B153D26"/>
    <w:rsid w:val="1BEB54C3"/>
    <w:rsid w:val="1C3C6084"/>
    <w:rsid w:val="1C8C02F2"/>
    <w:rsid w:val="1D3E1AFE"/>
    <w:rsid w:val="1E2A41E8"/>
    <w:rsid w:val="1E6432D4"/>
    <w:rsid w:val="1E89232D"/>
    <w:rsid w:val="1EB61656"/>
    <w:rsid w:val="20407429"/>
    <w:rsid w:val="20CF3CE4"/>
    <w:rsid w:val="20DD55C0"/>
    <w:rsid w:val="21256FFF"/>
    <w:rsid w:val="21E73143"/>
    <w:rsid w:val="22922CB8"/>
    <w:rsid w:val="22DB78DD"/>
    <w:rsid w:val="244D65B8"/>
    <w:rsid w:val="246F59D4"/>
    <w:rsid w:val="24795B24"/>
    <w:rsid w:val="2492221D"/>
    <w:rsid w:val="24B42D8E"/>
    <w:rsid w:val="250855AF"/>
    <w:rsid w:val="255D0646"/>
    <w:rsid w:val="25667D7D"/>
    <w:rsid w:val="258B383C"/>
    <w:rsid w:val="25CD5C03"/>
    <w:rsid w:val="262059E2"/>
    <w:rsid w:val="263B7010"/>
    <w:rsid w:val="26B4291F"/>
    <w:rsid w:val="26BD282A"/>
    <w:rsid w:val="26E769FA"/>
    <w:rsid w:val="286D65BC"/>
    <w:rsid w:val="28D9041B"/>
    <w:rsid w:val="293B2E83"/>
    <w:rsid w:val="2A4547E5"/>
    <w:rsid w:val="2AD17C4D"/>
    <w:rsid w:val="2AF6240B"/>
    <w:rsid w:val="2AFC4894"/>
    <w:rsid w:val="2B3A05DE"/>
    <w:rsid w:val="2B6901C6"/>
    <w:rsid w:val="2D1837FD"/>
    <w:rsid w:val="2D480265"/>
    <w:rsid w:val="2D977453"/>
    <w:rsid w:val="2E2943BA"/>
    <w:rsid w:val="2EF22236"/>
    <w:rsid w:val="2FED29FE"/>
    <w:rsid w:val="300E1D4A"/>
    <w:rsid w:val="30B05F05"/>
    <w:rsid w:val="310F3573"/>
    <w:rsid w:val="32D560F7"/>
    <w:rsid w:val="33A76F60"/>
    <w:rsid w:val="34103577"/>
    <w:rsid w:val="341E7629"/>
    <w:rsid w:val="35F117C8"/>
    <w:rsid w:val="364D23AD"/>
    <w:rsid w:val="37BC2144"/>
    <w:rsid w:val="38284F1B"/>
    <w:rsid w:val="3934085E"/>
    <w:rsid w:val="393669CA"/>
    <w:rsid w:val="39A5191F"/>
    <w:rsid w:val="39B0409D"/>
    <w:rsid w:val="3BE45FB7"/>
    <w:rsid w:val="3BF21AC7"/>
    <w:rsid w:val="3C013037"/>
    <w:rsid w:val="3C5D4096"/>
    <w:rsid w:val="3FDF4D23"/>
    <w:rsid w:val="40796351"/>
    <w:rsid w:val="41083B3B"/>
    <w:rsid w:val="41270465"/>
    <w:rsid w:val="41DB2FFE"/>
    <w:rsid w:val="427E6430"/>
    <w:rsid w:val="42F779C3"/>
    <w:rsid w:val="43502DA9"/>
    <w:rsid w:val="43C26223"/>
    <w:rsid w:val="43D8307E"/>
    <w:rsid w:val="44507CD3"/>
    <w:rsid w:val="44AF5181"/>
    <w:rsid w:val="44D02F30"/>
    <w:rsid w:val="450774CE"/>
    <w:rsid w:val="455A018C"/>
    <w:rsid w:val="46B02CAB"/>
    <w:rsid w:val="46C13040"/>
    <w:rsid w:val="46CE3131"/>
    <w:rsid w:val="493059DD"/>
    <w:rsid w:val="494F7907"/>
    <w:rsid w:val="4A2222C5"/>
    <w:rsid w:val="4A760EB9"/>
    <w:rsid w:val="4A991470"/>
    <w:rsid w:val="4ADF73DC"/>
    <w:rsid w:val="4B1B26BD"/>
    <w:rsid w:val="4B315A3D"/>
    <w:rsid w:val="4B986A12"/>
    <w:rsid w:val="4C0055E5"/>
    <w:rsid w:val="4C3677AE"/>
    <w:rsid w:val="4C706B3A"/>
    <w:rsid w:val="4D2D232C"/>
    <w:rsid w:val="4D6F43CC"/>
    <w:rsid w:val="4E1223B9"/>
    <w:rsid w:val="4F3B332E"/>
    <w:rsid w:val="51C15CED"/>
    <w:rsid w:val="51F50086"/>
    <w:rsid w:val="52285DEB"/>
    <w:rsid w:val="52AD62F0"/>
    <w:rsid w:val="52B04F36"/>
    <w:rsid w:val="53947468"/>
    <w:rsid w:val="53A94D0A"/>
    <w:rsid w:val="544B2759"/>
    <w:rsid w:val="546308FE"/>
    <w:rsid w:val="56FE59C9"/>
    <w:rsid w:val="570D735E"/>
    <w:rsid w:val="571B2674"/>
    <w:rsid w:val="581D71E8"/>
    <w:rsid w:val="589917F1"/>
    <w:rsid w:val="59B241EC"/>
    <w:rsid w:val="59E00B01"/>
    <w:rsid w:val="5A5E27F6"/>
    <w:rsid w:val="5A704801"/>
    <w:rsid w:val="5A8C5E4D"/>
    <w:rsid w:val="5AAD20ED"/>
    <w:rsid w:val="5AED2A9A"/>
    <w:rsid w:val="5D9E1657"/>
    <w:rsid w:val="5E225DE5"/>
    <w:rsid w:val="5E257683"/>
    <w:rsid w:val="5E487A5C"/>
    <w:rsid w:val="5E7802BC"/>
    <w:rsid w:val="5EE078B0"/>
    <w:rsid w:val="5F0D5523"/>
    <w:rsid w:val="5F2346ED"/>
    <w:rsid w:val="600B289F"/>
    <w:rsid w:val="61086613"/>
    <w:rsid w:val="61686204"/>
    <w:rsid w:val="624D7956"/>
    <w:rsid w:val="62917095"/>
    <w:rsid w:val="62C16D24"/>
    <w:rsid w:val="630E06E5"/>
    <w:rsid w:val="6408782B"/>
    <w:rsid w:val="65322CBF"/>
    <w:rsid w:val="65B35574"/>
    <w:rsid w:val="65C658ED"/>
    <w:rsid w:val="661C611F"/>
    <w:rsid w:val="68CC52CB"/>
    <w:rsid w:val="68DE4FFE"/>
    <w:rsid w:val="691B0000"/>
    <w:rsid w:val="694B58D7"/>
    <w:rsid w:val="69CE4E15"/>
    <w:rsid w:val="6B3E7E06"/>
    <w:rsid w:val="6B7C5DB0"/>
    <w:rsid w:val="6B7F3246"/>
    <w:rsid w:val="6BF904A6"/>
    <w:rsid w:val="6CAD0DDA"/>
    <w:rsid w:val="6CB5251A"/>
    <w:rsid w:val="6CD429A0"/>
    <w:rsid w:val="6D2E4BAB"/>
    <w:rsid w:val="6E133661"/>
    <w:rsid w:val="6EF07839"/>
    <w:rsid w:val="6F63000B"/>
    <w:rsid w:val="6FCF0C72"/>
    <w:rsid w:val="71500A63"/>
    <w:rsid w:val="71756B34"/>
    <w:rsid w:val="717C1858"/>
    <w:rsid w:val="72B56DCF"/>
    <w:rsid w:val="72E964BC"/>
    <w:rsid w:val="735C7C42"/>
    <w:rsid w:val="73D93DA0"/>
    <w:rsid w:val="74D07EF1"/>
    <w:rsid w:val="75204CC8"/>
    <w:rsid w:val="75B570E6"/>
    <w:rsid w:val="75BF3AC1"/>
    <w:rsid w:val="7706409E"/>
    <w:rsid w:val="7797777E"/>
    <w:rsid w:val="780A1873"/>
    <w:rsid w:val="787D11B8"/>
    <w:rsid w:val="78A771BA"/>
    <w:rsid w:val="78AC6820"/>
    <w:rsid w:val="792C5912"/>
    <w:rsid w:val="7A2A24FB"/>
    <w:rsid w:val="7CBA4FE2"/>
    <w:rsid w:val="7D06612B"/>
    <w:rsid w:val="7E4D25B2"/>
    <w:rsid w:val="7E880152"/>
    <w:rsid w:val="7E8B30DA"/>
    <w:rsid w:val="7EDF04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2662</Words>
  <Characters>3164</Characters>
  <Lines>1</Lines>
  <Paragraphs>1</Paragraphs>
  <TotalTime>1</TotalTime>
  <ScaleCrop>false</ScaleCrop>
  <LinksUpToDate>false</LinksUpToDate>
  <CharactersWithSpaces>3481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2025-05-22T04:41:00Z</cp:lastPrinted>
  <dcterms:modified xsi:type="dcterms:W3CDTF">2025-10-29T12:03:29Z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2E18411E183540F8BA08BB4925F58E5F_13</vt:lpwstr>
  </property>
  <property fmtid="{D5CDD505-2E9C-101B-9397-08002B2CF9AE}" pid="4" name="KSOTemplateDocerSaveRecord">
    <vt:lpwstr>eyJoZGlkIjoiMGQyMGMzOWI0Y2E4NzVkODBjNTY2NTZkZDk5YTRmZTIiLCJ1c2VySWQiOiIyODEyNDA0NzIifQ==</vt:lpwstr>
  </property>
</Properties>
</file>