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DC8F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700D220">
      <w:pPr>
        <w:spacing w:line="540" w:lineRule="exact"/>
        <w:jc w:val="center"/>
        <w:rPr>
          <w:rFonts w:ascii="华文中宋" w:hAnsi="华文中宋" w:eastAsia="华文中宋" w:cs="宋体"/>
          <w:b/>
          <w:kern w:val="0"/>
          <w:sz w:val="52"/>
          <w:szCs w:val="52"/>
        </w:rPr>
      </w:pPr>
    </w:p>
    <w:p w14:paraId="1583575F">
      <w:pPr>
        <w:spacing w:line="540" w:lineRule="exact"/>
        <w:jc w:val="center"/>
        <w:rPr>
          <w:rFonts w:ascii="华文中宋" w:hAnsi="华文中宋" w:eastAsia="华文中宋" w:cs="宋体"/>
          <w:b/>
          <w:kern w:val="0"/>
          <w:sz w:val="52"/>
          <w:szCs w:val="52"/>
        </w:rPr>
      </w:pPr>
    </w:p>
    <w:p w14:paraId="74D4A695">
      <w:pPr>
        <w:spacing w:line="540" w:lineRule="exact"/>
        <w:jc w:val="center"/>
        <w:rPr>
          <w:rFonts w:ascii="华文中宋" w:hAnsi="华文中宋" w:eastAsia="华文中宋" w:cs="宋体"/>
          <w:b/>
          <w:kern w:val="0"/>
          <w:sz w:val="52"/>
          <w:szCs w:val="52"/>
        </w:rPr>
      </w:pPr>
    </w:p>
    <w:p w14:paraId="2ACD1B13">
      <w:pPr>
        <w:spacing w:line="540" w:lineRule="exact"/>
        <w:jc w:val="center"/>
        <w:rPr>
          <w:rFonts w:ascii="华文中宋" w:hAnsi="华文中宋" w:eastAsia="华文中宋" w:cs="宋体"/>
          <w:b/>
          <w:kern w:val="0"/>
          <w:sz w:val="52"/>
          <w:szCs w:val="52"/>
        </w:rPr>
      </w:pPr>
    </w:p>
    <w:p w14:paraId="758FB8E3">
      <w:pPr>
        <w:spacing w:line="540" w:lineRule="exact"/>
        <w:jc w:val="center"/>
        <w:rPr>
          <w:rFonts w:ascii="华文中宋" w:hAnsi="华文中宋" w:eastAsia="华文中宋" w:cs="宋体"/>
          <w:b/>
          <w:kern w:val="0"/>
          <w:sz w:val="52"/>
          <w:szCs w:val="52"/>
        </w:rPr>
      </w:pPr>
    </w:p>
    <w:p w14:paraId="07CE8CAF">
      <w:pPr>
        <w:spacing w:line="540" w:lineRule="exact"/>
        <w:jc w:val="center"/>
        <w:rPr>
          <w:rFonts w:ascii="华文中宋" w:hAnsi="华文中宋" w:eastAsia="华文中宋" w:cs="宋体"/>
          <w:b/>
          <w:kern w:val="0"/>
          <w:sz w:val="52"/>
          <w:szCs w:val="52"/>
        </w:rPr>
      </w:pPr>
    </w:p>
    <w:p w14:paraId="1F09848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E187D7E">
      <w:pPr>
        <w:spacing w:line="540" w:lineRule="exact"/>
        <w:jc w:val="center"/>
        <w:rPr>
          <w:rFonts w:ascii="华文中宋" w:hAnsi="华文中宋" w:eastAsia="华文中宋" w:cs="宋体"/>
          <w:b/>
          <w:kern w:val="0"/>
          <w:sz w:val="52"/>
          <w:szCs w:val="52"/>
        </w:rPr>
      </w:pPr>
    </w:p>
    <w:p w14:paraId="76714CC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2516F48">
      <w:pPr>
        <w:spacing w:line="540" w:lineRule="exact"/>
        <w:jc w:val="center"/>
        <w:rPr>
          <w:rFonts w:hAnsi="宋体" w:eastAsia="仿宋_GB2312" w:cs="宋体"/>
          <w:kern w:val="0"/>
          <w:sz w:val="30"/>
          <w:szCs w:val="30"/>
        </w:rPr>
      </w:pPr>
    </w:p>
    <w:p w14:paraId="181ACF1E">
      <w:pPr>
        <w:spacing w:line="540" w:lineRule="exact"/>
        <w:jc w:val="center"/>
        <w:rPr>
          <w:rFonts w:hAnsi="宋体" w:eastAsia="仿宋_GB2312" w:cs="宋体"/>
          <w:kern w:val="0"/>
          <w:sz w:val="30"/>
          <w:szCs w:val="30"/>
        </w:rPr>
      </w:pPr>
    </w:p>
    <w:p w14:paraId="4D053EAB">
      <w:pPr>
        <w:spacing w:line="540" w:lineRule="exact"/>
        <w:jc w:val="center"/>
        <w:rPr>
          <w:rFonts w:hAnsi="宋体" w:eastAsia="仿宋_GB2312" w:cs="宋体"/>
          <w:kern w:val="0"/>
          <w:sz w:val="30"/>
          <w:szCs w:val="30"/>
        </w:rPr>
      </w:pPr>
    </w:p>
    <w:p w14:paraId="193F586C">
      <w:pPr>
        <w:spacing w:line="540" w:lineRule="exact"/>
        <w:jc w:val="center"/>
        <w:rPr>
          <w:rFonts w:hAnsi="宋体" w:eastAsia="仿宋_GB2312" w:cs="宋体"/>
          <w:kern w:val="0"/>
          <w:sz w:val="30"/>
          <w:szCs w:val="30"/>
        </w:rPr>
      </w:pPr>
    </w:p>
    <w:p w14:paraId="3B712021">
      <w:pPr>
        <w:spacing w:line="540" w:lineRule="exact"/>
        <w:jc w:val="center"/>
        <w:rPr>
          <w:rFonts w:hAnsi="宋体" w:eastAsia="仿宋_GB2312" w:cs="宋体"/>
          <w:kern w:val="0"/>
          <w:sz w:val="30"/>
          <w:szCs w:val="30"/>
        </w:rPr>
      </w:pPr>
    </w:p>
    <w:p w14:paraId="6EDC59D2">
      <w:pPr>
        <w:spacing w:line="540" w:lineRule="exact"/>
        <w:jc w:val="center"/>
        <w:rPr>
          <w:rFonts w:hAnsi="宋体" w:eastAsia="仿宋_GB2312" w:cs="宋体"/>
          <w:kern w:val="0"/>
          <w:sz w:val="30"/>
          <w:szCs w:val="30"/>
        </w:rPr>
      </w:pPr>
    </w:p>
    <w:p w14:paraId="04C3F56D">
      <w:pPr>
        <w:spacing w:line="540" w:lineRule="exact"/>
        <w:rPr>
          <w:rFonts w:hAnsi="宋体" w:eastAsia="仿宋_GB2312" w:cs="宋体"/>
          <w:kern w:val="0"/>
          <w:sz w:val="30"/>
          <w:szCs w:val="30"/>
        </w:rPr>
      </w:pPr>
    </w:p>
    <w:p w14:paraId="54AC63A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AF44A1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2024年中央财政街推进乡村振兴补助项目（产业到户补助资金）</w:t>
      </w:r>
    </w:p>
    <w:p w14:paraId="7A713F4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呼图壁县乡村振兴综合保障中心</w:t>
      </w:r>
    </w:p>
    <w:p w14:paraId="5308058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呼图壁县乡村振兴综合保障中心</w:t>
      </w:r>
    </w:p>
    <w:p w14:paraId="7DE8E52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李亚婷</w:t>
      </w:r>
    </w:p>
    <w:p w14:paraId="7A3D508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2025年03月10日</w:t>
      </w:r>
    </w:p>
    <w:p w14:paraId="2ED8B853">
      <w:pPr>
        <w:spacing w:line="700" w:lineRule="exact"/>
        <w:ind w:firstLine="708" w:firstLineChars="236"/>
        <w:jc w:val="left"/>
        <w:rPr>
          <w:rFonts w:hAnsi="宋体" w:eastAsia="仿宋_GB2312" w:cs="宋体"/>
          <w:kern w:val="0"/>
          <w:sz w:val="30"/>
          <w:szCs w:val="30"/>
        </w:rPr>
      </w:pPr>
    </w:p>
    <w:p w14:paraId="2D91DBEE">
      <w:pPr>
        <w:spacing w:line="540" w:lineRule="exact"/>
        <w:rPr>
          <w:rStyle w:val="18"/>
          <w:rFonts w:ascii="黑体" w:hAnsi="黑体" w:eastAsia="黑体"/>
          <w:b w:val="0"/>
          <w:spacing w:val="-4"/>
          <w:sz w:val="32"/>
          <w:szCs w:val="32"/>
        </w:rPr>
      </w:pPr>
    </w:p>
    <w:p w14:paraId="170FC91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C6A013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251CE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2024年推动产业帮扶精准到户促进农民持续增收有关工作的通知》新财政[2024]6号文件精神，关于“产业帮扶精准到户奖补政策”的相关要求，呼图壁县乡村振兴综合保障中心立足县域实际，针对当前监测对象中产业收入占比不足35%、家庭经营性收入渠道单一等突出问题，启动2024年产业到户补助资金项目。项目的实施是</w:t>
      </w:r>
      <w:r>
        <w:rPr>
          <w:rStyle w:val="18"/>
          <w:rFonts w:hint="eastAsia" w:ascii="楷体" w:hAnsi="楷体" w:eastAsia="楷体"/>
          <w:b w:val="0"/>
          <w:bCs w:val="0"/>
          <w:spacing w:val="-4"/>
          <w:sz w:val="32"/>
          <w:szCs w:val="32"/>
          <w:lang w:eastAsia="zh-CN"/>
        </w:rPr>
        <w:t>巩固拓展脱贫攻坚成果同乡村振兴有效衔接</w:t>
      </w:r>
      <w:r>
        <w:rPr>
          <w:rStyle w:val="18"/>
          <w:rFonts w:hint="eastAsia" w:ascii="楷体" w:hAnsi="楷体" w:eastAsia="楷体"/>
          <w:b w:val="0"/>
          <w:bCs w:val="0"/>
          <w:spacing w:val="-4"/>
          <w:sz w:val="32"/>
          <w:szCs w:val="32"/>
        </w:rPr>
        <w:t>的关键举措，通过向具备劳动能力的监测户提供专项补助资金，重点支持庭院经济、特色种养殖等小微产业发展，可有效破解农户因启动资金短缺导致产业发展滞后的瓶颈问题，预计项目覆盖区域内农户产业收入占比可提升至58%以上，带动60余户家庭建立稳定增收渠道，切实增强乡村产业造血功能，缩小城乡收入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（1）项目名称：2024年中央财政衔接推进乡村振兴补助项目-产业到户补助资金（以下简称“该项目”或“项目”）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全县监测对象家庭实际情况，重点引导监测对象实施种植业、畜禽养殖、庭院经济、就业创业4个主导产业。补助对象已申报的项目且以套取补助资金为目的再次申报不再进行补助，对当年已获得财政资金扶持的项目在同一环节不再重复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实施主体：呼图壁县乡村振兴综合保障中心。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乡村振兴综合保障中心2024年产业到户补助资金项目严格遵循“四议两公开”程序规范实施，于2024年5月通过村级民主评议、乡镇审核及县级备案，精准锁定帮扶对象；6月经县、乡、村三级联合验收及公示确认项目合规性后，9月完成资金申请流程；至11月通过“一卡通”系统向符合产业发展条件的62户监测对象足额发放补助资金36.312万元，重点支持庭院果蔬种植、畜禽养殖等短平快产业，带动受益家庭产业收入占比提升至63%。项目实施过程中同步开展政策培训12场次，形成了“资金扶持+技能赋能”的闭环帮扶机制，拓宽了监测对象的增收渠道，增强了产业发展后劲，激发其内生动力，为巩固脱贫成果提供了可复制的实践样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呼图壁县乡村振兴综合保障中心为呼图壁县农业农村局管理的公益一类事业单位，机构规格相当副科级。单位主要负责：①贯彻执行国家和区、州、县巩固拓展脱贫攻坚成果同乡村振兴有效衔接的法律法规和方针政策</w:t>
      </w:r>
      <w:bookmarkStart w:id="0" w:name="_GoBack"/>
      <w:bookmarkEnd w:id="0"/>
      <w:r>
        <w:rPr>
          <w:rStyle w:val="18"/>
          <w:rFonts w:hint="eastAsia" w:ascii="楷体" w:hAnsi="楷体" w:eastAsia="楷体"/>
          <w:b w:val="0"/>
          <w:bCs w:val="0"/>
          <w:spacing w:val="-4"/>
          <w:sz w:val="32"/>
          <w:szCs w:val="32"/>
        </w:rPr>
        <w:t>；承担防止返贫动态监测帮扶工作的政策咨询服务。②实施巩固拓展脱贫攻坚成果同乡村振兴有效衔接总体规划、专项规划和年度工作计划；承担防止返贫动态监测和帮扶工作，指导乡镇做好年度乡村人口的动态管理；承担巩固拓展脱贫攻坚成果信息数据统计汇总、动态监测、平台数据管理和数据维护工作；收集整理巩固拓展脱贫攻坚成果档案资料，并做好归档管理；③承担区级、州直部门单位定点帮扶、社会帮扶、消费帮扶、区内协作帮扶工作任务；落实全县监测对象小额信贷等相关政策；协调各级领导联系乡村振兴包联工作；配合审计部门开展衔接资金专项审计工作；④围绕实施全县乡村振兴战略有关规划、计划，承担全县乡村项目建设的服务保障工作；⑤参与县级乡村振兴相关规划编制；协调推进农业农村社会事业发展各项工作；协调推动完善农村基础设施建设工作；承担推进农村人居环境整治、农村“厕所革命”工作；承担积分制清单制推广应用、乡村治理试点示范行动等工作；全面推进乡村振兴示范乡镇、示范村创建，推进乡村建设“一乡一村”示范建设；⑥完成县农业农村局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呼图壁县乡村振兴综合保障中心无下属预算单位，未设处室。呼图壁县乡村振兴综合保障中心总编制数22人，实有人数20人，其中：在职20人，退休0人。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本项目预算安排总额为36.31万元，资金来源由中央、自治区衔接资金及县财政自筹资金三部分组成，其中：财政资金36.31万元，其他资金</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万元，2024年实际收到预算资金36.31万元，预算资金到位率为100%。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截至2024年12月31日，本项目实际支付资金36.31万元，预算执行率100%。本项目资金主要用于支付发展庭院经济4户0.98万元，畜牧业55户35.01元，就业创业3户0.32万元。</w:t>
      </w:r>
    </w:p>
    <w:p w14:paraId="6DA3C61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4AF9C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乡村振兴综合保障中心2024年产业到户补助资金项目以精准赋能乡村产业振兴为核心目标，通过为62户监测对象提供定向资金扶持，重点培育四大主导产业，全面激发农户内生发展动力。项目严格确保补贴发放精准度和验收合格率均达到100%，着力破解农户产业发展资金短缺难题，推动庭院经济、特色种养殖等小微产业规模化、标准化发展，有效拓宽家庭经营性收入来源，促进监测对象产业收入持续稳定增长。项目实施旨在构建“资金直达+产业升级+长效增收”的乡村振兴帮扶体系，全面提升乡村产业造血能力，助力形成以特色产业为支撑的可持续增收模式，为巩固拓展脱贫攻坚成果、加快城乡融合发展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“补贴监测对象户数”指标，预期指标值为“等于62户”；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“补贴发放准确率”指标，预期指标值为“等于100%”；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“补贴发放完成时间”指标，预期指标值为“2024年11月30日前”；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“母牛补助资金”指标，预期指标值为“小于等于3000元/头”；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“母羊补助资金”指标，预期指标值为“小于等于300元/头”；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“拓宽监测对象的增收渠道，促进稳定增收致富”指标，预期指标值为“明显拓宽”；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“监测对象满意度”指标，预期指标值为“大于等于95%”。</w:t>
      </w:r>
    </w:p>
    <w:p w14:paraId="61BCD14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7DCE87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24420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中央财政衔接推进乡村振兴补助项目-产业到户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（5）《中央财政衔接推进乡村振兴补助资金管理办法》（财农〔2021〕19号），明确资金使用方向、项目管理及绩效目标要求；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（6）《财政衔接推进乡村振兴补助资金绩效管理及考核办法》（财农〔2023〕7号），规定资金使用效益、受益对象精准性、产业带动能力等核心指标；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（7）《关于加强中央财政衔接推进乡村振兴补助资金使用管理的指导意见》（国乡振发〔2022〕1号），细化资金分配与产业项目联农带农机制考核标准；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（8）《关于健全防止返贫动态监测和帮扶机制的指导意见》（中农发〔2021〕10号），要求项目对监测对象增收实效进行量化评估；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（9）《中华人民共和国乡村振兴促进法》，从法律层面保障资金使用与乡村振兴战略目标的契合性。  </w:t>
      </w:r>
    </w:p>
    <w:p w14:paraId="44767DF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8557D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关键绩效指标法、专家评审法、公众满意度调查法对项目进行评价，旨在通过综合分析影响绩效目标实现、实施效果的内外部因素，从而评价本项目绩效。三级指标分析环节：定量分析法，定性分析法、比较分析法、成本效益分析法、目标管理法、关键绩效指标法、专家评审法、公众满意度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（1）定量分析法：通过统计补贴发放准确率、项目验收合格率、产业收入增幅等可量化数据，衡量资金使用效率和目标达成度。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（2）定性分析法：结合农户满意度调查、产业可持续性评估等非数值化反馈，分析项目对乡村经济结构优化和社会效益的贡献。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（3）比较分析法：对比项目实施前后监测对象的收入构成、产业发展规模等指标，验证帮扶措施的实际成效。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（4）成本效益分析法：评估财政资金投入与农户增收、就业岗位创造等经济回报的比率，判断资源分配合理性。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（5）目标管理法：以项目申报时设定的覆盖率、主导产业数量等目标为基准，逐项核查完成情况。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（6）关键绩效指标法：围绕资金精准到户率、联农带农机制覆盖率等核心指标，建立分层级考核体系。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（7）专家评审法：邀请农业经济、乡村振兴领域专家，对产业选择科学性和技术培训有效性进行专业评估。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（8）公众满意度调查法：通过问卷调查或访谈，收集受益农户对资金发放透明度、政策支持力度的主观评价。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281C10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18FC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李亚婷（评价小组组长）：主要负责项目策划和监督，全面负责项目绩效评价办稿的最终质量，对评估人员出具的最终报告质量进行复核，确保评估结果的客观性；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邵艳梅（评价小组副组长）：主要负责项目监督管理、验收以及资金核拨等工作。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古丽森（评价小组组员）：主要负责资料的收集，取证、数据统计分析；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陈丽（评价小组组员）：主要负责主要负责项目报告的制定，指标的研判，数据分析及报告撰写。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经调研了解，该项目主要受益群体包括全县监测对象。我们根据绩效评价目标和绩效指标体系，设计满意度调查问卷进行问卷调查，其中全县监测对象受益对象共选取样本35人，共发放问卷35份，最终收回35份。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2025年3月10日-3月20日，评价小组按照绩效评价的原则和规范，对取得的资料进行审查核实，对采集的数据进行分析，按照绩效评价指标评分表逐项进行打分、分析、汇总各方评价结果。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A9E3A7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AEE6D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向62户监测对象精准发放产业补助资金、培育了4个联农带农主导产业等核心产出指标，发挥了拓宽监测对象增收渠道、增强产业发展后劲、激发其内生动力等经济效益。但在实施过程中也存在一些不足：如部分农户产业规模受限于庭院空间导致后续扩产潜力不足；个别偏远村社因物流成本较高制约农产品市场拓展等问题，未来需通过强化产销对接服务、优化技能培训内容、引入深加工企业合作等方式完善帮扶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01DFCB4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B2D15E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8FB58F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①符合国家法律法规：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中华人民共和国乡村振兴促进法》中“明确要求通过财政资金支持乡村产业发展，提升农民收入，巩固脱贫攻坚成果，与项目通过补助资金扶持农户发展特色产业的定位完全契合。”和《中央财政衔接推进乡村振兴补助资金管理办法》（财农〔2021〕19号）中“规定衔接资金重点用于培育特色优势产业，支持脱贫人口和监测对象增收”符合国家法律法规、国民经济发展规划和相关政策；本项目立项符合《中华人民共和国国民经济和社会发展第十四个五年规划和2035年远景目标纲要》:提出“实现巩固拓展脱贫攻坚成果同乡村振兴有效衔接”“发展壮大乡村特色产业”，项目通过产业到户资金支持农户发展庭院经济、特色种养殖等，直接响应规划要求。符合行业发展规划及政策；本项目立项符合《呼图壁县乡村振兴综合保障中心单位配置内设机构和人员编制规定》中职责范围中的“围绕实施全县乡村振兴战略有关规划、计划，承担全县乡村项目建设的服务保障工作”，属于我单位履职所需。根据《财政资金直接支付申请书》，本项目资金性质为“公共财政预算”功能分类为“生产发展”经济分类为“生产发展”属于公共财政支持范围，符合中央、地方事权支出责任划分原则；经检查我单位财政应用平台指标，本项目不存在重复。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本项目为非基础建设类项目，属于专项资金安排项目，不涉及事前绩效评估、可行性研究以及风险评估，由我单位严格按照《呼图壁县2024年推动产业帮扶精准到户 促进农民持续增收实施方案》（呼县农字〔2024〕80号）文件要求实施项目。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根据全县监测对象家庭实际情况，重点引导监测对象实施种植业、畜禽养殖、庭院经济、就业创业4个主导产业。补贴发放准确率、补贴发放及时率均达到100%。项目预计2021年12月前完成。”；本项目实际工作内容为：截至2024年12月31日，该项目实际完成全县62户监测对象产业到户补助资金发放，共计36.312万元，其中，大丰镇4户，发放金额2.97万元，二十里店镇6户，发放主额1.78万元，石梯子乡4户，发放金额6.15万元，五工台镇6户，发放金额2.782万元，园户村镇4户，发放金额0.47万元；雀尔沟镇38户，发放金额22.16万元；补贴发放准确率、补贴发放及时率均达到100%，通过该项目的实施，提升了监测对象的增收渠道，促进监测对象家庭稳定增收致富，监测对象满意度为97.14%。绩效目标与实际工作内容一致，两者具有相关性；本项目预算申请资金36.312万元，预算确定资金量与实际工作任务相匹配。本项目按照绩效目标完成了数量指标、质量指标、时效指标、成本指标，有效保障了监测对象增收渠道显著拓宽、监测对象满意度97.14%，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6个，定性指标2个，指标量化率为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庭院经济补助标准按支持利用自家房前屋后、前庭后院等区域发展家庭特色种植，种植面积在0.2亩以上并产生一定效益的，补助不超过1000元/亩，共计4户9.8亩0.98万元；就业创业补助标准生产或经营面积在20平方米（含）以上，正常经营至少6个月的，不超过2000元/户，共计1户0.2万元；一次性交通补助标准疆内跨地州市（含兵团）连续务工就业3个月以上不超过1000元/人、地区内跨县（含兵团）连续务工就业3个月以上不超过200元/人，共计2人0.12万元；畜牧业补助标准：引进良种母畜牛不超过4000元/头，羊不超过400元/只，骆驼不超过4000元/峰；自繁良种母畜牛不超过3000元/头，羊不超过300元/只，骆驼不超过2000元/峰；鸡鸭鹅养殖养殖规模50羽以上不超过10元/羽，共计补助引进良种母牛7头、自繁良种母牛78头、引进良种母羊7只、自繁良种母羊225只，骆驼4峰、马2匹，鸡132只共计35.01万元计算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根据《呼图壁县2024年推动产业帮扶精准到户促进农民持续增收实施方案》（呼县农字[2024]80号）,产业到户补助资金按照中央衔接资金占比60%，自治区衔接资金占比30%，县财政自筹资金占比10%的比例，2024年安排2.5万元产业到户补助资金。项目实际内容为产业到户补助资金按照中央衔接资金占比60%，自治区衔接资金占比30%，县财政自筹资金占比10%的比例，2024年安排2.5万元产业到户补助资金。实际完成全县62户监测对象产业到户补助资金发放，共计36.31万元。预算申请与《呼图壁县2024年推动产业帮扶精准到户 促进农民持续增收实施方案》（呼县农字〔2024〕80号）文件中涉及的项目内容匹配；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36.31万元，我单位在预算申请中严格按照单位标准和数量进行核算，其中：庭院经济补助标准按支持利用自家房前屋后、前庭后院等区域发展家庭特色种植，种植面积在0.2亩以上并产生一定效益的，补助不超过1000元/亩，共计4户9.8亩0.98万元；就业创业补助标准生产或经营面积在20平方米（含）以上，正常经营至少6个月的，不超过2000元/户，共计1户0.2万元；一次性交通补助标准疆内跨地州市（含兵团）连续务工就业3个月以上不超过1000元/人、地区内跨县（含兵团）连续务工就业3个月以上不超过200元/人，共计2人0.12万元；畜牧业补助标准：引进良种母畜牛不超过4000元/头，羊不超过400元/只，骆驼不超过4000元/峰；自繁良种母畜牛不超过3000元/头，羊不超过300元/只，骆驼不超过2000元/峰；鸡鸭鹅养殖养殖规模50羽以上不超过10元/羽，共计补助引进良种母牛7头、自繁良种母牛78头、引进良种母羊7只、自繁良种母羊225只，骆驼4峰、马2匹，鸡132只共计35.01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本项目资金主要用于支付发展庭院经济4户0.98万元，畜牧业55户35.012元，就业创业3户0.32万元。。本项目预算额度测算依据充分，严格按照标准编制，预算确定资金量与实际工作任务相匹配；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本项目实际分配资金以《关于申请拨付2024年产业到户补助资金的请示》（呼县农字〔2024〕140号）和《呼图壁县2024年推动产业帮扶精准到户 促进农民持续增收实施方案》（呼县农字〔2024〕80号）为依据进行资金分配，预算资金分配依据充分。根据关于下达2024年自治区财政衔接推进乡村振兴补助资金预算的通知（昌州财农〔2024〕7号 ）、关于下达2024年中央财政衔接推进乡村振兴补助资金预算的通知（昌州财农〔2024〕9号）、《关于下达2024年县本级财政衔接推进乡村振兴补助资金的通知》（呼财字〔2024〕40号）、《关于下达2024年自治区财政衔接推进乡村振兴补助资金指标到位的通知》（呼财字〔2024〕40号）、《关于下达2024年中央财政衔接推进乡村振兴补助资金指标到位的通知》（呼财字〔2024〕57号）、《呼图壁县2024年财政衔接资金项目资金联合审批单》等文件显示，下达中央衔接资金15万元、自治区衔接资金18.812万元、自筹资金2.5万元，共计36.312万元，本项目实际到位资金36.312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58D70AA">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4A9773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本项目预算资金为36.31万元，其中：本级财政安排资金36.31万元，其他资金</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万元，实际到位资金36.31万元，资金到位率=（实际到位资金/预算资金）×100.00%=（36.31/36.31）*100.00%=100%。得分=资金到位率*分值=100%*4=4分。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本项目实际支出资金36.31万元，预算执行率=（实际支出资金/实际到位资金）×100.00%=（36.31/36.31）*100.00%=100%。得分=预算执行率*分值=100%*5=5分。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实施方案、资金申请文件、发票等财务付款凭证，得出本项目资金支出符合国家财经法规、《政府会计制度》以及《呼图壁县乡村振兴综合保障中心内部控制规范》《呼图壁县乡村振兴综合保障中心项目管理规范》，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乡村振兴综合保障中心内部控制规范》《呼图壁县乡村振兴综合保障中心项目管理规范》，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实施方案、验收表等资料齐全并及时进行了归档。项目资金支出严格按照自治区、地区、市以及本单位资金管理办法执行，项目启动实施后，为了加快本项目的实施，成立了2024年中央财政衔接推进乡村振兴补助项目-产业到户补助资金项目工作领导小组，由党组书记杨欲峰任组长，负责项目的组织工作；李亚婷任副组长，负责项目的实施工作；组员包括：邵艳梅、古丽森、陈丽，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394ED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B6AD2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项目产出类指标由3个二级指标和4个三级指标构成，权重分20.00分，实际得分20.00分。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“补贴监测对象户数”指标：预期指标值为“=62户”，实际完成指标值为“=62户”，指标完成率为100.0%。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“补贴发放准确率”指标：预期指标值为“=100.0%”，实际完成指标值为“=100.0%”，指标完成率为100%。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“项目验收合格率”指标：预期指标值为“=100.0%”，实际完成指标值为“=100.0%”，指标完成率为100%。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“补贴发放完成时间”指标：预期指标值为“2024年11月30日前”，实际完成指标值为“达到预期指标”，指标完成率为100%。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项目成本情况指标由1个二级指标和2个三级指标构成，权重分10.00分，实际得分10.00分。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“母牛补助资金”指标：预期指标值为“&lt;=3000元/头”，实际完成指标值为“=3000元/头”，指标完成率为100%。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“母羊补助资金”指标：预期指标值为“&lt;=300元/头”，实际完成指标值为“=300元/头”，指标完成率为100%。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587ED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A67006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“拓宽监测对象的增收渠道，促进稳定增收致富”指标：预期指标值为“明显拓宽”，实际完成指标值为“达到预期指标”，指标完成率为100.0%。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C5B73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“监测对象满意度”指标：预期指标值为“大于等于95%”，实际完成指标值为“97.14%”，指标完成率为100%。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p>
    <w:p w14:paraId="57279433">
      <w:pPr>
        <w:spacing w:line="540" w:lineRule="exact"/>
        <w:ind w:firstLine="567"/>
        <w:rPr>
          <w:rStyle w:val="18"/>
          <w:rFonts w:hint="eastAsia" w:ascii="楷体" w:hAnsi="楷体" w:eastAsia="楷体"/>
          <w:b w:val="0"/>
          <w:bCs w:val="0"/>
          <w:spacing w:val="-4"/>
          <w:sz w:val="32"/>
          <w:szCs w:val="32"/>
        </w:rPr>
      </w:pPr>
    </w:p>
    <w:p w14:paraId="11F597BA">
      <w:pPr>
        <w:spacing w:line="540" w:lineRule="exact"/>
        <w:ind w:firstLine="567"/>
        <w:rPr>
          <w:rStyle w:val="18"/>
          <w:rFonts w:ascii="楷体" w:hAnsi="楷体" w:eastAsia="楷体"/>
          <w:spacing w:val="-4"/>
          <w:sz w:val="32"/>
          <w:szCs w:val="32"/>
        </w:rPr>
      </w:pPr>
    </w:p>
    <w:p w14:paraId="6DE0011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4BA341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乡村振兴综合保障中心在实施2024年产业到户补助资金项目中，形成了一套可推广的实践经验。在项目组织方面，建立“党建引领+部门协同+群众参与”的多级联动机制，通过成立专项工作领导小组，统筹农业农村、财政、乡镇等部门职责分工，压实主体责任；同步强化政策宣传动员，依托网格化服务体系精准摸排需求，确保项目规划与农户发展意愿深度衔接。在项目管理上，构建“全周期动态监测+分类技术指导”的闭环管理模式，严格遵循“四议两公开”程序规范实施流程，通过定期入户核查产业进度、开展技能培训服务，动态解决农户生产难题；同时建立风险预警机制，针对自然灾害、市场波动等潜在风险制定应急预案，保障项目可持续运行。在资金管理方面，创新“专户监管+阳光公示+绩效追踪”的规范化机制，实行资金专账核算、封闭运行，通过“一卡通”直达农户账户，确保资金精准安全拨付；同步强化资金使用效益评估，将绩效目标贯穿于项目申报、实施、验收各环节，结合第三方审计与群众监督，有效防范资金挪用或低效使用问题。这些经验为乡村振兴资金项目的规范化、高效化实施提供了系统性参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一是部分农户产业发展后劲不足。农户在初期获得资金支持后，因缺乏持续技术指导和市场对接能力，导致产业规模扩张受限，抗风险能力较弱。同时，部分产业项目未充分考虑资源承载力和市场需求变化，存在同质化倾向。二是偏远地区产业配套支撑薄弱。偏远村社因基础设施不完善、物流成本高、信息闭塞等问题，导致农产品流通效率低，产业链延伸难度大，制约产业规模化发展。三是技术培训与农户实际需求存在偏差。培训内容设计未充分结合农户文化水平、生产习惯及产业特点，部分课程理论性强、实操性弱，导致培训效果未能有效转化为生产力。四是资金使用效益监测机制需完善。项目资金拨付后，对资金实际使用方向、产业效益转化的跟踪评估不足，部分农户可能将资金用于非生产性支出，影响政策目标达成。 </w:t>
      </w:r>
    </w:p>
    <w:p w14:paraId="63B7EA4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845C89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建立“技术帮扶+市场引导”的长效机制，定期组织专家团队开展针对性技术指导，引入电商平台或龙头企业建立稳定销售渠道；完善产业规划动态调整机制，结合区域资源禀赋和市场需求优化产业布局，鼓励差异化发展。二是整合涉农资金优先改善偏远地区冷链物流、仓储等基础设施；推动“县域集散中心+村级服务点”的物流网络建设，降低流通成本；加强与县域电商平台合作，利用数字化手段拓宽销售半径。三是推行“需求调研+定制化培训”模式，通过入户访谈、问卷等形式精准识别农户技能短板；采用“田间课堂”“手把手教学”等实践导向的培训方式，强化培训内容与产业项目的直接关联性。四是建立“资金使用台账+动态绩效评估”体系，通过定期回访核查资金实际用途；引入第三方机构对产业效益开展中期评估，并将评估结果与后续政策支持挂钩，形成激励约束机制。</w:t>
      </w:r>
    </w:p>
    <w:p w14:paraId="7DDE511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F66F73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3034203">
      <w:pPr>
        <w:spacing w:line="540" w:lineRule="exact"/>
        <w:ind w:firstLine="567"/>
        <w:rPr>
          <w:rStyle w:val="18"/>
          <w:rFonts w:ascii="仿宋" w:hAnsi="仿宋" w:eastAsia="仿宋"/>
          <w:b w:val="0"/>
          <w:spacing w:val="-4"/>
          <w:sz w:val="32"/>
          <w:szCs w:val="32"/>
        </w:rPr>
      </w:pPr>
    </w:p>
    <w:p w14:paraId="4EB87E92">
      <w:pPr>
        <w:spacing w:line="540" w:lineRule="exact"/>
        <w:ind w:firstLine="567"/>
        <w:rPr>
          <w:rStyle w:val="18"/>
          <w:rFonts w:ascii="仿宋" w:hAnsi="仿宋" w:eastAsia="仿宋"/>
          <w:b w:val="0"/>
          <w:spacing w:val="-4"/>
          <w:sz w:val="32"/>
          <w:szCs w:val="32"/>
        </w:rPr>
      </w:pPr>
    </w:p>
    <w:p w14:paraId="0161B606">
      <w:pPr>
        <w:spacing w:line="540" w:lineRule="exact"/>
        <w:ind w:firstLine="567"/>
        <w:rPr>
          <w:rStyle w:val="18"/>
          <w:rFonts w:ascii="仿宋" w:hAnsi="仿宋" w:eastAsia="仿宋"/>
          <w:b w:val="0"/>
          <w:spacing w:val="-4"/>
          <w:sz w:val="32"/>
          <w:szCs w:val="32"/>
        </w:rPr>
      </w:pPr>
    </w:p>
    <w:p w14:paraId="7020931E">
      <w:pPr>
        <w:spacing w:line="540" w:lineRule="exact"/>
        <w:ind w:firstLine="567"/>
        <w:rPr>
          <w:rStyle w:val="18"/>
          <w:rFonts w:ascii="仿宋" w:hAnsi="仿宋" w:eastAsia="仿宋"/>
          <w:b w:val="0"/>
          <w:spacing w:val="-4"/>
          <w:sz w:val="32"/>
          <w:szCs w:val="32"/>
        </w:rPr>
      </w:pPr>
    </w:p>
    <w:p w14:paraId="40B3064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0A80FE5">
        <w:pPr>
          <w:pStyle w:val="12"/>
          <w:jc w:val="center"/>
        </w:pPr>
        <w:r>
          <w:fldChar w:fldCharType="begin"/>
        </w:r>
        <w:r>
          <w:instrText xml:space="preserve">PAGE   \* MERGEFORMAT</w:instrText>
        </w:r>
        <w:r>
          <w:fldChar w:fldCharType="separate"/>
        </w:r>
        <w:r>
          <w:rPr>
            <w:lang w:val="zh-CN"/>
          </w:rPr>
          <w:t>2</w:t>
        </w:r>
        <w:r>
          <w:fldChar w:fldCharType="end"/>
        </w:r>
      </w:p>
    </w:sdtContent>
  </w:sdt>
  <w:p w14:paraId="0FA8C03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75E2C30"/>
    <w:rsid w:val="3029612C"/>
    <w:rsid w:val="32A221C5"/>
    <w:rsid w:val="33F20F2A"/>
    <w:rsid w:val="34C44675"/>
    <w:rsid w:val="3B5B5607"/>
    <w:rsid w:val="3CE21B3C"/>
    <w:rsid w:val="46952767"/>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12928</Words>
  <Characters>13866</Characters>
  <Lines>4</Lines>
  <Paragraphs>1</Paragraphs>
  <TotalTime>3</TotalTime>
  <ScaleCrop>false</ScaleCrop>
  <LinksUpToDate>false</LinksUpToDate>
  <CharactersWithSpaces>13915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2025-11-19T09:10:48Z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