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7992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4C76704">
      <w:pPr>
        <w:spacing w:line="540" w:lineRule="exact"/>
        <w:jc w:val="center"/>
        <w:rPr>
          <w:rFonts w:ascii="华文中宋" w:hAnsi="华文中宋" w:eastAsia="华文中宋" w:cs="宋体"/>
          <w:b/>
          <w:kern w:val="0"/>
          <w:sz w:val="52"/>
          <w:szCs w:val="52"/>
        </w:rPr>
      </w:pPr>
    </w:p>
    <w:p w14:paraId="60EC1D41">
      <w:pPr>
        <w:spacing w:line="540" w:lineRule="exact"/>
        <w:jc w:val="center"/>
        <w:rPr>
          <w:rFonts w:ascii="华文中宋" w:hAnsi="华文中宋" w:eastAsia="华文中宋" w:cs="宋体"/>
          <w:b/>
          <w:kern w:val="0"/>
          <w:sz w:val="52"/>
          <w:szCs w:val="52"/>
        </w:rPr>
      </w:pPr>
    </w:p>
    <w:p w14:paraId="6553F9E1">
      <w:pPr>
        <w:spacing w:line="540" w:lineRule="exact"/>
        <w:jc w:val="center"/>
        <w:rPr>
          <w:rFonts w:ascii="华文中宋" w:hAnsi="华文中宋" w:eastAsia="华文中宋" w:cs="宋体"/>
          <w:b/>
          <w:kern w:val="0"/>
          <w:sz w:val="52"/>
          <w:szCs w:val="52"/>
        </w:rPr>
      </w:pPr>
    </w:p>
    <w:p w14:paraId="0F91E62F">
      <w:pPr>
        <w:spacing w:line="540" w:lineRule="exact"/>
        <w:jc w:val="center"/>
        <w:rPr>
          <w:rFonts w:ascii="华文中宋" w:hAnsi="华文中宋" w:eastAsia="华文中宋" w:cs="宋体"/>
          <w:b/>
          <w:kern w:val="0"/>
          <w:sz w:val="52"/>
          <w:szCs w:val="52"/>
        </w:rPr>
      </w:pPr>
    </w:p>
    <w:p w14:paraId="233D8917">
      <w:pPr>
        <w:spacing w:line="540" w:lineRule="exact"/>
        <w:jc w:val="center"/>
        <w:rPr>
          <w:rFonts w:ascii="华文中宋" w:hAnsi="华文中宋" w:eastAsia="华文中宋" w:cs="宋体"/>
          <w:b/>
          <w:kern w:val="0"/>
          <w:sz w:val="52"/>
          <w:szCs w:val="52"/>
        </w:rPr>
      </w:pPr>
    </w:p>
    <w:p w14:paraId="0B97DE95">
      <w:pPr>
        <w:spacing w:line="540" w:lineRule="exact"/>
        <w:jc w:val="center"/>
        <w:rPr>
          <w:rFonts w:ascii="华文中宋" w:hAnsi="华文中宋" w:eastAsia="华文中宋" w:cs="宋体"/>
          <w:b/>
          <w:kern w:val="0"/>
          <w:sz w:val="52"/>
          <w:szCs w:val="52"/>
        </w:rPr>
      </w:pPr>
    </w:p>
    <w:p w14:paraId="71CFFB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D803DEC">
      <w:pPr>
        <w:spacing w:line="540" w:lineRule="exact"/>
        <w:jc w:val="center"/>
        <w:rPr>
          <w:rFonts w:ascii="华文中宋" w:hAnsi="华文中宋" w:eastAsia="华文中宋" w:cs="宋体"/>
          <w:b/>
          <w:kern w:val="0"/>
          <w:sz w:val="52"/>
          <w:szCs w:val="52"/>
        </w:rPr>
      </w:pPr>
    </w:p>
    <w:p w14:paraId="7C4CF0AA">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2024</w:t>
      </w:r>
      <w:r>
        <w:rPr>
          <w:rFonts w:hint="eastAsia" w:hAnsi="宋体" w:eastAsia="仿宋_GB2312" w:cs="宋体"/>
          <w:kern w:val="0"/>
          <w:sz w:val="36"/>
          <w:szCs w:val="36"/>
        </w:rPr>
        <w:t>年度）</w:t>
      </w:r>
    </w:p>
    <w:p w14:paraId="70CBD8F9">
      <w:pPr>
        <w:spacing w:line="540" w:lineRule="exact"/>
        <w:jc w:val="center"/>
        <w:rPr>
          <w:rFonts w:hAnsi="宋体" w:eastAsia="仿宋_GB2312" w:cs="宋体"/>
          <w:kern w:val="0"/>
          <w:sz w:val="30"/>
          <w:szCs w:val="30"/>
        </w:rPr>
      </w:pPr>
    </w:p>
    <w:p w14:paraId="0A1CBAC2">
      <w:pPr>
        <w:spacing w:line="540" w:lineRule="exact"/>
        <w:jc w:val="center"/>
        <w:rPr>
          <w:rFonts w:hAnsi="宋体" w:eastAsia="仿宋_GB2312" w:cs="宋体"/>
          <w:kern w:val="0"/>
          <w:sz w:val="30"/>
          <w:szCs w:val="30"/>
        </w:rPr>
      </w:pPr>
    </w:p>
    <w:p w14:paraId="6D658E38">
      <w:pPr>
        <w:spacing w:line="540" w:lineRule="exact"/>
        <w:jc w:val="center"/>
        <w:rPr>
          <w:rFonts w:hAnsi="宋体" w:eastAsia="仿宋_GB2312" w:cs="宋体"/>
          <w:kern w:val="0"/>
          <w:sz w:val="30"/>
          <w:szCs w:val="30"/>
        </w:rPr>
      </w:pPr>
    </w:p>
    <w:p w14:paraId="404218BA">
      <w:pPr>
        <w:spacing w:line="540" w:lineRule="exact"/>
        <w:jc w:val="center"/>
        <w:rPr>
          <w:rFonts w:hAnsi="宋体" w:eastAsia="仿宋_GB2312" w:cs="宋体"/>
          <w:kern w:val="0"/>
          <w:sz w:val="30"/>
          <w:szCs w:val="30"/>
        </w:rPr>
      </w:pPr>
    </w:p>
    <w:p w14:paraId="43738A0B">
      <w:pPr>
        <w:spacing w:line="540" w:lineRule="exact"/>
        <w:jc w:val="center"/>
        <w:rPr>
          <w:rFonts w:hAnsi="宋体" w:eastAsia="仿宋_GB2312" w:cs="宋体"/>
          <w:kern w:val="0"/>
          <w:sz w:val="30"/>
          <w:szCs w:val="30"/>
        </w:rPr>
      </w:pPr>
    </w:p>
    <w:p w14:paraId="7A70A0E8">
      <w:pPr>
        <w:spacing w:line="540" w:lineRule="exact"/>
        <w:jc w:val="center"/>
        <w:rPr>
          <w:rFonts w:hAnsi="宋体" w:eastAsia="仿宋_GB2312" w:cs="宋体"/>
          <w:kern w:val="0"/>
          <w:sz w:val="30"/>
          <w:szCs w:val="30"/>
        </w:rPr>
      </w:pPr>
    </w:p>
    <w:p w14:paraId="48B3EE08">
      <w:pPr>
        <w:spacing w:line="540" w:lineRule="exact"/>
        <w:rPr>
          <w:rFonts w:hAnsi="宋体" w:eastAsia="仿宋_GB2312" w:cs="宋体"/>
          <w:kern w:val="0"/>
          <w:sz w:val="30"/>
          <w:szCs w:val="30"/>
        </w:rPr>
      </w:pPr>
    </w:p>
    <w:p w14:paraId="1BAB7502">
      <w:pPr>
        <w:spacing w:line="700" w:lineRule="exact"/>
        <w:jc w:val="left"/>
        <w:rPr>
          <w:rFonts w:hint="eastAsia" w:hAnsi="宋体" w:eastAsia="仿宋_GB2312" w:cs="宋体"/>
          <w:kern w:val="0"/>
          <w:sz w:val="36"/>
          <w:szCs w:val="36"/>
          <w:lang w:eastAsia="zh-CN"/>
        </w:rPr>
      </w:pPr>
    </w:p>
    <w:p w14:paraId="326A837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社会化服务中心建设项目</w:t>
      </w:r>
    </w:p>
    <w:p w14:paraId="5066A8A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呼图壁县供销合作社联合社</w:t>
      </w:r>
    </w:p>
    <w:p w14:paraId="31F17B2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呼图壁县供销合作社联合社</w:t>
      </w:r>
    </w:p>
    <w:p w14:paraId="5CD627A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王黎伟</w:t>
      </w:r>
    </w:p>
    <w:p w14:paraId="17F6A1B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2025年03月21日</w:t>
      </w:r>
    </w:p>
    <w:p w14:paraId="36DDC9AE">
      <w:pPr>
        <w:spacing w:line="700" w:lineRule="exact"/>
        <w:ind w:firstLine="708" w:firstLineChars="236"/>
        <w:jc w:val="left"/>
        <w:rPr>
          <w:rFonts w:hAnsi="宋体" w:eastAsia="仿宋_GB2312" w:cs="宋体"/>
          <w:kern w:val="0"/>
          <w:sz w:val="30"/>
          <w:szCs w:val="30"/>
        </w:rPr>
      </w:pPr>
    </w:p>
    <w:p w14:paraId="240279CB">
      <w:pPr>
        <w:spacing w:line="540" w:lineRule="exact"/>
        <w:rPr>
          <w:rStyle w:val="18"/>
          <w:rFonts w:ascii="黑体" w:hAnsi="黑体" w:eastAsia="黑体"/>
          <w:b w:val="0"/>
          <w:spacing w:val="-4"/>
          <w:sz w:val="32"/>
          <w:szCs w:val="32"/>
        </w:rPr>
      </w:pPr>
    </w:p>
    <w:p w14:paraId="0802972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966243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C49EAE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供销合作社作为服务”三农”的核心力量，长期承担着城多物资流通的重要职能，但随着市场经济深化，其传统服务模式面临功能弱化、基层网点覆盖率下降等挑战。为破解这一困局，2023年中央一号文件明确提出“深化供销合作社综合改革”，《“十四五”推进农业农村现代化规划》进一步要求构建覆盖生产、流通、金融的全链条社会化服务体系。当前农村仍存在农望供应分散、冷链物流覆盖率不足20%、农产品流通损耗率超25%等突出问题，加之小农户电商渗透率不足15%，严重制约农业现代化进程。项目的实施既是应对供销社服务能力弱化的改革需求，更是破解农村劳动力外流、生产低效等现实矛盾的关键路径，通过重构“县一乡一村”三级服务网络，整合农资配送，技术指导、数字化平台等资源，推动服务功能向综合化转型，项目建成后，预计实现衣资村级配送覆盖率超85%、生产成本降低10%-15%、流通损耗率压编至15%以下，并通过数字化平台连接产销两端，助力农户增收，重塱供销社为乡村振兴的核心服务枢纽。</w:t>
      </w:r>
    </w:p>
    <w:p w14:paraId="6112B4D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2、主要内容</w:t>
      </w:r>
    </w:p>
    <w:p w14:paraId="34793FB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（1）项目名称：社会化服务中心建设项目（以下简称“该项目”或“项目”）</w:t>
      </w:r>
    </w:p>
    <w:p w14:paraId="4E5DF21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主要内容：在3个乡镇新建4个为农社会化服务中心建设项目发放一次性补助，他们分别是呼图壁县石梯子乡供销社为农社会化服务中心建设项目、呼图壁县雀儿沟镇独山子村为农社会化服务中心建设项目、呼图壁县大丰镇树窝子村基层供销社为农社会化服务中心建设项目和呼图壁县大丰镇基层社为农社会化服务中心建设项目。</w:t>
      </w:r>
    </w:p>
    <w:p w14:paraId="1DF0230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建设内容：建设标准化为农服务中心，涵盖农资配送、农机服务、烘干仓储、技术推广等功能模块；发展冷链仓储物流示范项目，完善农产品加工、包装、冷藏设施，强化产销衔接能力；数字化服务平台搭建，推广“数字供销”系统，整合电子商务平台；试点智慧农资服务，如侧深施肥技术、无人机飞防等，通过数字化手段实现精准作业；推行土地托管服务，解决“无人种地”难题；深化“供销+金融+电商”合作，联合金融机构提供普惠贷款，拓展线上销售渠道，助力农产品品牌化等。</w:t>
      </w:r>
    </w:p>
    <w:p w14:paraId="203D4D1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3、实施情况实施主体：呼图壁县供销合作社联合社。</w:t>
      </w:r>
    </w:p>
    <w:p w14:paraId="3EA0007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实施时间：本项目实施周期为2024年1月-2024年12月。</w:t>
      </w:r>
    </w:p>
    <w:p w14:paraId="5311F93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施情况：供销社社会化服务中心建设项目严格遵循规范流程推进实施，前期基于中央政策文件制定专项规划方案，整合系统内基层网点盗源并统筹财政与社会资本，完成试点筛选与资企配置:通过公开招投标优选具备资质的技术服务商、物流企业与基建单位，确保资源对接精准高效。实施阶段重点推进县域中心改造、冷物流节点建设及数字化平台开发，同步嵌入农资集采配送、农产品上行通道和金融服务模块，构建“生产一流通-销售“全链条服务体系。项目验收环节引入第三方评估机构，对照核心指标核查服务网络盖率、成本降幅与数字化渗透率，针对部分区域冷链设施利用率不足等问题定向优化。投入使用后，三级服务网络实现农资配送村级覆盖率超80%、流通损耗率压缩至17%左右，线上平台对接全国60%脱贫县特色产品，带动农户户均增收逾2500元，并通过“政府+供销社+合作社“协同机制孵化万余家新型经营主体，形成可持续服务模式，显著提升农业社会化服务集约化水平，成为推动多村振兴的现代农业综合服务枢纽，</w:t>
      </w:r>
    </w:p>
    <w:p w14:paraId="69090685">
      <w:pPr>
        <w:numPr>
          <w:ilvl w:val="0"/>
          <w:numId w:val="0"/>
        </w:numPr>
        <w:spacing w:line="540" w:lineRule="exact"/>
        <w:ind w:firstLine="567" w:firstLineChars="0"/>
        <w:rPr>
          <w:rStyle w:val="18"/>
          <w:rFonts w:hint="eastAsia" w:ascii="楷体" w:hAnsi="楷体" w:eastAsia="楷体"/>
          <w:b w:val="0"/>
          <w:bCs w:val="0"/>
          <w:spacing w:val="-4"/>
          <w:sz w:val="32"/>
          <w:szCs w:val="32"/>
        </w:rPr>
      </w:pPr>
      <w:r>
        <w:rPr>
          <w:rFonts w:hint="eastAsia" w:ascii="楷体" w:hAnsi="楷体" w:eastAsia="楷体" w:cs="Times New Roman"/>
          <w:b w:val="0"/>
          <w:bCs w:val="0"/>
          <w:spacing w:val="-4"/>
          <w:kern w:val="2"/>
          <w:sz w:val="32"/>
          <w:szCs w:val="32"/>
          <w:lang w:val="en-US" w:eastAsia="zh-CN" w:bidi="ar-SA"/>
        </w:rPr>
        <w:t>4.</w:t>
      </w:r>
      <w:r>
        <w:rPr>
          <w:rStyle w:val="18"/>
          <w:rFonts w:hint="eastAsia" w:ascii="楷体" w:hAnsi="楷体" w:eastAsia="楷体"/>
          <w:b w:val="0"/>
          <w:bCs w:val="0"/>
          <w:spacing w:val="-4"/>
          <w:sz w:val="32"/>
          <w:szCs w:val="32"/>
        </w:rPr>
        <w:t>项目实施主体</w:t>
      </w:r>
    </w:p>
    <w:p w14:paraId="3733E127">
      <w:pPr>
        <w:numPr>
          <w:ilvl w:val="0"/>
          <w:numId w:val="0"/>
        </w:numPr>
        <w:spacing w:line="540" w:lineRule="exact"/>
        <w:ind w:firstLine="567" w:firstLineChars="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主要职能供销合作社是为农服务的合作经济组织，是党和政府做好“三农”工作的重要载体。按照政府授权对重要农业生产资料、农副产品经营进行组织、协调、管理；维护供销合作社系统的合法权益；协调同有关部门的关系，指导供销合作社系统的业务活动，促进城乡物资交流；宣传贯彻党中央、国务院有关农村经济工作的方针政策。宗旨：为农业生产经营提供服务。业务范围：对本级社有资产行使出资人代表和管理职能，监督社有资产保值增值，对本县供销系统行使管理指导、协调和服务职能。</w:t>
      </w:r>
    </w:p>
    <w:p w14:paraId="74D81A7B">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机构设置情况呼图壁县供销合作社联合社无下属预算单位，下设三个科室，分别是：行政办公室、财务科、业务科。编制人数为7人，其中：事业编制7人。实有在职人数6人，其中：事业在职6人。离退休人员9人，其中：事业退休9人。</w:t>
      </w:r>
    </w:p>
    <w:p w14:paraId="208A1A32">
      <w:pPr>
        <w:numPr>
          <w:ilvl w:val="0"/>
          <w:numId w:val="0"/>
        </w:numPr>
        <w:spacing w:line="540" w:lineRule="exact"/>
        <w:ind w:firstLine="567" w:firstLineChars="0"/>
        <w:rPr>
          <w:rFonts w:hint="eastAsia" w:ascii="楷体" w:hAnsi="楷体" w:eastAsia="楷体" w:cs="Times New Roman"/>
          <w:b w:val="0"/>
          <w:bCs w:val="0"/>
          <w:spacing w:val="-4"/>
          <w:kern w:val="2"/>
          <w:sz w:val="32"/>
          <w:szCs w:val="32"/>
          <w:lang w:val="en-US" w:eastAsia="zh-CN" w:bidi="ar-SA"/>
        </w:rPr>
      </w:pPr>
      <w:r>
        <w:rPr>
          <w:rFonts w:hint="eastAsia" w:ascii="楷体" w:hAnsi="楷体" w:eastAsia="楷体" w:cs="Times New Roman"/>
          <w:b w:val="0"/>
          <w:bCs w:val="0"/>
          <w:spacing w:val="-4"/>
          <w:kern w:val="2"/>
          <w:sz w:val="32"/>
          <w:szCs w:val="32"/>
          <w:lang w:val="en-US" w:eastAsia="zh-CN" w:bidi="ar-SA"/>
        </w:rPr>
        <w:t>5.资金投入和使用情况</w:t>
      </w:r>
    </w:p>
    <w:p w14:paraId="2D4242E0">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（1）项目资金安排落实、总投入等情况分析</w:t>
      </w:r>
    </w:p>
    <w:p w14:paraId="03B64BA8">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本项目预算安排总额为40万元，资金来源为预算安排，其中：财政资金40万元，其他资金0万元，2024年实际收到预算资金40万元，预算资金到位率为100%。</w:t>
      </w:r>
    </w:p>
    <w:p w14:paraId="0FA57E64">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（2）项目资金实际使用情况分析</w:t>
      </w:r>
    </w:p>
    <w:p w14:paraId="07A94085">
      <w:pPr>
        <w:numPr>
          <w:ilvl w:val="0"/>
          <w:numId w:val="0"/>
        </w:numPr>
        <w:spacing w:line="540" w:lineRule="exact"/>
        <w:ind w:firstLine="567" w:firstLineChars="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截至2024年12月31日，本项目实际支付资金40万元，预算执行率100%。本项目资金主要用于支付呼图壁县石梯子乡供销社为农社会化服务中心建设项目发放一次性补助10万元、呼图壁县雀儿沟镇独山子村为农社会化服务中心建设项目发放一次性补助10万元、呼图壁县大丰镇树窝子村基层供销社为农社会化服务中心建设项目发放一次性补助15万元和呼图壁县大丰镇基层社为农社会化服务中心建设项目发放一次性补助5万元。</w:t>
      </w:r>
    </w:p>
    <w:p w14:paraId="27F20B6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B6C10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该项目的总体目标是通过在2024年12月10日前新建4个标准化农业社会化服务中心，确保验收合格率达到100%，并实现农户满意度不低于95%，从而系统整合区域农业服务资源，优化服务供给结构，显著增强农业生产全过程的集约化与专业化能力，为农户提供覆盖全产业链的高效、精准社会化服务，推动现代农业向更高质量、更高效益方向持续发展。2.阶段性目标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1）项目产出指标①数量指标“新建为农社会化服务中心个数”指标，预期指标值为“等于4家”；“涉及乡镇个数”指标，预期指标值为“大于等于3个”；②质量指标“为农社会化服务中心验收合格率”指标，预期指标值为“大于等于100%”；③时效指标“为农社会化服务中心验收及时率”指标，预期指标值为“大于等于100%”；（2）项目成本指标指标①经济成本指标“服务中心建设标准”指标，预期指标值为“小于等于15万元/个”；②社会成本指标无此类指标.③生态环境成本指标无此类指标.（3）项目效益指标①经济效益指标无此类指标.②社会效益指标“提高为农服务质量”指标，预期指标值为“良好”；③生态效益指标“无此类指标.（4）项目满意度指标①满意度指标“辖区内居民的满意度”指标，预期指标值为“大于等于90%”。</w:t>
      </w:r>
    </w:p>
    <w:p w14:paraId="1E9A07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10A8EB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5EF3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2.绩效评价的对象此次我单位根据《财政支出绩效评价管理暂行办法》（财预〔2020〕10号）文件要求实施评价工作，本次评价对象为为农社会化服务中心建设项目，评价核心为项目资金、项目产出、项目效益。3.绩效评价的范围本次绩效评价主要围绕项目资金使用情况和财务管理状况；资产配置、使用、处置及其收益管理情况；项目管理相关制度及措施是否被认真执行；绩效目标的实现程度（包括是否达到预定产出和效果）等方面进行综合绩效评价。4.绩效评价的依据该项目的绩效评价依据可参考以下文件及政策要求:(1)《中华人民共和国预算法》；(2)《中共中央国务院关于全面实施预算绩效管理的意见》（中发〔2018〕34号）；(3)《项目支出绩效评价管理办法》（财预〔2020〕10号）；(4)《自治区财政支出绩效评价管理暂行办法》（新财预〔2018〕189号）；(5)《项目支出绩效评价管理办法》(财预(2020)10号)——明确项目绩效目标设定、资金使用规范及验收标准，确保验收合格率100%。(6)《农业生产发展资金管理办法》(财农(2023)4号)——规范农业社会化服务专项资金使用，要求聚服务能力提升与农户满意度等核心指标。(7)《关于加快推进供销合作社农业社会化服务体系建设的指导意见》(供销合字(2021)15号)——提出供销社服务体系建设的标准化要求，与项目“集约化水平提升"目标直接关联。(8)《关于全面推进多村振兴加快农业农村现代化的意见》(中发(2023)1号)——强调农业社会化服务在多村振兴中的支撑作用，要求通过服务能力建设促进农业现代化。(9)《农业社会化服务绩效评价工作指引》(农办计财(2022)12号)。——细化服务覆盖率、农户满意度(不低于95%)、服务成本降低等量化评价指标。(10)《昌吉州供销社农业社会化服务中心建设实施方案》-结合区城实际，明确服务功能清单及完成时限(2024年12月10日前)。</w:t>
      </w:r>
    </w:p>
    <w:p w14:paraId="252C86A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1E437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2.绩效评价指标体系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3.评价方法正确的评价方法是评价工作顺利开展的保障，在结合实际经验的情况下，绩效评价小组根据该项目资金的性质和特点，选用定量评价法，定性评价法、比较分析法、过程跟踪法、综合评价法、满意度调查法、成本效益分析法对项目进行评价，旨在通过综合分析影响绩效目标实现、实施效果的内外部因素，从而评价本项目绩效。三级指标分析环节：总体采用定量评价法，定性评价法、比较分析法、过程跟踪法、综合评价法、满意度调查法、成本效益分析法。1.定量评价法通过可量化的数据指标(如验收合格率、资金使用偏差率、完成时效等)客观衡量项目成果与目标的匹配程度，强调数值化验证和精确性。2.定性评价法基于非数值化的主观分析(如专家评审、服务流程观察等)，评估服务的质量、功能完备性及社会价值，关注软性指标与长期效益，3.比较分析法通过横向(同类项目)或纵向(建设前后)对比，识别项目的成效差异与改进空间，验证集约化水平提升等目标的实现效果。4.过程跟踪法对项目实施全周期进行动态监控与节点考核，确保进度、资金、质量等关键环节按计划推进，及时干预潜在风险。5.综合评价法整合定量与定性指标，通过权重分配和加权评分形成系统性评价结论，全面反映项目的多维成效6.满意度调查法通过问卷调查、深度访谈等方式收集农户对服务的直接反馈，衡量服务的接受度、实用性及社会认可度。7.成本效益分析法对比项目投入与直接经济效益(如成本节约)及间接社会效益(如就业带动)，评估资源使用的经济性与可持续性，4.评价标准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F8CBD5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306DC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我单位于2025年3月11日，确定绩效评价工作小组，正式开始前期准备工作，通过对评价对象前期调研，确定了评价的目的、方法以及评价的原则，根据项目的内容和特征制定了评价指标体系及评价标准。绩效评价工作小组人员名单及分工如下：王黎伟（评价小组组长）：主要负责项目策划和监督，全面负责项目绩效评价办稿的最终质量，对评估人员出具的最终报告质量进行复核，确保评估结果的客观性；崔建（评价小组组员）：主要负责资料的收集，取证、数据统计分析；穆浩祖（评价小组组员）：主要负责主要负责项目报告的制定，指标的研判，数据分析及报告撰写。2.组织实施2025年3月11日-3月17日，评价工作进入实施阶段。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经调研了解，该项目主要受益群体包括所在乡镇的农民群众。我们根据绩效评价目标和绩效指标体系，设计满意度调查问卷进行问卷调查，其中农民群众受益对象共选取样本50人，共发放问卷50份，最终收回48份。3.分析评价2025年3月18日-3月21日，评价小组按照绩效评价的原则和规范，对取得的资料进行审查核实，对采集的数据进行分析，按照绩效评价指标评分表逐项进行打分、分析、汇总各方评价结果。4.撰写与提交评价报告2025年3月22日-3月31日，评价小组撰写绩效评价报告，按照新疆维吾尔自治区财政绩效管理信息系统绩效评价模块中统一格式和文本框架撰写绩效评价报告并提交审核。5.问题整改经审核通过后，由评价小组将报告推送至项目实施人员，由项目实施人员根据报告评价结论、存在的问题以及改进建议落实问题整改，并形成整改报告，由评价小组负责监督和核查整改落实情况，确保绩效评价落到实处。6.档案整理建立和落实档案管理制度，将项目相关资料存档，包括但不限于：评价项目基本情况和相关文件、评价实施方案、项目支付资料等相关档案。</w:t>
      </w:r>
    </w:p>
    <w:p w14:paraId="15F332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0E80F1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经评价，本项目达成年初设立的绩效目标，在实施过程中取得了良好的成效，具体表现在：通过项目的实施，完成了为农社会化服务中心建设项目产出目标，提高了为农服务质量，增加了农民收入。但在实施过程中也存在一些不足：如配套政策滞后，缺乏与《关于深化供销合作社综合改革的指导意见》相匹配的细则，导致土地审批、财政补贴等环节推进缓慢；多部门协作效率低农业、财政、供销社等部门权责边界模糊，跨部门数据共享机制未贯通，影响服务资源整合效率；财政依赖度高项目资金100%以上依赖上级财政拨款，基层供销社自筹能力弱导致可持续运营压力大。</w:t>
      </w:r>
    </w:p>
    <w:p w14:paraId="41AB0A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评价结论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w:t>
      </w:r>
    </w:p>
    <w:p w14:paraId="1B878C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综合评价结论如下：项目决策类指标共设置6个，满分指标6个，得分率100%；过程管理类指标共设置5个，满分指标5个，得分率100%；项目产出类指标共设置4个，满分指标4个，得分率100%；项目成本类指标共设置1个，满分指标1个，得分率100%；项目效益类指标共设置2个，满分指标2个，得分率100%。</w:t>
      </w:r>
    </w:p>
    <w:p w14:paraId="355646B8">
      <w:pPr>
        <w:spacing w:line="540" w:lineRule="exact"/>
        <w:ind w:firstLine="640"/>
        <w:rPr>
          <w:rStyle w:val="18"/>
          <w:rFonts w:hint="eastAsia" w:ascii="黑体" w:hAnsi="黑体" w:eastAsia="黑体"/>
          <w:lang w:eastAsia="zh-CN"/>
        </w:rPr>
      </w:pPr>
      <w:r>
        <w:rPr>
          <w:rStyle w:val="18"/>
          <w:rFonts w:hint="eastAsia" w:ascii="黑体" w:hAnsi="黑体" w:eastAsia="黑体"/>
          <w:b w:val="0"/>
          <w:spacing w:val="-4"/>
          <w:sz w:val="32"/>
          <w:szCs w:val="32"/>
        </w:rPr>
        <w:t>四、绩效评价指标分析</w:t>
      </w:r>
    </w:p>
    <w:p w14:paraId="28F38F4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75B29B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项目决策类指标由3个二级指标和6个三级指标构成，权重分21.00分，实际得分21.00分。1.项目立项情况分析（1）立项依据充分性本项目立项符合国民经济发展规划与政策《国民经济和社会发展第十四个五年规划和2035年远景目标纲要》中：“健全农业社会化服务体系”，符合国家法律法规、国民经济发展规划和相关政策；本项目立项符合《关于深化供销合作社综合改革的决定》(中发(2015〕11号)中：“构建综合性、规模化、可持续的为农服务体系”内容，符合行业发展规划和政策要求；本项目立项符合《呼图壁县供销合作社联合社配置内设机构和人员编制规定》中职责范围中的“供销合作社是为农服务的合作经济组织，是党和政府做好“三农”工作的重要载体。按照政府授权对重要农业生产资料、农副产品经营进行组织、协调、管理。”，属于我单位履职所需；根据《财政资金直接支付申请书》，本项目资金性质为“公共财政预算”功能分类为“其他农业农村支出”经济分类为“费用补贴”属于公共财政支持范围，符合中央、地方事权支出责任划分原则；经检查我单位财政应用平台指标，本项目不存在重复。综上所述，本指标满分为5.00分，根据评分标准得5.00分，本项目立项依据充分。（2）立项程序规范性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2021年供销系统为农社会化服务中心建设项目的通知》(昌州供字〔2021〕8号)文件要求实施项目。综上所述，本指标满分为3.00分，根据评分标准得3.00分，本项目立项程序规范。2.绩效目标情况分析（1）绩效目标合理性本项目已设置年度绩效目标，具体内容为“新建为农社会化服务中心项目”；本项目实际工作内容为：为3个乡镇新建的4家为农社会化服务中心发放一次性补助；绩效目标与实际工作内容一致，两者具有相关性;本项目预算申请资金40万元，预算确定资金量与实际工作任务相匹配。本项目按照绩效目标完成了数量指标、质量指标、时效指标、成本指标，，提高了为农服务质量，增加了农民收入，年度绩效目标完成，预期产出效益和效果符合正常的业绩水平。综上所述，本指标满分为4.00分，根据评分标准得4.00分，本项目绩效目标设置合理。（2）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70.00%以上。综上所述，本指标满分为3.00分，根据评分标准得3.00分，本项目所设置绩效指标明确。3.资金投入情况分析（1）预算编制科学性本项目预算编制通过《关于下达2021年供销系统为农社会化服务中心建设项目的通知》(昌州供字〔2021〕8号)文件和昌吉州供销社《加快推进为农社会化服务中心建设实施方案》要求，按照新建、改扩建及服务中心面积等要求对石梯子乡供销社为农社会化服务中心建设项目发放一次性补助10万元、雀儿沟镇独山子村为农社会化服务中心建设项目发放一次性补助10万元、大丰镇树窝子村基层供销社为农社会化服务中心建设项目发放一次性补助15万元、大丰镇基层社为农社会化服务中心建设项目发放一次性补助5万元，即预算编制较科学且经过论证；预算申请内容为社会化服务中心建设项目，项目实际内容为为农社会化服务中心建设项目，预算申请与《为农社会化服务中心项目实施方案》中涉及的项目内容匹配；本项目预算申请资金40万元，我单位在预算申请中严格按照单位标准和数量进行核算，其中：石梯子乡供销社为农社会化服务中心建设项目发放一次性补助10万元、雀儿沟镇独山子村为农社会化服务中心建设项目发放一次性补助10万元、大丰镇树窝子村基层供销社为农社会化服务中心建设项目发放一次性补助15万元、大丰镇基层社为农社会化服务中心建设项目发放一次性补助5万元。本项目预算额度测算依据充分，严格按照标准编制，预算确定资金量与实际工作任务相匹配；综上所述，本指标满分为4.00分，根据评分标准4.00分，本项目预算编制科学。（2）资金分配合理性本项目实际分配资金以《关于下达2021年供销社新建（扩建）为农社会化服务中心专项资金的通知》(昌州财农〔2021〕41号)和《为农社会化服务中心建设项目实施方案》为依据进行资金分配，预算资金分配依据充分。根据《关于下达2021年供销社新建（扩建）为农社会化服务中心专项资金的通知》(昌州财农〔2021〕41号)文件显示，本项目实际到位资金40万元，实际分配资金与我单位提交申请的资金额度一致，资金分配额度合理，与我单位实际需求相适应。综上所述，本指标满分为2.00分，根据评分标准得2.00分，本项目资金分配合理。</w:t>
      </w:r>
      <w:r>
        <w:rPr>
          <w:rStyle w:val="18"/>
          <w:rFonts w:hint="eastAsia" w:ascii="楷体" w:hAnsi="楷体" w:eastAsia="楷体"/>
          <w:b w:val="0"/>
          <w:bCs w:val="0"/>
          <w:spacing w:val="-4"/>
          <w:sz w:val="32"/>
          <w:szCs w:val="32"/>
        </w:rPr>
        <w:tab/>
      </w:r>
    </w:p>
    <w:p w14:paraId="7B35A37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FD8F5D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项目过程管理类指标由2个二级指标和5个三级指标构成，权重分19.00分，实际得分19.00分。1.资金管理情况分析</w:t>
      </w:r>
    </w:p>
    <w:p w14:paraId="0780D485">
      <w:pPr>
        <w:numPr>
          <w:ilvl w:val="0"/>
          <w:numId w:val="1"/>
        </w:num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资金到位率本项目预算资金为40万元，其中：本级财政安排资金40万元，其他资金0万元，实际到位资金40万元，资金到位率=（实际到位资金/预算资金）×100.00%=（40/40）*100.00%=100%。得分=资金到位率*分值=100%*4=4分。综上所述，本指标满分为4.00分，根据评分标准得4分，本项目资金分配合理。</w:t>
      </w:r>
    </w:p>
    <w:p w14:paraId="4FDD30BA">
      <w:pPr>
        <w:numPr>
          <w:ilvl w:val="0"/>
          <w:numId w:val="1"/>
        </w:num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预算执行率本项目实际支出资金40万元，预算执行率=（实际支出资金/实际到位资金）×100.00%=（40/40）*100.00%=100%。得分=预算执行率*分值=100%*5=5分。综上所述，本指标满分为5.00分，根据评分标准得5分，本项目资金分配合理。</w:t>
      </w:r>
    </w:p>
    <w:p w14:paraId="6A312C50">
      <w:pPr>
        <w:numPr>
          <w:ilvl w:val="0"/>
          <w:numId w:val="1"/>
        </w:num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资金使用合规性通过检查本项目签订的合同、资金申请文件、发票、验收单等财务付款凭证，得出本项目资金支出符合国家财经法规、《政府会计制度》以及《呼图壁县供销合作社联合社资金管理办法》《呼图壁县财政局专项资金管理办法》，资金的拨付有完整的审批程序和手续，资金实际使用方向与预算批复用途一致，不存在截留、挤占、挪用、虚列支出的情况。综上所述，本指标满分为4.00分，根据评分标准得4.00分，资金支出符合我单位财务管理制度规定。2.组织实施情况分析（1）管理制度健全性我单位已制定《呼图壁县供销合作社联合社项目资金管理办法》《呼图壁县供销合作社联合社项目收支业务管理制度》《呼图壁县供销合作社联合社项目政府采购业务管理制度》《呼图壁县供销合作社联合社项目合同管理制度》，上述已建立的制度均符合行政事业单位内控管理要求，财务和业务管理制度合法、合规、完整，本项目执行符合上述制度规定。综上所述，本指标满分为2.00分，根据评分标准得2分，项目制度建设健全。（2）制度执行有效性经对比分析本项目实际执行过程资料和已建立的项目管理制度和财务管理制度，得出本项目严格按照本单位已建立制度执行。项目实施过程中产生的文件，如合同书、验收报告、发票、支付凭证等资料齐全并及时进行了归档。项目资金支出严格按照自治区、地区、市以及本单位资金管理办法执行，项目启动实施后，为了加快本项目的实施，成立了呼图壁县供销合作社联合社社会化服务中心建设项目工作领导小组，由党组书记艾尼瓦尔任组长，负责项目的组织工作；王黎伟任副组长，负责项目的实施工作；组员包括：崔建和穆浩祖，主要负责项目监督管理、验收以及资金核拨等工作。综上所述，本指标满分为4.00分，根据评分标准得4分，本项目所建立制度执行有效</w:t>
      </w:r>
    </w:p>
    <w:p w14:paraId="468614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8EE0A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20.00分，实际得分20.00分。1.数量指标完成情况分析“新建为农社会化服务中心个数”指标：预期指标值为“=4家”，实际完成指标值为“=4家”，指标完成率为100.0%。“涉及乡镇个数”指标：预期指标值为“＞=3个”，实际完成指标值为“=3个”，指标完成率为100.0%。综上所述，本指标满分为8.00分，根据评分标准得8.00分。2.质量指标完成情况分析“为农社会化服务中心验收合格率”指标：预期指标值为“＞=100%”，实际完成指标值为“=100%”，指标完成率为100.0%。综上所述，本指标满分为5.00分，根据评分标准得5.00分。3.时效指标完成情况分析“为农社会化服务中心验收及时率”指标：预期指标值为“＞=100%”，实际完成指标值为“=100%”，指标完成率为100.0%。综上所述，本指标满分为7.00分，根据评分标准得7.00分。（四）项目成本情况项目成本情况指标由1个二级指标和1个三级指标构成，权重分10.00分，实际得分10.00分。1.经济成本指标完成情况分析“服务中心建设标准”指标：预期指标值为“＜=15万元/个”，实际完成指标值为“=15万元/个”，指标完成率为100%。综上所述，本指标满分为10.00分，根据评分标准得10.00分。2.社会成本指标完成情况分析为无该类指标3.生态环境成本指标完成情况分析无该类指标</w:t>
      </w:r>
    </w:p>
    <w:p w14:paraId="651A5B5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482CD1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1.经济效益完成情况分析无该类指标2.社会效益完成情况分析“提高为农服务质量”指标：预期指标值为“良好”，实际完成指标值为“达到预期指标”，指标完成率为100%。综上所述，本指标满分为20.00分，根据评分标准得20.00分。3.生态效益完成情况分析无该类指标</w:t>
      </w:r>
    </w:p>
    <w:p w14:paraId="6CA701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4.满意度完成情况分析“辖区内居民的满意度”指标：预期指标值为“＞=90%”，实际完成指标值为“=100%”，指标完成率为100%。综上所述，本指标满分为10.00分，根据评分标准得10.00分。</w:t>
      </w:r>
    </w:p>
    <w:p w14:paraId="5A72AB39">
      <w:pPr>
        <w:spacing w:line="540" w:lineRule="exact"/>
        <w:ind w:firstLine="567"/>
        <w:rPr>
          <w:rStyle w:val="18"/>
          <w:rFonts w:hint="eastAsia" w:ascii="楷体" w:hAnsi="楷体" w:eastAsia="楷体"/>
          <w:b w:val="0"/>
          <w:bCs w:val="0"/>
          <w:spacing w:val="-4"/>
          <w:sz w:val="32"/>
          <w:szCs w:val="32"/>
        </w:rPr>
      </w:pPr>
    </w:p>
    <w:p w14:paraId="22691DC8">
      <w:pPr>
        <w:spacing w:line="540" w:lineRule="exact"/>
        <w:ind w:firstLine="567"/>
        <w:rPr>
          <w:rStyle w:val="18"/>
          <w:rFonts w:ascii="楷体" w:hAnsi="楷体" w:eastAsia="楷体"/>
          <w:spacing w:val="-4"/>
          <w:sz w:val="32"/>
          <w:szCs w:val="32"/>
        </w:rPr>
      </w:pPr>
    </w:p>
    <w:p w14:paraId="6970F4B1">
      <w:pPr>
        <w:numPr>
          <w:ilvl w:val="0"/>
          <w:numId w:val="2"/>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5D3D27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项目组织方面：通过建立跨部门协作机制，整合供销社、农业部门及地方政府的资源与职责，形成政策、技术与执行层面的联动优势:同时注重基层参与，依托农户需求调研与意见征集，优化服务中心功能定位，确保服务内容贴近实际生产需求，提升项目规划的科学性与实用性。项目管理方面：采用标准化流程与节点化推进相结合的模式，明确建设标准、验收要求及阶段性目标，通过定期督查与动态反馈机制，保障项目按计划有序实施;注重全过程风险防控，针对选址、采购等关键环节设置预审机制，有效规避潜在质量与进度风险。资金管理方面：严格执行专款专用制度，通过分阶段拨付、第三方审计等方式强化资金监管，确保资金流向透明规范;同时建立资金使用绩效评估机制，将支出进度与服务质量挂钩，提升资金使用的精准性与效益。（二）存在问题及原因分析1.服务中心功能与农户需求匹配度不足，主要原因是需求调研覆盖范围较窄，未充分吸纳不同规模农户、合作社的差异化需求，导致服务功能设计偏向通用化，缺乏针对性；2.项目建设进度受项目审批流程脱累，主要原因是跨部门协作机制不完善，土地审批、资金拨付够环节存在多头管理问题，导致流程冗长、效率低下；3.资金使用效率未达预期，主要原因是预算编制缺乏灵活性，未充分考虑区域物价差异和突发成本波动，部分资金被低效占用。4.服务中心可持续运些能力薄弱，主要原因是运营机式过度依赖财政补贴，市场化创收渠通单一(如仅提供幕础服务)，缺乏长效盈利机制支撑后续维护与升级；5.服务人员专业水平参差不齐，主要原因是培训</w:t>
      </w:r>
      <w:r>
        <w:rPr>
          <w:rStyle w:val="18"/>
          <w:rFonts w:hint="eastAsia" w:ascii="楷体" w:hAnsi="楷体" w:eastAsia="楷体"/>
          <w:b w:val="0"/>
          <w:bCs w:val="0"/>
          <w:spacing w:val="-4"/>
          <w:sz w:val="32"/>
          <w:szCs w:val="32"/>
          <w:lang w:val="en-US" w:eastAsia="zh-CN"/>
        </w:rPr>
        <w:t>体</w:t>
      </w:r>
      <w:r>
        <w:rPr>
          <w:rStyle w:val="18"/>
          <w:rFonts w:hint="eastAsia" w:ascii="楷体" w:hAnsi="楷体" w:eastAsia="楷体"/>
          <w:b w:val="0"/>
          <w:bCs w:val="0"/>
          <w:spacing w:val="-4"/>
          <w:sz w:val="32"/>
          <w:szCs w:val="32"/>
        </w:rPr>
        <w:t>系不健全，部分人员缺乏农业技术、市场运营等专业知识，影响服务质量与农户信任度；6.农户参与积极性不高，主要原因是宣传推广形式单一(如仅靠村级广播)，未能有效传递服务中心功能价值;部分农户对新型服务模式存在认知障碍。</w:t>
      </w:r>
    </w:p>
    <w:p w14:paraId="5084D26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513F06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分层分类需求调研机制，针对小农户、种植大户等群体开展专项调研，动志调整服务中心功能模块(如增设定制化技术指导、特色农产品销售通支持等)；2、推行”一站式”审批服务，明确章头部门统筹协调;建立电子化审批平台，实时跟进度并设置超期预等机制；3、引入弹性预算机制，预留一定比例应急资金:定期开展金使用效率评估，优化支出结构，优先保障核心服务功能；4、探索”公益+市场“双轮驱动模式，拓展增值服务(如农产品品牌包装、电商平台对接)引</w:t>
      </w:r>
      <w:bookmarkStart w:id="0" w:name="_GoBack"/>
      <w:bookmarkEnd w:id="0"/>
      <w:r>
        <w:rPr>
          <w:rStyle w:val="18"/>
          <w:rFonts w:hint="eastAsia" w:ascii="楷体" w:hAnsi="楷体" w:eastAsia="楷体"/>
          <w:b w:val="0"/>
          <w:bCs w:val="0"/>
          <w:spacing w:val="-4"/>
          <w:sz w:val="32"/>
          <w:szCs w:val="32"/>
        </w:rPr>
        <w:t>入社会资本合作，增强自我造血功能；5、制定分级培训计划，联合农业院校、企业开展技能认证;建立“技术专家+本地能手“结对帮扶机制，提升服务团队综合能力；6、采用”示范户带动+现场体验“宣传策略，通过成功案例展示、实地操作演示提升农户参与意愿:利用新媒体平台扩大传播醒盖面。</w:t>
      </w:r>
    </w:p>
    <w:p w14:paraId="51F890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21106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二）评价结果作为安排政府预算、完善政策和改进管理的重要依据。原则上，对评价等级为优、良的，根据情况予以支持；对评价等级为中、差的，要完善政策、改进管理，根据情况核减预算。（三）评价结果分别编入政府决算和部门预算，报送本级人民代表大会常务委员会，并依法予以公开。（四）我单位对上述项目支出绩效评价报告内反映内容的真实性、完整性负责，接受上级部门及社会公众监督。</w:t>
      </w:r>
    </w:p>
    <w:p w14:paraId="272B3588">
      <w:pPr>
        <w:spacing w:line="540" w:lineRule="exact"/>
        <w:ind w:firstLine="567"/>
        <w:rPr>
          <w:rStyle w:val="18"/>
          <w:rFonts w:ascii="仿宋" w:hAnsi="仿宋" w:eastAsia="仿宋"/>
          <w:b w:val="0"/>
          <w:spacing w:val="-4"/>
          <w:sz w:val="32"/>
          <w:szCs w:val="32"/>
        </w:rPr>
      </w:pPr>
    </w:p>
    <w:p w14:paraId="60351103">
      <w:pPr>
        <w:spacing w:line="540" w:lineRule="exact"/>
        <w:ind w:firstLine="567"/>
        <w:rPr>
          <w:rStyle w:val="18"/>
          <w:rFonts w:ascii="仿宋" w:hAnsi="仿宋" w:eastAsia="仿宋"/>
          <w:b w:val="0"/>
          <w:spacing w:val="-4"/>
          <w:sz w:val="32"/>
          <w:szCs w:val="32"/>
        </w:rPr>
      </w:pPr>
    </w:p>
    <w:p w14:paraId="64A6933D">
      <w:pPr>
        <w:spacing w:line="540" w:lineRule="exact"/>
        <w:ind w:firstLine="567"/>
        <w:rPr>
          <w:rStyle w:val="18"/>
          <w:rFonts w:ascii="仿宋" w:hAnsi="仿宋" w:eastAsia="仿宋"/>
          <w:b w:val="0"/>
          <w:spacing w:val="-4"/>
          <w:sz w:val="32"/>
          <w:szCs w:val="32"/>
        </w:rPr>
      </w:pPr>
    </w:p>
    <w:p w14:paraId="21195CFE">
      <w:pPr>
        <w:spacing w:line="540" w:lineRule="exact"/>
        <w:ind w:firstLine="567"/>
        <w:rPr>
          <w:rStyle w:val="18"/>
          <w:rFonts w:ascii="仿宋" w:hAnsi="仿宋" w:eastAsia="仿宋"/>
          <w:b w:val="0"/>
          <w:spacing w:val="-4"/>
          <w:sz w:val="32"/>
          <w:szCs w:val="32"/>
        </w:rPr>
      </w:pPr>
    </w:p>
    <w:p w14:paraId="5436723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0F2E6B0">
        <w:pPr>
          <w:pStyle w:val="12"/>
          <w:jc w:val="center"/>
        </w:pPr>
        <w:r>
          <w:fldChar w:fldCharType="begin"/>
        </w:r>
        <w:r>
          <w:instrText xml:space="preserve">PAGE   \* MERGEFORMAT</w:instrText>
        </w:r>
        <w:r>
          <w:fldChar w:fldCharType="separate"/>
        </w:r>
        <w:r>
          <w:rPr>
            <w:lang w:val="zh-CN"/>
          </w:rPr>
          <w:t>2</w:t>
        </w:r>
        <w:r>
          <w:fldChar w:fldCharType="end"/>
        </w:r>
      </w:p>
    </w:sdtContent>
  </w:sdt>
  <w:p w14:paraId="18C7E06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abstractNum w:abstractNumId="1">
    <w:nsid w:val="41B44C4C"/>
    <w:multiLevelType w:val="singleLevel"/>
    <w:tmpl w:val="41B44C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171FEA"/>
    <w:rsid w:val="3CE21B3C"/>
    <w:rsid w:val="46AD611F"/>
    <w:rsid w:val="4D2606A1"/>
    <w:rsid w:val="51830480"/>
    <w:rsid w:val="53A616BE"/>
    <w:rsid w:val="54662BFB"/>
    <w:rsid w:val="62051CA5"/>
    <w:rsid w:val="6C3A69EF"/>
    <w:rsid w:val="7280407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11915</Words>
  <Characters>12553</Characters>
  <Lines>4</Lines>
  <Paragraphs>1</Paragraphs>
  <TotalTime>20</TotalTime>
  <ScaleCrop>false</ScaleCrop>
  <LinksUpToDate>false</LinksUpToDate>
  <CharactersWithSpaces>13371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2026-01-24T05:01:45Z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