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1"/>
        <w:rPr>
          <w:rFonts w:hint="eastAsia" w:ascii="方正小标宋_GBK" w:hAnsi="宋体" w:eastAsia="方正小标宋_GBK"/>
          <w:b w:val="0"/>
          <w:bCs w:val="0"/>
          <w:kern w:val="0"/>
          <w:sz w:val="44"/>
          <w:szCs w:val="44"/>
          <w:highlight w:val="none"/>
        </w:rPr>
      </w:pPr>
      <w:r>
        <w:rPr>
          <w:rFonts w:hint="eastAsia" w:ascii="方正小标宋_GBK" w:hAnsi="宋体" w:eastAsia="方正小标宋_GBK"/>
          <w:b w:val="0"/>
          <w:bCs w:val="0"/>
          <w:kern w:val="0"/>
          <w:sz w:val="44"/>
          <w:szCs w:val="44"/>
          <w:highlight w:val="none"/>
          <w:lang w:eastAsia="zh-CN"/>
        </w:rPr>
        <w:t>呼图壁县供销合作社联合社</w:t>
      </w:r>
      <w:r>
        <w:rPr>
          <w:rFonts w:hint="eastAsia" w:ascii="方正小标宋_GBK" w:hAnsi="宋体" w:eastAsia="方正小标宋_GBK"/>
          <w:b w:val="0"/>
          <w:bCs w:val="0"/>
          <w:kern w:val="0"/>
          <w:sz w:val="44"/>
          <w:szCs w:val="44"/>
          <w:highlight w:val="none"/>
          <w:lang w:val="en-US" w:eastAsia="zh-CN"/>
        </w:rPr>
        <w:t>2024年</w:t>
      </w:r>
      <w:r>
        <w:rPr>
          <w:rFonts w:hint="eastAsia" w:ascii="方正小标宋_GBK" w:hAnsi="宋体" w:eastAsia="方正小标宋_GBK"/>
          <w:b w:val="0"/>
          <w:bCs w:val="0"/>
          <w:kern w:val="0"/>
          <w:sz w:val="44"/>
          <w:szCs w:val="44"/>
          <w:highlight w:val="none"/>
        </w:rPr>
        <w:t>预算</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1"/>
        <w:rPr>
          <w:rFonts w:hint="eastAsia" w:ascii="方正小标宋_GBK" w:hAnsi="宋体" w:eastAsia="方正小标宋_GBK"/>
          <w:b w:val="0"/>
          <w:bCs w:val="0"/>
          <w:kern w:val="0"/>
          <w:sz w:val="44"/>
          <w:szCs w:val="44"/>
          <w:highlight w:val="none"/>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1"/>
        <w:rPr>
          <w:rFonts w:hint="eastAsia" w:ascii="黑体" w:hAnsi="黑体" w:eastAsia="黑体"/>
          <w:b w:val="0"/>
          <w:bCs w:val="0"/>
          <w:kern w:val="0"/>
          <w:sz w:val="36"/>
          <w:szCs w:val="32"/>
          <w:highlight w:val="none"/>
        </w:rPr>
      </w:pPr>
      <w:r>
        <w:rPr>
          <w:rFonts w:hint="eastAsia" w:ascii="方正小标宋_GBK" w:hAnsi="宋体" w:eastAsia="方正小标宋_GBK"/>
          <w:b w:val="0"/>
          <w:bCs w:val="0"/>
          <w:kern w:val="0"/>
          <w:sz w:val="44"/>
          <w:szCs w:val="44"/>
          <w:highlight w:val="none"/>
        </w:rPr>
        <w:t>公开</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1"/>
        <w:rPr>
          <w:rFonts w:hint="eastAsia" w:ascii="黑体" w:hAnsi="黑体" w:eastAsia="黑体"/>
          <w:b/>
          <w:bCs/>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bCs/>
          <w:sz w:val="32"/>
          <w:szCs w:val="32"/>
          <w:highlight w:val="none"/>
          <w:lang w:val="en-US" w:eastAsia="zh-CN"/>
        </w:rPr>
        <w:t>呼图壁县供销合作社联合社</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bCs/>
          <w:sz w:val="32"/>
          <w:szCs w:val="32"/>
          <w:highlight w:val="none"/>
          <w:lang w:val="en-US" w:eastAsia="zh-CN"/>
        </w:rPr>
        <w:t>呼图壁县供销合作社联合社</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2024年呼图壁县供销合作社联合社</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kern w:val="0"/>
          <w:sz w:val="32"/>
          <w:szCs w:val="32"/>
          <w:highlight w:val="none"/>
        </w:rPr>
        <w:t>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2024年呼图壁县供销合作社联合社</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after="0" w:line="560" w:lineRule="exact"/>
        <w:ind w:righ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供销合作社是为农服务的合作经济组织，是党和政府做好“三农”工作的重要载体。按照政府授权对重要农业生产资料、农副产品经营进行组织、协调、管理；维护供销合作社系统的合法权益；协调同有关部门的关系，指导供销合作社系统的业务活动，促进城乡物资交流；宣传贯彻党中央、国务院有关农村经济工作的方针政策。</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宗旨：为农业生产经营提供服务。</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ascii="仿宋_GB2312" w:hAnsi="宋体" w:eastAsia="仿宋_GB2312" w:cs="宋体"/>
          <w:bCs/>
          <w:kern w:val="0"/>
          <w:sz w:val="32"/>
          <w:szCs w:val="32"/>
          <w:highlight w:val="none"/>
        </w:rPr>
      </w:pPr>
      <w:r>
        <w:rPr>
          <w:rFonts w:hint="eastAsia" w:ascii="仿宋_GB2312" w:hAnsi="仿宋_GB2312" w:eastAsia="仿宋_GB2312" w:cs="仿宋_GB2312"/>
          <w:sz w:val="32"/>
          <w:szCs w:val="32"/>
          <w:highlight w:val="none"/>
          <w:lang w:val="en-US" w:eastAsia="zh-CN"/>
        </w:rPr>
        <w:t>业务范围：对本级社有资产行使出资人代表和管理职能，监督社有资产保值增值，对本县供销系统行使管理指导、协调和服务职能。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kern w:val="0"/>
          <w:sz w:val="32"/>
          <w:szCs w:val="32"/>
          <w:highlight w:val="none"/>
        </w:rPr>
      </w:pPr>
      <w:r>
        <w:rPr>
          <w:rFonts w:hint="eastAsia" w:ascii="仿宋_GB2312" w:hAnsi="仿宋_GB2312" w:eastAsia="仿宋_GB2312" w:cs="仿宋_GB2312"/>
          <w:b w:val="0"/>
          <w:bCs w:val="0"/>
          <w:sz w:val="32"/>
          <w:szCs w:val="32"/>
          <w:highlight w:val="none"/>
          <w:lang w:val="en-US" w:eastAsia="zh-CN"/>
        </w:rPr>
        <w:t>呼图壁县供销合作社联合社</w:t>
      </w:r>
      <w:r>
        <w:rPr>
          <w:rFonts w:hint="eastAsia" w:ascii="仿宋_GB2312" w:hAnsi="黑体" w:eastAsia="仿宋_GB2312" w:cs="宋体"/>
          <w:bCs/>
          <w:kern w:val="0"/>
          <w:sz w:val="32"/>
          <w:szCs w:val="32"/>
          <w:highlight w:val="none"/>
        </w:rPr>
        <w:t>无下属预算单位，</w:t>
      </w:r>
      <w:r>
        <w:rPr>
          <w:rFonts w:hint="eastAsia" w:ascii="仿宋_GB2312" w:hAnsi="仿宋_GB2312" w:eastAsia="仿宋_GB2312" w:cs="仿宋_GB2312"/>
          <w:b w:val="0"/>
          <w:bCs w:val="0"/>
          <w:sz w:val="32"/>
          <w:szCs w:val="32"/>
          <w:highlight w:val="none"/>
        </w:rPr>
        <w:t>下设三个科室，分别是：行政办公室、财务科、业务科</w:t>
      </w:r>
      <w:r>
        <w:rPr>
          <w:rFonts w:hint="eastAsia" w:ascii="仿宋_GB2312" w:hAnsi="宋体" w:eastAsia="仿宋_GB2312" w:cs="宋体"/>
          <w:kern w:val="0"/>
          <w:sz w:val="32"/>
          <w:szCs w:val="32"/>
          <w:highlight w:val="none"/>
        </w:rPr>
        <w:t>。</w:t>
      </w:r>
    </w:p>
    <w:p>
      <w:pPr>
        <w:widowControl/>
        <w:spacing w:line="560" w:lineRule="exact"/>
        <w:ind w:firstLine="640"/>
        <w:jc w:val="left"/>
        <w:rPr>
          <w:rFonts w:hint="eastAsia" w:ascii="仿宋_GB2312" w:hAnsi="宋体" w:eastAsia="仿宋_GB2312" w:cs="宋体"/>
          <w:kern w:val="0"/>
          <w:sz w:val="32"/>
          <w:szCs w:val="32"/>
          <w:highlight w:val="none"/>
        </w:rPr>
      </w:pPr>
      <w:r>
        <w:rPr>
          <w:rFonts w:hint="eastAsia" w:ascii="仿宋_GB2312" w:hAnsi="仿宋_GB2312" w:eastAsia="仿宋_GB2312" w:cs="仿宋_GB2312"/>
          <w:b w:val="0"/>
          <w:bCs w:val="0"/>
          <w:sz w:val="32"/>
          <w:szCs w:val="32"/>
          <w:highlight w:val="none"/>
        </w:rPr>
        <w:t>呼图壁县供销合作社联合社</w:t>
      </w:r>
      <w:r>
        <w:rPr>
          <w:rFonts w:hint="eastAsia" w:ascii="仿宋_GB2312" w:hAnsi="宋体" w:eastAsia="仿宋_GB2312" w:cs="宋体"/>
          <w:kern w:val="0"/>
          <w:sz w:val="32"/>
          <w:szCs w:val="32"/>
          <w:highlight w:val="none"/>
        </w:rPr>
        <w:t>编制数</w:t>
      </w: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13</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6</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人；退休</w:t>
      </w: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w:t>
      </w:r>
    </w:p>
    <w:p>
      <w:pPr>
        <w:widowControl/>
        <w:spacing w:before="0" w:beforeLines="0" w:line="360" w:lineRule="exact"/>
        <w:jc w:val="center"/>
        <w:outlineLvl w:val="1"/>
        <w:rPr>
          <w:rFonts w:hint="eastAsia" w:ascii="黑体" w:hAnsi="黑体" w:eastAsia="黑体"/>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呼图壁县供销合作社联合社</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呼图壁县供销合作社联合社</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left="7440" w:hanging="7440" w:hangingChars="31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246.00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90"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58.96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16.83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116.60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55.00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96.32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116.60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18.89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246.00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246.00</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呼图壁县供销合作社联合社</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pPr w:leftFromText="180" w:rightFromText="180" w:vertAnchor="text" w:horzAnchor="page" w:tblpX="475" w:tblpY="377"/>
        <w:tblOverlap w:val="never"/>
        <w:tblW w:w="11265" w:type="dxa"/>
        <w:tblInd w:w="0" w:type="dxa"/>
        <w:tblLayout w:type="fixed"/>
        <w:tblCellMar>
          <w:top w:w="0" w:type="dxa"/>
          <w:left w:w="108" w:type="dxa"/>
          <w:bottom w:w="0" w:type="dxa"/>
          <w:right w:w="108" w:type="dxa"/>
        </w:tblCellMar>
      </w:tblPr>
      <w:tblGrid>
        <w:gridCol w:w="495"/>
        <w:gridCol w:w="420"/>
        <w:gridCol w:w="450"/>
        <w:gridCol w:w="3195"/>
        <w:gridCol w:w="675"/>
        <w:gridCol w:w="705"/>
        <w:gridCol w:w="690"/>
        <w:gridCol w:w="675"/>
        <w:gridCol w:w="390"/>
        <w:gridCol w:w="705"/>
        <w:gridCol w:w="390"/>
        <w:gridCol w:w="750"/>
        <w:gridCol w:w="390"/>
        <w:gridCol w:w="675"/>
        <w:gridCol w:w="300"/>
        <w:gridCol w:w="360"/>
      </w:tblGrid>
      <w:tr>
        <w:tblPrEx>
          <w:tblCellMar>
            <w:top w:w="0" w:type="dxa"/>
            <w:left w:w="108" w:type="dxa"/>
            <w:bottom w:w="0" w:type="dxa"/>
            <w:right w:w="108" w:type="dxa"/>
          </w:tblCellMar>
        </w:tblPrEx>
        <w:trPr>
          <w:trHeight w:val="697" w:hRule="atLeast"/>
        </w:trPr>
        <w:tc>
          <w:tcPr>
            <w:tcW w:w="136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31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0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9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31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339" w:hRule="atLeast"/>
        </w:trPr>
        <w:tc>
          <w:tcPr>
            <w:tcW w:w="49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000000"/>
                <w:sz w:val="18"/>
                <w:szCs w:val="18"/>
                <w:highlight w:val="none"/>
                <w:lang w:eastAsia="zh-CN"/>
              </w:rPr>
              <w:t>社会保障和就业支出</w:t>
            </w:r>
          </w:p>
        </w:tc>
        <w:tc>
          <w:tcPr>
            <w:tcW w:w="67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28.60</w:t>
            </w:r>
          </w:p>
        </w:tc>
        <w:tc>
          <w:tcPr>
            <w:tcW w:w="30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6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行政事业单位养老支出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28.60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1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tabs>
                <w:tab w:val="left" w:pos="342"/>
              </w:tabs>
              <w:kinsoku/>
              <w:wordWrap/>
              <w:overflowPunct/>
              <w:topLinePunct w:val="0"/>
              <w:autoSpaceDE/>
              <w:autoSpaceDN/>
              <w:bidi w:val="0"/>
              <w:adjustRightInd/>
              <w:snapToGrid/>
              <w:spacing w:line="360" w:lineRule="auto"/>
              <w:textAlignment w:val="auto"/>
              <w:rPr>
                <w:rFonts w:hint="eastAsia" w:ascii="仿宋_GB2312" w:hAnsi="宋体" w:eastAsia="仿宋_GB2312" w:cs="宋体"/>
                <w:color w:val="auto"/>
                <w:sz w:val="18"/>
                <w:szCs w:val="18"/>
                <w:highlight w:val="none"/>
                <w:lang w:eastAsia="zh-CN"/>
              </w:rPr>
            </w:pPr>
            <w:r>
              <w:rPr>
                <w:rFonts w:hint="eastAsia" w:ascii="仿宋_GB2312" w:eastAsia="仿宋_GB2312"/>
                <w:color w:val="auto"/>
                <w:sz w:val="18"/>
                <w:szCs w:val="18"/>
                <w:highlight w:val="none"/>
                <w:lang w:eastAsia="zh-CN"/>
              </w:rPr>
              <w:t>事业单位离退休</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29.55</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19.55</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19.55</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4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25.81</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10.81</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10.81</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3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06</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机关事业单位职业年金缴费支出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3.60</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3.60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3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卫生健康支出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6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行政事业单位医疗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3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宋体" w:eastAsia="仿宋_GB2312" w:cs="宋体"/>
                <w:color w:val="auto"/>
                <w:sz w:val="18"/>
                <w:szCs w:val="18"/>
                <w:highlight w:val="none"/>
                <w:lang w:val="en-US" w:eastAsia="zh-CN"/>
              </w:rPr>
            </w:pPr>
            <w:r>
              <w:rPr>
                <w:rFonts w:hint="eastAsia" w:ascii="仿宋_GB2312" w:eastAsia="仿宋_GB2312"/>
                <w:color w:val="auto"/>
                <w:sz w:val="18"/>
                <w:szCs w:val="18"/>
                <w:highlight w:val="none"/>
              </w:rPr>
              <w:t>事业单位医疗</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13.51</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5.41</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5.41</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8.10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9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3.29</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1.49</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1.49</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1.80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0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其他行政事业单位医疗支出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农林水支出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55.00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农业农村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55.00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eastAsia="zh-CN"/>
              </w:rPr>
              <w:t>其他</w:t>
            </w:r>
            <w:r>
              <w:rPr>
                <w:rFonts w:hint="eastAsia" w:ascii="仿宋_GB2312" w:eastAsia="仿宋_GB2312"/>
                <w:color w:val="auto"/>
                <w:sz w:val="18"/>
                <w:szCs w:val="18"/>
                <w:highlight w:val="none"/>
              </w:rPr>
              <w:t>农业农村</w:t>
            </w:r>
            <w:r>
              <w:rPr>
                <w:rFonts w:hint="eastAsia" w:ascii="仿宋_GB2312" w:eastAsia="仿宋_GB2312"/>
                <w:color w:val="auto"/>
                <w:sz w:val="18"/>
                <w:szCs w:val="18"/>
                <w:highlight w:val="none"/>
                <w:lang w:eastAsia="zh-CN"/>
              </w:rPr>
              <w:t>支出</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55.00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7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216</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商业服务业等支出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96.32</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83.22</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83.22</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13.10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4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216</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商业流通事务</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96.32</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83.22</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83.22</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13.10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4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216</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事业运行</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96.32</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83.22</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83.22</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13.10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4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住房保障支出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18.89</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8.89</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8.89</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39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住房改革支出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33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住房公积金</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1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b/>
                <w:bCs/>
                <w:color w:val="auto"/>
                <w:sz w:val="18"/>
                <w:szCs w:val="18"/>
                <w:highlight w:val="none"/>
              </w:rPr>
              <w:t>合  计</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246.00</w:t>
            </w:r>
            <w:r>
              <w:rPr>
                <w:rFonts w:hint="eastAsia" w:ascii="仿宋_GB2312" w:eastAsia="仿宋_GB2312"/>
                <w:color w:val="auto"/>
                <w:sz w:val="15"/>
                <w:szCs w:val="15"/>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129.40</w:t>
            </w:r>
            <w:r>
              <w:rPr>
                <w:rFonts w:hint="eastAsia" w:ascii="仿宋_GB2312" w:eastAsia="仿宋_GB2312"/>
                <w:color w:val="auto"/>
                <w:sz w:val="15"/>
                <w:szCs w:val="15"/>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129.40</w:t>
            </w:r>
            <w:r>
              <w:rPr>
                <w:rFonts w:hint="eastAsia" w:ascii="仿宋_GB2312" w:eastAsia="仿宋_GB2312"/>
                <w:color w:val="auto"/>
                <w:sz w:val="15"/>
                <w:szCs w:val="15"/>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116.6</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呼图壁县供销合作社联合社</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420" w:type="dxa"/>
        <w:tblInd w:w="-240" w:type="dxa"/>
        <w:tblLayout w:type="fixed"/>
        <w:tblCellMar>
          <w:top w:w="0" w:type="dxa"/>
          <w:left w:w="108" w:type="dxa"/>
          <w:bottom w:w="0" w:type="dxa"/>
          <w:right w:w="108" w:type="dxa"/>
        </w:tblCellMar>
      </w:tblPr>
      <w:tblGrid>
        <w:gridCol w:w="486"/>
        <w:gridCol w:w="417"/>
        <w:gridCol w:w="417"/>
        <w:gridCol w:w="2563"/>
        <w:gridCol w:w="1831"/>
        <w:gridCol w:w="1829"/>
        <w:gridCol w:w="1877"/>
      </w:tblGrid>
      <w:tr>
        <w:tblPrEx>
          <w:tblCellMar>
            <w:top w:w="0" w:type="dxa"/>
            <w:left w:w="108" w:type="dxa"/>
            <w:bottom w:w="0" w:type="dxa"/>
            <w:right w:w="108" w:type="dxa"/>
          </w:tblCellMar>
        </w:tblPrEx>
        <w:trPr>
          <w:trHeight w:val="328" w:hRule="atLeast"/>
        </w:trPr>
        <w:tc>
          <w:tcPr>
            <w:tcW w:w="388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000000"/>
                <w:sz w:val="18"/>
                <w:szCs w:val="18"/>
                <w:highlight w:val="none"/>
                <w:lang w:eastAsia="zh-CN"/>
              </w:rPr>
              <w:t>社会保障和就业支出</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eastAsia="仿宋_GB2312"/>
                <w:color w:val="auto"/>
                <w:sz w:val="18"/>
                <w:szCs w:val="18"/>
                <w:highlight w:val="none"/>
              </w:rPr>
              <w:t>行政事业单位养老支出</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eastAsia="仿宋_GB2312"/>
                <w:color w:val="auto"/>
                <w:sz w:val="18"/>
                <w:szCs w:val="18"/>
                <w:highlight w:val="none"/>
                <w:lang w:eastAsia="zh-CN"/>
              </w:rPr>
              <w:t>事业单位离退休</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29.55</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29.55</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eastAsia="仿宋_GB2312"/>
                <w:color w:val="auto"/>
                <w:sz w:val="18"/>
                <w:szCs w:val="18"/>
                <w:highlight w:val="none"/>
              </w:rPr>
              <w:t>机关事业单位基本养老保险缴费支出</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25.81</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25.81</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06</w:t>
            </w:r>
            <w:r>
              <w:rPr>
                <w:rFonts w:hint="eastAsia" w:ascii="宋体" w:hAnsi="宋体" w:cs="宋体"/>
                <w:b w:val="0"/>
                <w:bCs w:val="0"/>
                <w:color w:val="auto"/>
                <w:kern w:val="0"/>
                <w:sz w:val="16"/>
                <w:szCs w:val="16"/>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eastAsia="仿宋_GB2312"/>
                <w:color w:val="auto"/>
                <w:sz w:val="18"/>
                <w:szCs w:val="18"/>
                <w:highlight w:val="none"/>
              </w:rPr>
              <w:t>机关事业单位职业年金缴费支出</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3.60</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3.60</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卫生健康支出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行政事业单位医疗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事业单位医疗</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13.51</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13.51</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公务员医疗补助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3.29</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3.29</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其他行政事业单位医疗支出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农林水支出</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农业农村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eastAsia="zh-CN"/>
              </w:rPr>
              <w:t>其他</w:t>
            </w:r>
            <w:r>
              <w:rPr>
                <w:rFonts w:hint="eastAsia" w:ascii="仿宋_GB2312" w:eastAsia="仿宋_GB2312"/>
                <w:color w:val="auto"/>
                <w:sz w:val="18"/>
                <w:szCs w:val="18"/>
                <w:highlight w:val="none"/>
              </w:rPr>
              <w:t>农业农村</w:t>
            </w:r>
            <w:r>
              <w:rPr>
                <w:rFonts w:hint="eastAsia" w:ascii="仿宋_GB2312" w:eastAsia="仿宋_GB2312"/>
                <w:color w:val="auto"/>
                <w:sz w:val="18"/>
                <w:szCs w:val="18"/>
                <w:highlight w:val="none"/>
                <w:lang w:eastAsia="zh-CN"/>
              </w:rPr>
              <w:t>支出</w:t>
            </w:r>
            <w:r>
              <w:rPr>
                <w:rFonts w:hint="eastAsia" w:ascii="仿宋_GB2312" w:eastAsia="仿宋_GB2312"/>
                <w:color w:val="auto"/>
                <w:sz w:val="18"/>
                <w:szCs w:val="18"/>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商业服务业等支出</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商业流通事务</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50</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事业运行</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住房保障支出</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住房改革支出</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住房公积金</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rPr>
                <w:b w:val="0"/>
                <w:bCs w:val="0"/>
                <w:color w:val="auto"/>
                <w:highlight w:val="none"/>
              </w:rPr>
            </w:pPr>
          </w:p>
        </w:tc>
        <w:tc>
          <w:tcPr>
            <w:tcW w:w="417" w:type="dxa"/>
            <w:tcBorders>
              <w:top w:val="nil"/>
              <w:left w:val="nil"/>
              <w:bottom w:val="single" w:color="auto" w:sz="4" w:space="0"/>
              <w:right w:val="single" w:color="auto" w:sz="4" w:space="0"/>
            </w:tcBorders>
            <w:noWrap w:val="0"/>
            <w:vAlign w:val="center"/>
          </w:tcPr>
          <w:p>
            <w:pPr>
              <w:rPr>
                <w:b w:val="0"/>
                <w:bCs w:val="0"/>
                <w:color w:val="auto"/>
                <w:highlight w:val="none"/>
              </w:rPr>
            </w:pPr>
          </w:p>
        </w:tc>
        <w:tc>
          <w:tcPr>
            <w:tcW w:w="417" w:type="dxa"/>
            <w:tcBorders>
              <w:top w:val="nil"/>
              <w:left w:val="nil"/>
              <w:bottom w:val="single" w:color="auto" w:sz="4" w:space="0"/>
              <w:right w:val="single" w:color="auto" w:sz="4" w:space="0"/>
            </w:tcBorders>
            <w:noWrap w:val="0"/>
            <w:vAlign w:val="center"/>
          </w:tcPr>
          <w:p>
            <w:pPr>
              <w:rPr>
                <w:b w:val="0"/>
                <w:bCs w:val="0"/>
                <w:color w:val="auto"/>
                <w:highlight w:val="none"/>
              </w:rPr>
            </w:pPr>
          </w:p>
        </w:tc>
        <w:tc>
          <w:tcPr>
            <w:tcW w:w="2563" w:type="dxa"/>
            <w:tcBorders>
              <w:top w:val="nil"/>
              <w:left w:val="nil"/>
              <w:bottom w:val="single" w:color="auto" w:sz="4" w:space="0"/>
              <w:right w:val="single" w:color="auto" w:sz="4" w:space="0"/>
            </w:tcBorders>
            <w:noWrap w:val="0"/>
            <w:vAlign w:val="center"/>
          </w:tcPr>
          <w:p>
            <w:pPr>
              <w:jc w:val="left"/>
              <w:rPr>
                <w:color w:val="auto"/>
                <w:highlight w:val="none"/>
              </w:rPr>
            </w:pPr>
          </w:p>
        </w:tc>
        <w:tc>
          <w:tcPr>
            <w:tcW w:w="1831" w:type="dxa"/>
            <w:tcBorders>
              <w:top w:val="nil"/>
              <w:left w:val="nil"/>
              <w:bottom w:val="single" w:color="auto" w:sz="4" w:space="0"/>
              <w:right w:val="single" w:color="auto" w:sz="4" w:space="0"/>
            </w:tcBorders>
            <w:noWrap w:val="0"/>
            <w:vAlign w:val="center"/>
          </w:tcPr>
          <w:p>
            <w:pPr>
              <w:rPr>
                <w:color w:val="auto"/>
                <w:highlight w:val="none"/>
              </w:rPr>
            </w:pPr>
          </w:p>
        </w:tc>
        <w:tc>
          <w:tcPr>
            <w:tcW w:w="1829" w:type="dxa"/>
            <w:tcBorders>
              <w:top w:val="nil"/>
              <w:left w:val="nil"/>
              <w:bottom w:val="single" w:color="auto" w:sz="4" w:space="0"/>
              <w:right w:val="single" w:color="auto" w:sz="4" w:space="0"/>
            </w:tcBorders>
            <w:noWrap w:val="0"/>
            <w:vAlign w:val="center"/>
          </w:tcPr>
          <w:p>
            <w:pPr>
              <w:rPr>
                <w:color w:val="auto"/>
                <w:highlight w:val="none"/>
              </w:rPr>
            </w:pPr>
          </w:p>
        </w:tc>
        <w:tc>
          <w:tcPr>
            <w:tcW w:w="1877"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4"/>
                <w:highlight w:val="none"/>
              </w:rPr>
            </w:pPr>
            <w:r>
              <w:rPr>
                <w:rFonts w:hint="eastAsia" w:ascii="宋体" w:hAnsi="宋体" w:cs="宋体"/>
                <w:b w:val="0"/>
                <w:bCs w:val="0"/>
                <w:color w:val="auto"/>
                <w:kern w:val="0"/>
                <w:sz w:val="24"/>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　</w:t>
            </w:r>
            <w:r>
              <w:rPr>
                <w:rFonts w:hint="eastAsia" w:ascii="宋体" w:hAnsi="宋体" w:cs="宋体"/>
                <w:color w:val="auto"/>
                <w:kern w:val="0"/>
                <w:sz w:val="21"/>
                <w:szCs w:val="21"/>
                <w:highlight w:val="none"/>
                <w:lang w:val="en-US" w:eastAsia="zh-CN"/>
              </w:rPr>
              <w:t>246.00</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　</w:t>
            </w:r>
            <w:r>
              <w:rPr>
                <w:rFonts w:hint="eastAsia" w:ascii="宋体" w:hAnsi="宋体" w:cs="宋体"/>
                <w:color w:val="auto"/>
                <w:kern w:val="0"/>
                <w:sz w:val="21"/>
                <w:szCs w:val="21"/>
                <w:highlight w:val="none"/>
                <w:lang w:val="en-US" w:eastAsia="zh-CN"/>
              </w:rPr>
              <w:t>191.00</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　</w:t>
            </w:r>
            <w:r>
              <w:rPr>
                <w:rFonts w:hint="eastAsia" w:ascii="宋体" w:hAnsi="宋体" w:cs="宋体"/>
                <w:color w:val="auto"/>
                <w:kern w:val="0"/>
                <w:sz w:val="21"/>
                <w:szCs w:val="21"/>
                <w:highlight w:val="none"/>
                <w:lang w:val="en-US" w:eastAsia="zh-CN"/>
              </w:rPr>
              <w:t>55.00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编制单位：呼图壁县供销合作社联合社</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129.40</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129.40</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30.36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30.36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6.93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6.93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83.22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83.22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8.89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8.89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129.40</w:t>
            </w:r>
            <w:r>
              <w:rPr>
                <w:rFonts w:hint="eastAsia" w:ascii="仿宋_GB2312" w:hAnsi="宋体" w:eastAsia="仿宋_GB2312" w:cs="宋体"/>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129.40</w:t>
            </w:r>
            <w:r>
              <w:rPr>
                <w:rFonts w:hint="eastAsia" w:ascii="宋体" w:hAnsi="宋体" w:cs="宋体"/>
                <w:b w:val="0"/>
                <w:bCs w:val="0"/>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129.40</w:t>
            </w:r>
            <w:r>
              <w:rPr>
                <w:rFonts w:hint="eastAsia" w:ascii="宋体" w:hAnsi="宋体" w:cs="宋体"/>
                <w:b w:val="0"/>
                <w:bCs w:val="0"/>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486"/>
        <w:gridCol w:w="499"/>
        <w:gridCol w:w="503"/>
        <w:gridCol w:w="2506"/>
        <w:gridCol w:w="659"/>
        <w:gridCol w:w="1023"/>
        <w:gridCol w:w="216"/>
        <w:gridCol w:w="1623"/>
        <w:gridCol w:w="1699"/>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94"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2"/>
                <w:szCs w:val="22"/>
                <w:highlight w:val="none"/>
                <w:lang w:eastAsia="zh-CN"/>
              </w:rPr>
              <w:t>编制单位：呼图壁县供销合作社联合社</w:t>
            </w:r>
          </w:p>
        </w:tc>
        <w:tc>
          <w:tcPr>
            <w:tcW w:w="65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2"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94"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000000"/>
                <w:sz w:val="18"/>
                <w:szCs w:val="18"/>
                <w:highlight w:val="none"/>
                <w:lang w:eastAsia="zh-CN"/>
              </w:rPr>
              <w:t>社会保障和就业支出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行政事业单位养老支出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tabs>
                <w:tab w:val="left" w:pos="342"/>
              </w:tabs>
              <w:kinsoku/>
              <w:wordWrap/>
              <w:overflowPunct/>
              <w:topLinePunct w:val="0"/>
              <w:autoSpaceDE/>
              <w:autoSpaceDN/>
              <w:bidi w:val="0"/>
              <w:adjustRightInd/>
              <w:snapToGrid/>
              <w:spacing w:line="360" w:lineRule="auto"/>
              <w:textAlignment w:val="auto"/>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eastAsia="zh-CN"/>
              </w:rPr>
              <w:t>事业单位离退休</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19.55</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19.55</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机关事业单位基本养老保险缴费支出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10.81</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10.81</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卫生健康支出　</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行政事业单位医疗　</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事业单位医疗</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5.41</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5.41</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公务员医疗补助　</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1.49</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1.49</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其他行政事业单位医疗支出　</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商业服务业等支出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商业流通事务</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50</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事业运行</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住房保障支出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住房改革支出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住房公积金</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2"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129.40</w:t>
            </w:r>
          </w:p>
        </w:tc>
        <w:tc>
          <w:tcPr>
            <w:tcW w:w="1839"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129.40</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158"/>
        <w:gridCol w:w="728"/>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49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编制单位：呼图壁县供销合作社联合社</w:t>
            </w:r>
          </w:p>
        </w:tc>
        <w:tc>
          <w:tcPr>
            <w:tcW w:w="72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49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3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5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3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5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43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34"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p>
        </w:tc>
        <w:tc>
          <w:tcPr>
            <w:tcW w:w="315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101.39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101.39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87"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15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29.18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29.18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434"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8.03</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20.28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20.28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16.66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10.81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5.41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3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8.89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0.72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04</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手续费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0.46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取暖费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公务接待费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0.50</w:t>
            </w: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5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18.95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18.95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15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15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8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123.50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编制单位：呼图壁县供销合作社联合社</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2024年未安排项目预算支出，此表为空表</w:t>
      </w:r>
      <w:r>
        <w:rPr>
          <w:rFonts w:hint="eastAsia" w:ascii="仿宋_GB2312" w:hAnsi="宋体" w:eastAsia="仿宋_GB2312"/>
          <w:b/>
          <w:color w:val="auto"/>
          <w:kern w:val="0"/>
          <w:sz w:val="28"/>
          <w:szCs w:val="32"/>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备注：本单位2024年未安排政府基金预算支出，此为空表</w:t>
      </w:r>
      <w:r>
        <w:rPr>
          <w:rFonts w:hint="eastAsia" w:ascii="仿宋_GB2312" w:hAnsi="宋体" w:eastAsia="仿宋_GB2312"/>
          <w:b/>
          <w:color w:val="auto"/>
          <w:kern w:val="0"/>
          <w:sz w:val="28"/>
          <w:szCs w:val="32"/>
          <w:highlight w:val="none"/>
        </w:rPr>
        <w:t>。</w:t>
      </w:r>
    </w:p>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2024年未安排国有资本经营预算支出，此表为空表</w:t>
      </w:r>
      <w:r>
        <w:rPr>
          <w:rFonts w:hint="eastAsia" w:ascii="仿宋_GB2312" w:hAnsi="宋体" w:eastAsia="仿宋_GB2312"/>
          <w:b/>
          <w:color w:val="auto"/>
          <w:kern w:val="0"/>
          <w:sz w:val="28"/>
          <w:szCs w:val="32"/>
          <w:highlight w:val="none"/>
        </w:rPr>
        <w:t>。</w:t>
      </w:r>
    </w:p>
    <w:p>
      <w:pPr>
        <w:widowControl/>
        <w:spacing w:line="280" w:lineRule="exac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hint="eastAsia" w:ascii="仿宋_GB2312" w:hAnsi="宋体" w:eastAsia="仿宋_GB2312"/>
          <w:b/>
          <w:color w:val="auto"/>
          <w:kern w:val="0"/>
          <w:sz w:val="32"/>
          <w:szCs w:val="32"/>
          <w:highlight w:val="none"/>
        </w:rPr>
      </w:pP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0.68</w:t>
            </w:r>
          </w:p>
        </w:tc>
        <w:tc>
          <w:tcPr>
            <w:tcW w:w="1314"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0.68</w:t>
            </w: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0.18</w:t>
            </w:r>
          </w:p>
        </w:tc>
        <w:tc>
          <w:tcPr>
            <w:tcW w:w="1314"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0.18</w:t>
            </w: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（小计）</w:t>
            </w:r>
          </w:p>
        </w:tc>
        <w:tc>
          <w:tcPr>
            <w:tcW w:w="1215" w:type="dxa"/>
            <w:noWrap w:val="0"/>
            <w:vAlign w:val="top"/>
          </w:tcPr>
          <w:p>
            <w:pPr>
              <w:widowControl/>
              <w:jc w:val="lef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0.50</w:t>
            </w:r>
          </w:p>
        </w:tc>
        <w:tc>
          <w:tcPr>
            <w:tcW w:w="1314" w:type="dxa"/>
            <w:noWrap w:val="0"/>
            <w:vAlign w:val="top"/>
          </w:tcPr>
          <w:p>
            <w:pPr>
              <w:widowControl/>
              <w:jc w:val="lef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0.50</w:t>
            </w: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val="0"/>
                <w:bCs/>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0.50</w:t>
            </w:r>
          </w:p>
        </w:tc>
        <w:tc>
          <w:tcPr>
            <w:tcW w:w="1314"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0.50</w:t>
            </w: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30" w:firstLineChars="900"/>
        <w:jc w:val="both"/>
        <w:rPr>
          <w:rFonts w:ascii="仿宋" w:hAnsi="仿宋" w:eastAsia="仿宋" w:cs="仿宋_GB2312"/>
          <w:b/>
          <w:bCs w:val="0"/>
          <w:color w:val="auto"/>
          <w:kern w:val="0"/>
          <w:sz w:val="28"/>
          <w:szCs w:val="28"/>
          <w:highlight w:val="none"/>
        </w:rPr>
      </w:pP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w:t>
      </w:r>
      <w:r>
        <w:rPr>
          <w:rFonts w:hint="eastAsia" w:ascii="仿宋" w:hAnsi="仿宋" w:eastAsia="仿宋" w:cs="仿宋_GB2312"/>
          <w:b/>
          <w:bCs w:val="0"/>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bCs w:val="0"/>
          <w:color w:val="auto"/>
          <w:kern w:val="0"/>
          <w:sz w:val="28"/>
          <w:szCs w:val="32"/>
          <w:highlight w:val="none"/>
          <w:lang w:val="en-US" w:eastAsia="zh-CN"/>
        </w:rPr>
        <w:t>2024年没有</w:t>
      </w: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w:t>
      </w:r>
      <w:r>
        <w:rPr>
          <w:rFonts w:hint="eastAsia" w:ascii="仿宋_GB2312" w:hAnsi="宋体" w:eastAsia="仿宋_GB2312"/>
          <w:b/>
          <w:bCs w:val="0"/>
          <w:color w:val="auto"/>
          <w:kern w:val="0"/>
          <w:sz w:val="28"/>
          <w:szCs w:val="32"/>
          <w:highlight w:val="none"/>
          <w:lang w:val="en-US" w:eastAsia="zh-CN"/>
        </w:rPr>
        <w:t>，此表为空表</w:t>
      </w:r>
      <w:r>
        <w:rPr>
          <w:rFonts w:hint="eastAsia" w:ascii="仿宋_GB2312" w:hAnsi="宋体" w:eastAsia="仿宋_GB2312"/>
          <w:b/>
          <w:bCs w:val="0"/>
          <w:color w:val="auto"/>
          <w:kern w:val="0"/>
          <w:sz w:val="28"/>
          <w:szCs w:val="32"/>
          <w:highlight w:val="none"/>
        </w:rPr>
        <w:t>。</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2024年呼图壁县供销合作社联合社</w:t>
      </w:r>
      <w:r>
        <w:rPr>
          <w:rFonts w:hint="eastAsia" w:ascii="黑体" w:hAnsi="黑体" w:eastAsia="黑体"/>
          <w:color w:val="auto"/>
          <w:kern w:val="0"/>
          <w:sz w:val="32"/>
          <w:szCs w:val="32"/>
          <w:highlight w:val="none"/>
        </w:rPr>
        <w:t>预算情况</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呼图壁县供销合作社联合社2024年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呼图壁县供销合作社联合社2024年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129.40万元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116.60万元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58.96万元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16.83万元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55万元</w:t>
      </w:r>
      <w:r>
        <w:rPr>
          <w:rFonts w:hint="eastAsia" w:ascii="仿宋_GB2312" w:hAnsi="宋体" w:eastAsia="仿宋_GB2312" w:cs="宋体"/>
          <w:color w:val="auto"/>
          <w:kern w:val="0"/>
          <w:sz w:val="32"/>
          <w:szCs w:val="32"/>
          <w:highlight w:val="none"/>
        </w:rPr>
        <w:t>、商业服务业等支出</w:t>
      </w:r>
      <w:r>
        <w:rPr>
          <w:rFonts w:hint="eastAsia" w:ascii="仿宋_GB2312" w:hAnsi="宋体" w:eastAsia="仿宋_GB2312" w:cs="宋体"/>
          <w:color w:val="auto"/>
          <w:kern w:val="0"/>
          <w:sz w:val="32"/>
          <w:szCs w:val="32"/>
          <w:highlight w:val="none"/>
          <w:lang w:val="en-US" w:eastAsia="zh-CN"/>
        </w:rPr>
        <w:t>96.32万元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18.89万元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呼图壁县供销合作社联合社</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129.40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52.60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10.94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7.80 %，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1人</w:t>
      </w:r>
      <w:r>
        <w:rPr>
          <w:rFonts w:hint="eastAsia" w:ascii="仿宋_GB2312" w:hAnsi="宋体" w:eastAsia="仿宋_GB2312" w:cs="宋体"/>
          <w:color w:val="auto"/>
          <w:kern w:val="0"/>
          <w:sz w:val="32"/>
          <w:szCs w:val="32"/>
          <w:highlight w:val="none"/>
        </w:rPr>
        <w:t>；</w:t>
      </w:r>
    </w:p>
    <w:p>
      <w:pPr>
        <w:keepNext w:val="0"/>
        <w:keepLines w:val="0"/>
        <w:widowControl/>
        <w:suppressLineNumbers w:val="0"/>
        <w:ind w:firstLine="620" w:firstLineChars="200"/>
        <w:jc w:val="left"/>
        <w:rPr>
          <w:highlight w:val="none"/>
        </w:rPr>
      </w:pPr>
      <w:r>
        <w:rPr>
          <w:rFonts w:ascii="仿宋_GB2312" w:hAnsi="宋体" w:eastAsia="仿宋_GB2312" w:cs="仿宋_GB2312"/>
          <w:color w:val="000000"/>
          <w:kern w:val="0"/>
          <w:sz w:val="31"/>
          <w:szCs w:val="31"/>
          <w:highlight w:val="none"/>
          <w:lang w:val="en-US" w:eastAsia="zh-CN" w:bidi="ar"/>
        </w:rPr>
        <w:t xml:space="preserve">上级一般公共预算安排的转移支付资金未安排。 </w:t>
      </w:r>
    </w:p>
    <w:p>
      <w:pPr>
        <w:keepNext w:val="0"/>
        <w:keepLines w:val="0"/>
        <w:widowControl/>
        <w:suppressLineNumbers w:val="0"/>
        <w:ind w:firstLine="620" w:firstLineChars="200"/>
        <w:jc w:val="left"/>
        <w:rPr>
          <w:highlight w:val="none"/>
        </w:rPr>
      </w:pPr>
      <w:r>
        <w:rPr>
          <w:rFonts w:hint="eastAsia" w:ascii="仿宋_GB2312" w:hAnsi="宋体" w:eastAsia="仿宋_GB2312" w:cs="仿宋_GB2312"/>
          <w:color w:val="000000"/>
          <w:kern w:val="0"/>
          <w:sz w:val="31"/>
          <w:szCs w:val="31"/>
          <w:highlight w:val="none"/>
          <w:lang w:val="en-US" w:eastAsia="zh-CN" w:bidi="ar"/>
        </w:rPr>
        <w:t xml:space="preserve">政府性基金预算未安排。 </w:t>
      </w:r>
    </w:p>
    <w:p>
      <w:pPr>
        <w:keepNext w:val="0"/>
        <w:keepLines w:val="0"/>
        <w:widowControl/>
        <w:suppressLineNumbers w:val="0"/>
        <w:ind w:firstLine="620" w:firstLineChars="200"/>
        <w:jc w:val="left"/>
        <w:rPr>
          <w:highlight w:val="none"/>
        </w:rPr>
      </w:pPr>
      <w:r>
        <w:rPr>
          <w:rFonts w:hint="eastAsia" w:ascii="仿宋_GB2312" w:hAnsi="宋体" w:eastAsia="仿宋_GB2312" w:cs="仿宋_GB2312"/>
          <w:color w:val="000000"/>
          <w:kern w:val="0"/>
          <w:sz w:val="31"/>
          <w:szCs w:val="31"/>
          <w:highlight w:val="none"/>
          <w:lang w:val="en-US" w:eastAsia="zh-CN" w:bidi="ar"/>
        </w:rPr>
        <w:t xml:space="preserve">上级政府性基金安排的转移支付资金未安排。 </w:t>
      </w:r>
    </w:p>
    <w:p>
      <w:pPr>
        <w:keepNext w:val="0"/>
        <w:keepLines w:val="0"/>
        <w:widowControl/>
        <w:suppressLineNumbers w:val="0"/>
        <w:ind w:firstLine="620" w:firstLineChars="200"/>
        <w:jc w:val="left"/>
        <w:rPr>
          <w:highlight w:val="none"/>
        </w:rPr>
      </w:pPr>
      <w:r>
        <w:rPr>
          <w:rFonts w:hint="eastAsia" w:ascii="仿宋_GB2312" w:hAnsi="宋体" w:eastAsia="仿宋_GB2312" w:cs="仿宋_GB2312"/>
          <w:color w:val="000000"/>
          <w:kern w:val="0"/>
          <w:sz w:val="31"/>
          <w:szCs w:val="31"/>
          <w:highlight w:val="none"/>
          <w:lang w:val="en-US" w:eastAsia="zh-CN" w:bidi="ar"/>
        </w:rPr>
        <w:t xml:space="preserve">国有资本经营预算未安排。 </w:t>
      </w:r>
    </w:p>
    <w:p>
      <w:pPr>
        <w:keepNext w:val="0"/>
        <w:keepLines w:val="0"/>
        <w:widowControl/>
        <w:suppressLineNumbers w:val="0"/>
        <w:ind w:firstLine="620" w:firstLineChars="200"/>
        <w:jc w:val="left"/>
        <w:rPr>
          <w:highlight w:val="none"/>
        </w:rPr>
      </w:pPr>
      <w:r>
        <w:rPr>
          <w:rFonts w:hint="eastAsia" w:ascii="仿宋_GB2312" w:hAnsi="宋体" w:eastAsia="仿宋_GB2312" w:cs="仿宋_GB2312"/>
          <w:color w:val="000000"/>
          <w:kern w:val="0"/>
          <w:sz w:val="31"/>
          <w:szCs w:val="31"/>
          <w:highlight w:val="none"/>
          <w:lang w:val="en-US" w:eastAsia="zh-CN" w:bidi="ar"/>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116.60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47.40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56.60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94.33%，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2024年单位资金增加了55万元的</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项目资金预算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呼图壁县供销合作社联合社2024年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191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77.64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9.34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4.66%，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22.36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上年未安排项目预算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129.4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129.4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kern w:val="0"/>
          <w:sz w:val="32"/>
          <w:szCs w:val="32"/>
          <w:highlight w:val="none"/>
          <w:lang w:eastAsia="zh-CN"/>
        </w:rPr>
        <w:t>社会保障和就业支出</w:t>
      </w:r>
      <w:r>
        <w:rPr>
          <w:rFonts w:hint="eastAsia" w:ascii="仿宋_GB2312" w:hAnsi="宋体" w:eastAsia="仿宋_GB2312" w:cs="宋体"/>
          <w:kern w:val="0"/>
          <w:sz w:val="32"/>
          <w:szCs w:val="32"/>
          <w:highlight w:val="none"/>
          <w:lang w:val="en-US" w:eastAsia="zh-CN"/>
        </w:rPr>
        <w:t>30.36万元，主要用于职工的基本养老保险缴费；</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210</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卫生健康支出6.93万元，主要于职工的医疗保险和公务员医疗补助缴费；</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216</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商业服务业等支出83.22万元，主要用于职工工资福利和单位的基本运行费用；</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221</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住房保障支出8.89万元，主要用于职工的住房公积金缴费；</w:t>
      </w:r>
      <w:r>
        <w:rPr>
          <w:rFonts w:hint="eastAsia" w:ascii="仿宋_GB2312" w:hAnsi="宋体" w:eastAsia="仿宋_GB2312" w:cs="宋体"/>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呼图壁县供销合作社联合社2024年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129.4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129.4</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10.94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7.80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本年未安排项目资金预算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kern w:val="0"/>
          <w:sz w:val="32"/>
          <w:szCs w:val="32"/>
          <w:highlight w:val="none"/>
          <w:lang w:eastAsia="zh-CN"/>
        </w:rPr>
        <w:t>社会保障和就业支出</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30.36</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23.46</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宋体" w:eastAsia="仿宋_GB2312" w:cs="宋体"/>
          <w:kern w:val="0"/>
          <w:sz w:val="32"/>
          <w:szCs w:val="32"/>
          <w:highlight w:val="none"/>
          <w:lang w:val="en-US" w:eastAsia="zh-CN"/>
        </w:rPr>
        <w:t>卫生健康支出（210类）6.93万元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5.36%；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宋体" w:eastAsia="仿宋_GB2312" w:cs="宋体"/>
          <w:kern w:val="0"/>
          <w:sz w:val="32"/>
          <w:szCs w:val="32"/>
          <w:highlight w:val="none"/>
          <w:lang w:val="en-US" w:eastAsia="zh-CN"/>
        </w:rPr>
        <w:t>商业服务业等支出（216类）83.22万元，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64.31%；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宋体" w:eastAsia="仿宋_GB2312" w:cs="宋体"/>
          <w:kern w:val="0"/>
          <w:sz w:val="32"/>
          <w:szCs w:val="32"/>
          <w:highlight w:val="none"/>
          <w:lang w:val="en-US" w:eastAsia="zh-CN"/>
        </w:rPr>
        <w:t>住房保障支出（221类）8.89万元，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6.87%；</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highlight w:val="none"/>
          <w:lang w:eastAsia="zh-CN"/>
        </w:rPr>
        <w:t>社会保障和就业支出</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行政事业单位养老支出（</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款）事业单位离退休（</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19.55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19.55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是由于今年预算支出功能分类科目细化的影响。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lang w:eastAsia="zh-CN"/>
        </w:rPr>
        <w:t>社会保障和就业支出</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行政事业单位养老支出（</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eastAsia="zh-CN"/>
        </w:rPr>
        <w:t>机关事业单位基本养老保险缴费支出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10.81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0.73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6.33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人。</w:t>
      </w:r>
      <w:r>
        <w:rPr>
          <w:rFonts w:hint="eastAsia" w:ascii="仿宋_GB2312" w:hAnsi="仿宋_GB2312" w:eastAsia="仿宋_GB2312" w:cs="仿宋_GB2312"/>
          <w:color w:val="auto"/>
          <w:kern w:val="0"/>
          <w:sz w:val="32"/>
          <w:szCs w:val="32"/>
          <w:highlight w:val="none"/>
        </w:rPr>
        <w:t xml:space="preserve">    </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3.卫生</w:t>
      </w:r>
      <w:r>
        <w:rPr>
          <w:rFonts w:hint="eastAsia" w:ascii="仿宋_GB2312" w:eastAsia="仿宋_GB2312"/>
          <w:sz w:val="32"/>
          <w:szCs w:val="32"/>
          <w:highlight w:val="none"/>
          <w:lang w:eastAsia="zh-CN"/>
        </w:rPr>
        <w:t>健康支出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210</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行政事业单位医疗</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11</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行政单位医疗</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02</w:t>
      </w:r>
      <w:r>
        <w:rPr>
          <w:rFonts w:ascii="仿宋_GB2312" w:hAnsi="宋体" w:eastAsia="仿宋_GB2312" w:cs="宋体"/>
          <w:kern w:val="0"/>
          <w:sz w:val="32"/>
          <w:szCs w:val="32"/>
          <w:highlight w:val="none"/>
        </w:rPr>
        <w:t>项）</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5.41</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5.41</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由于今年预算支出功能分类科目细化的影响。</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4.卫生</w:t>
      </w:r>
      <w:r>
        <w:rPr>
          <w:rFonts w:hint="eastAsia" w:ascii="仿宋_GB2312" w:eastAsia="仿宋_GB2312"/>
          <w:sz w:val="32"/>
          <w:szCs w:val="32"/>
          <w:highlight w:val="none"/>
          <w:lang w:eastAsia="zh-CN"/>
        </w:rPr>
        <w:t>健康支出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210</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行政事业单位医疗</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11</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公务员医疗补助</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03</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1.49</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3.18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highlight w:val="none"/>
          <w:lang w:val="en-US" w:eastAsia="zh-CN"/>
        </w:rPr>
        <w:t>68.09</w:t>
      </w:r>
      <w:r>
        <w:rPr>
          <w:rFonts w:hint="eastAsia" w:ascii="仿宋_GB2312" w:hAnsi="宋体" w:eastAsia="仿宋_GB2312" w:cs="宋体"/>
          <w:kern w:val="0"/>
          <w:sz w:val="32"/>
          <w:szCs w:val="32"/>
          <w:highlight w:val="none"/>
        </w:rPr>
        <w:t>%，要原因是：</w:t>
      </w:r>
      <w:r>
        <w:rPr>
          <w:rFonts w:hint="eastAsia" w:ascii="仿宋_GB2312" w:hAnsi="宋体" w:eastAsia="仿宋_GB2312" w:cs="宋体"/>
          <w:kern w:val="0"/>
          <w:sz w:val="32"/>
          <w:szCs w:val="32"/>
          <w:highlight w:val="none"/>
          <w:lang w:eastAsia="zh-CN"/>
        </w:rPr>
        <w:t>退休人员不在缴纳公务员医疗补助只有在职人员交纳的影响。</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5.卫生</w:t>
      </w:r>
      <w:r>
        <w:rPr>
          <w:rFonts w:hint="eastAsia" w:ascii="仿宋_GB2312" w:eastAsia="仿宋_GB2312"/>
          <w:sz w:val="32"/>
          <w:szCs w:val="32"/>
          <w:highlight w:val="none"/>
          <w:lang w:eastAsia="zh-CN"/>
        </w:rPr>
        <w:t>健康支出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210</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行政事业单位医疗</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11</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其他行政事业单位医疗支出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99</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0.03</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0.11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highlight w:val="none"/>
          <w:lang w:val="en-US" w:eastAsia="zh-CN"/>
        </w:rPr>
        <w:t>78.57</w:t>
      </w:r>
      <w:r>
        <w:rPr>
          <w:rFonts w:hint="eastAsia" w:ascii="仿宋_GB2312" w:hAnsi="宋体" w:eastAsia="仿宋_GB2312" w:cs="宋体"/>
          <w:kern w:val="0"/>
          <w:sz w:val="32"/>
          <w:szCs w:val="32"/>
          <w:highlight w:val="none"/>
        </w:rPr>
        <w:t>%，要原因是：</w:t>
      </w:r>
      <w:r>
        <w:rPr>
          <w:rFonts w:hint="eastAsia" w:ascii="仿宋_GB2312" w:hAnsi="宋体" w:eastAsia="仿宋_GB2312" w:cs="宋体"/>
          <w:kern w:val="0"/>
          <w:sz w:val="32"/>
          <w:szCs w:val="32"/>
          <w:highlight w:val="none"/>
          <w:lang w:eastAsia="zh-CN"/>
        </w:rPr>
        <w:t>退休人员不在缴纳大病医疗保险的影响。</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w:t>
      </w:r>
      <w:r>
        <w:rPr>
          <w:rFonts w:hint="eastAsia" w:ascii="仿宋_GB2312" w:eastAsia="仿宋_GB2312"/>
          <w:sz w:val="32"/>
          <w:szCs w:val="32"/>
          <w:highlight w:val="none"/>
          <w:lang w:eastAsia="zh-CN"/>
        </w:rPr>
        <w:t>商业服务业等支出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216</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商业流通事务</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02</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事业运行</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50</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83.22</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83.22</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：由于今年预算支出功能分类科目细化的影响，上年在</w:t>
      </w:r>
      <w:r>
        <w:rPr>
          <w:rFonts w:hint="eastAsia" w:ascii="仿宋_GB2312" w:eastAsia="仿宋_GB2312"/>
          <w:sz w:val="32"/>
          <w:szCs w:val="32"/>
          <w:highlight w:val="none"/>
          <w:lang w:eastAsia="zh-CN"/>
        </w:rPr>
        <w:t>商业服务业等支出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216</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其他</w:t>
      </w:r>
      <w:r>
        <w:rPr>
          <w:rFonts w:hint="eastAsia" w:ascii="仿宋_GB2312" w:eastAsia="仿宋_GB2312"/>
          <w:sz w:val="32"/>
          <w:szCs w:val="32"/>
          <w:highlight w:val="none"/>
          <w:lang w:eastAsia="zh-CN"/>
        </w:rPr>
        <w:t>商业服务业等支出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99</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其他</w:t>
      </w:r>
      <w:r>
        <w:rPr>
          <w:rFonts w:hint="eastAsia" w:ascii="仿宋_GB2312" w:eastAsia="仿宋_GB2312"/>
          <w:sz w:val="32"/>
          <w:szCs w:val="32"/>
          <w:highlight w:val="none"/>
          <w:lang w:eastAsia="zh-CN"/>
        </w:rPr>
        <w:t>商业服务业等支出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99</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eastAsia="zh-CN"/>
        </w:rPr>
        <w:t>中列支。</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7.住房保障支出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221</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住房改革支出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02</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其他</w:t>
      </w:r>
      <w:r>
        <w:rPr>
          <w:rFonts w:hint="eastAsia" w:ascii="仿宋_GB2312" w:eastAsia="仿宋_GB2312"/>
          <w:sz w:val="32"/>
          <w:szCs w:val="32"/>
          <w:highlight w:val="none"/>
          <w:lang w:eastAsia="zh-CN"/>
        </w:rPr>
        <w:t>住房公积金</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01</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8.89</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0.38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highlight w:val="none"/>
          <w:lang w:val="en-US" w:eastAsia="zh-CN"/>
        </w:rPr>
        <w:t>4.06</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减少1人。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呼图壁县供销合作社联合社2024年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呼图壁县供销合作社联合社</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129.4</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123.5</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29.18</w:t>
      </w:r>
      <w:r>
        <w:rPr>
          <w:rFonts w:hint="eastAsia" w:ascii="仿宋_GB2312" w:hAnsi="宋体" w:eastAsia="仿宋_GB2312" w:cs="宋体"/>
          <w:color w:val="auto"/>
          <w:kern w:val="0"/>
          <w:sz w:val="32"/>
          <w:szCs w:val="32"/>
          <w:highlight w:val="none"/>
        </w:rPr>
        <w:t>万元、津贴补贴</w:t>
      </w:r>
      <w:r>
        <w:rPr>
          <w:rFonts w:hint="eastAsia" w:ascii="仿宋_GB2312" w:hAnsi="宋体" w:eastAsia="仿宋_GB2312" w:cs="宋体"/>
          <w:color w:val="auto"/>
          <w:kern w:val="0"/>
          <w:sz w:val="32"/>
          <w:szCs w:val="32"/>
          <w:highlight w:val="none"/>
          <w:lang w:val="en-US" w:eastAsia="zh-CN"/>
        </w:rPr>
        <w:t>8.03</w:t>
      </w:r>
      <w:r>
        <w:rPr>
          <w:rFonts w:hint="eastAsia" w:ascii="仿宋_GB2312" w:hAnsi="宋体" w:eastAsia="仿宋_GB2312" w:cs="宋体"/>
          <w:color w:val="auto"/>
          <w:kern w:val="0"/>
          <w:sz w:val="32"/>
          <w:szCs w:val="32"/>
          <w:highlight w:val="none"/>
        </w:rPr>
        <w:t>万元、奖金</w:t>
      </w:r>
      <w:r>
        <w:rPr>
          <w:rFonts w:hint="eastAsia" w:ascii="仿宋_GB2312" w:hAnsi="宋体" w:eastAsia="仿宋_GB2312" w:cs="宋体"/>
          <w:color w:val="auto"/>
          <w:kern w:val="0"/>
          <w:sz w:val="32"/>
          <w:szCs w:val="32"/>
          <w:highlight w:val="none"/>
          <w:lang w:val="en-US" w:eastAsia="zh-CN"/>
        </w:rPr>
        <w:t>20.28</w:t>
      </w:r>
      <w:r>
        <w:rPr>
          <w:rFonts w:hint="eastAsia" w:ascii="仿宋_GB2312" w:hAnsi="宋体" w:eastAsia="仿宋_GB2312" w:cs="宋体"/>
          <w:color w:val="auto"/>
          <w:kern w:val="0"/>
          <w:sz w:val="32"/>
          <w:szCs w:val="32"/>
          <w:highlight w:val="none"/>
        </w:rPr>
        <w:t>万元、绩效工资</w:t>
      </w:r>
      <w:r>
        <w:rPr>
          <w:rFonts w:hint="eastAsia" w:ascii="仿宋_GB2312" w:hAnsi="宋体" w:eastAsia="仿宋_GB2312" w:cs="宋体"/>
          <w:color w:val="auto"/>
          <w:kern w:val="0"/>
          <w:sz w:val="32"/>
          <w:szCs w:val="32"/>
          <w:highlight w:val="none"/>
          <w:lang w:val="en-US" w:eastAsia="zh-CN"/>
        </w:rPr>
        <w:t>16.66</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10.81</w:t>
      </w:r>
      <w:r>
        <w:rPr>
          <w:rFonts w:hint="eastAsia" w:ascii="仿宋_GB2312" w:hAnsi="宋体" w:eastAsia="仿宋_GB2312" w:cs="宋体"/>
          <w:color w:val="auto"/>
          <w:kern w:val="0"/>
          <w:sz w:val="32"/>
          <w:szCs w:val="32"/>
          <w:highlight w:val="none"/>
        </w:rPr>
        <w:t>万元、职工基本医疗保险缴费</w:t>
      </w:r>
      <w:r>
        <w:rPr>
          <w:rFonts w:hint="eastAsia" w:ascii="仿宋_GB2312" w:hAnsi="宋体" w:eastAsia="仿宋_GB2312" w:cs="宋体"/>
          <w:color w:val="auto"/>
          <w:kern w:val="0"/>
          <w:sz w:val="32"/>
          <w:szCs w:val="32"/>
          <w:highlight w:val="none"/>
          <w:lang w:val="en-US" w:eastAsia="zh-CN"/>
        </w:rPr>
        <w:t>5.41</w:t>
      </w:r>
      <w:r>
        <w:rPr>
          <w:rFonts w:hint="eastAsia" w:ascii="仿宋_GB2312" w:hAnsi="宋体" w:eastAsia="仿宋_GB2312" w:cs="宋体"/>
          <w:color w:val="auto"/>
          <w:kern w:val="0"/>
          <w:sz w:val="32"/>
          <w:szCs w:val="32"/>
          <w:highlight w:val="none"/>
        </w:rPr>
        <w:t>万元、公务员医疗补助缴费</w:t>
      </w:r>
      <w:r>
        <w:rPr>
          <w:rFonts w:hint="eastAsia" w:ascii="仿宋_GB2312" w:hAnsi="宋体" w:eastAsia="仿宋_GB2312" w:cs="宋体"/>
          <w:color w:val="auto"/>
          <w:kern w:val="0"/>
          <w:sz w:val="32"/>
          <w:szCs w:val="32"/>
          <w:highlight w:val="none"/>
          <w:lang w:val="en-US" w:eastAsia="zh-CN"/>
        </w:rPr>
        <w:t>1.49</w:t>
      </w:r>
      <w:r>
        <w:rPr>
          <w:rFonts w:hint="eastAsia" w:ascii="仿宋_GB2312" w:hAnsi="宋体" w:eastAsia="仿宋_GB2312" w:cs="宋体"/>
          <w:color w:val="auto"/>
          <w:kern w:val="0"/>
          <w:sz w:val="32"/>
          <w:szCs w:val="32"/>
          <w:highlight w:val="none"/>
        </w:rPr>
        <w:t>万元、其他社会保障缴费</w:t>
      </w:r>
      <w:r>
        <w:rPr>
          <w:rFonts w:hint="eastAsia" w:ascii="仿宋_GB2312" w:hAnsi="宋体" w:eastAsia="仿宋_GB2312" w:cs="宋体"/>
          <w:color w:val="auto"/>
          <w:kern w:val="0"/>
          <w:sz w:val="32"/>
          <w:szCs w:val="32"/>
          <w:highlight w:val="none"/>
          <w:lang w:val="en-US" w:eastAsia="zh-CN"/>
        </w:rPr>
        <w:t>0.64</w:t>
      </w:r>
      <w:r>
        <w:rPr>
          <w:rFonts w:hint="eastAsia" w:ascii="仿宋_GB2312" w:hAnsi="宋体" w:eastAsia="仿宋_GB2312" w:cs="宋体"/>
          <w:color w:val="auto"/>
          <w:kern w:val="0"/>
          <w:sz w:val="32"/>
          <w:szCs w:val="32"/>
          <w:highlight w:val="none"/>
        </w:rPr>
        <w:t>万元、住房公积金</w:t>
      </w:r>
      <w:r>
        <w:rPr>
          <w:rFonts w:hint="eastAsia" w:ascii="仿宋_GB2312" w:hAnsi="宋体" w:eastAsia="仿宋_GB2312" w:cs="宋体"/>
          <w:color w:val="auto"/>
          <w:kern w:val="0"/>
          <w:sz w:val="32"/>
          <w:szCs w:val="32"/>
          <w:highlight w:val="none"/>
          <w:lang w:val="en-US" w:eastAsia="zh-CN"/>
        </w:rPr>
        <w:t>8.89</w:t>
      </w:r>
      <w:r>
        <w:rPr>
          <w:rFonts w:hint="eastAsia" w:ascii="仿宋_GB2312" w:hAnsi="宋体" w:eastAsia="仿宋_GB2312" w:cs="宋体"/>
          <w:color w:val="auto"/>
          <w:kern w:val="0"/>
          <w:sz w:val="32"/>
          <w:szCs w:val="32"/>
          <w:highlight w:val="none"/>
        </w:rPr>
        <w:t>万元、其他对个人和家庭的补助</w:t>
      </w:r>
      <w:r>
        <w:rPr>
          <w:rFonts w:hint="eastAsia" w:ascii="仿宋_GB2312" w:hAnsi="宋体" w:eastAsia="仿宋_GB2312" w:cs="宋体"/>
          <w:color w:val="auto"/>
          <w:kern w:val="0"/>
          <w:sz w:val="32"/>
          <w:szCs w:val="32"/>
          <w:highlight w:val="none"/>
          <w:lang w:val="en-US" w:eastAsia="zh-CN"/>
        </w:rPr>
        <w:t>22.11万元</w:t>
      </w:r>
      <w:r>
        <w:rPr>
          <w:rFonts w:hint="eastAsia" w:ascii="仿宋_GB2312" w:hAnsi="宋体" w:eastAsia="仿宋_GB2312" w:cs="宋体"/>
          <w:color w:val="auto"/>
          <w:kern w:val="0"/>
          <w:sz w:val="32"/>
          <w:szCs w:val="32"/>
          <w:highlight w:val="none"/>
        </w:rPr>
        <w:t>。</w:t>
      </w:r>
    </w:p>
    <w:p>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5.9</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0.72</w:t>
      </w:r>
      <w:r>
        <w:rPr>
          <w:rFonts w:hint="eastAsia" w:ascii="仿宋_GB2312" w:hAnsi="宋体" w:eastAsia="仿宋_GB2312" w:cs="宋体"/>
          <w:color w:val="auto"/>
          <w:kern w:val="0"/>
          <w:sz w:val="32"/>
          <w:szCs w:val="32"/>
          <w:highlight w:val="none"/>
        </w:rPr>
        <w:t>万元、手续费</w:t>
      </w:r>
      <w:r>
        <w:rPr>
          <w:rFonts w:hint="eastAsia" w:ascii="仿宋_GB2312" w:hAnsi="宋体" w:eastAsia="仿宋_GB2312" w:cs="宋体"/>
          <w:color w:val="auto"/>
          <w:kern w:val="0"/>
          <w:sz w:val="32"/>
          <w:szCs w:val="32"/>
          <w:highlight w:val="none"/>
          <w:lang w:val="en-US" w:eastAsia="zh-CN"/>
        </w:rPr>
        <w:t>0.01</w:t>
      </w:r>
      <w:r>
        <w:rPr>
          <w:rFonts w:hint="eastAsia" w:ascii="仿宋_GB2312" w:hAnsi="宋体" w:eastAsia="仿宋_GB2312" w:cs="宋体"/>
          <w:color w:val="auto"/>
          <w:kern w:val="0"/>
          <w:sz w:val="32"/>
          <w:szCs w:val="32"/>
          <w:highlight w:val="none"/>
        </w:rPr>
        <w:t>万元、水费</w:t>
      </w:r>
      <w:r>
        <w:rPr>
          <w:rFonts w:hint="eastAsia" w:ascii="仿宋_GB2312" w:hAnsi="宋体" w:eastAsia="仿宋_GB2312" w:cs="宋体"/>
          <w:color w:val="auto"/>
          <w:kern w:val="0"/>
          <w:sz w:val="32"/>
          <w:szCs w:val="32"/>
          <w:highlight w:val="none"/>
          <w:lang w:val="en-US" w:eastAsia="zh-CN"/>
        </w:rPr>
        <w:t>0.06</w:t>
      </w:r>
      <w:r>
        <w:rPr>
          <w:rFonts w:hint="eastAsia" w:ascii="仿宋_GB2312" w:hAnsi="宋体" w:eastAsia="仿宋_GB2312" w:cs="宋体"/>
          <w:color w:val="auto"/>
          <w:kern w:val="0"/>
          <w:sz w:val="32"/>
          <w:szCs w:val="32"/>
          <w:highlight w:val="none"/>
        </w:rPr>
        <w:t>万元、电费</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万元、邮电费</w:t>
      </w:r>
      <w:r>
        <w:rPr>
          <w:rFonts w:hint="eastAsia" w:ascii="仿宋_GB2312" w:hAnsi="宋体" w:eastAsia="仿宋_GB2312" w:cs="宋体"/>
          <w:color w:val="auto"/>
          <w:kern w:val="0"/>
          <w:sz w:val="32"/>
          <w:szCs w:val="32"/>
          <w:highlight w:val="none"/>
          <w:lang w:val="en-US" w:eastAsia="zh-CN"/>
        </w:rPr>
        <w:t>0.46</w:t>
      </w:r>
      <w:r>
        <w:rPr>
          <w:rFonts w:hint="eastAsia" w:ascii="仿宋_GB2312" w:hAnsi="宋体" w:eastAsia="仿宋_GB2312" w:cs="宋体"/>
          <w:color w:val="auto"/>
          <w:kern w:val="0"/>
          <w:sz w:val="32"/>
          <w:szCs w:val="32"/>
          <w:highlight w:val="none"/>
        </w:rPr>
        <w:t>万元、取暖费</w:t>
      </w:r>
      <w:r>
        <w:rPr>
          <w:rFonts w:hint="eastAsia" w:ascii="仿宋_GB2312" w:hAnsi="宋体" w:eastAsia="仿宋_GB2312" w:cs="宋体"/>
          <w:color w:val="auto"/>
          <w:kern w:val="0"/>
          <w:sz w:val="32"/>
          <w:szCs w:val="32"/>
          <w:highlight w:val="none"/>
          <w:lang w:val="en-US" w:eastAsia="zh-CN"/>
        </w:rPr>
        <w:t>1.85</w:t>
      </w:r>
      <w:r>
        <w:rPr>
          <w:rFonts w:hint="eastAsia" w:ascii="仿宋_GB2312" w:hAnsi="宋体" w:eastAsia="仿宋_GB2312" w:cs="宋体"/>
          <w:color w:val="auto"/>
          <w:kern w:val="0"/>
          <w:sz w:val="32"/>
          <w:szCs w:val="32"/>
          <w:highlight w:val="none"/>
        </w:rPr>
        <w:t>万元、差旅费</w:t>
      </w:r>
      <w:r>
        <w:rPr>
          <w:rFonts w:hint="eastAsia" w:ascii="仿宋_GB2312" w:hAnsi="宋体" w:eastAsia="仿宋_GB2312" w:cs="宋体"/>
          <w:color w:val="auto"/>
          <w:kern w:val="0"/>
          <w:sz w:val="32"/>
          <w:szCs w:val="32"/>
          <w:highlight w:val="none"/>
          <w:lang w:val="en-US" w:eastAsia="zh-CN"/>
        </w:rPr>
        <w:t>0.21</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0.18</w:t>
      </w:r>
      <w:r>
        <w:rPr>
          <w:rFonts w:hint="eastAsia" w:ascii="仿宋_GB2312" w:hAnsi="宋体" w:eastAsia="仿宋_GB2312" w:cs="宋体"/>
          <w:color w:val="auto"/>
          <w:kern w:val="0"/>
          <w:sz w:val="32"/>
          <w:szCs w:val="32"/>
          <w:highlight w:val="none"/>
        </w:rPr>
        <w:t>万元、工会经费</w:t>
      </w:r>
      <w:r>
        <w:rPr>
          <w:rFonts w:hint="eastAsia" w:ascii="仿宋_GB2312" w:hAnsi="宋体" w:eastAsia="仿宋_GB2312" w:cs="宋体"/>
          <w:color w:val="auto"/>
          <w:kern w:val="0"/>
          <w:sz w:val="32"/>
          <w:szCs w:val="32"/>
          <w:highlight w:val="none"/>
          <w:lang w:val="en-US" w:eastAsia="zh-CN"/>
        </w:rPr>
        <w:t>1.31</w:t>
      </w:r>
      <w:r>
        <w:rPr>
          <w:rFonts w:hint="eastAsia" w:ascii="仿宋_GB2312" w:hAnsi="宋体" w:eastAsia="仿宋_GB2312" w:cs="宋体"/>
          <w:color w:val="auto"/>
          <w:kern w:val="0"/>
          <w:sz w:val="32"/>
          <w:szCs w:val="32"/>
          <w:highlight w:val="none"/>
        </w:rPr>
        <w:t>万元、公务用车运行维护费</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 xml:space="preserve">      </w:t>
      </w:r>
    </w:p>
    <w:p>
      <w:pPr>
        <w:pStyle w:val="4"/>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呼图壁县供销合作社联合社2024年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呼图壁县供销合作社联合社2024年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0.68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0.92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57.5%，</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2023、2024均未安排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2023、2024均未安排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68.75 %，</w:t>
      </w:r>
      <w:r>
        <w:rPr>
          <w:rFonts w:hint="eastAsia" w:ascii="仿宋_GB2312" w:hAnsi="宋体" w:eastAsia="仿宋_GB2312" w:cs="宋体"/>
          <w:color w:val="auto"/>
          <w:kern w:val="0"/>
          <w:sz w:val="32"/>
          <w:szCs w:val="32"/>
          <w:highlight w:val="none"/>
        </w:rPr>
        <w:t>主要原因是我单位</w:t>
      </w:r>
      <w:r>
        <w:rPr>
          <w:rFonts w:hint="eastAsia" w:ascii="仿宋_GB2312" w:hAnsi="宋体" w:eastAsia="仿宋_GB2312" w:cs="宋体"/>
          <w:color w:val="auto"/>
          <w:kern w:val="0"/>
          <w:sz w:val="32"/>
          <w:szCs w:val="32"/>
          <w:highlight w:val="none"/>
          <w:lang w:eastAsia="zh-CN"/>
        </w:rPr>
        <w:t>严格执行中央八项规定</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厉行节约，三公经费只减不增</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0.18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w:t>
      </w:r>
      <w:r>
        <w:rPr>
          <w:rFonts w:hint="eastAsia" w:ascii="仿宋_GB2312" w:hAnsi="宋体" w:eastAsia="仿宋_GB2312" w:cs="宋体"/>
          <w:color w:val="auto"/>
          <w:kern w:val="0"/>
          <w:sz w:val="32"/>
          <w:szCs w:val="32"/>
          <w:highlight w:val="none"/>
          <w:lang w:val="en-US" w:eastAsia="zh-CN"/>
        </w:rPr>
        <w:t>因预算错误</w:t>
      </w:r>
      <w:r>
        <w:rPr>
          <w:rFonts w:hint="eastAsia" w:ascii="仿宋_GB2312" w:hAnsi="宋体" w:eastAsia="仿宋_GB2312" w:cs="宋体"/>
          <w:color w:val="auto"/>
          <w:kern w:val="0"/>
          <w:sz w:val="32"/>
          <w:szCs w:val="32"/>
          <w:highlight w:val="none"/>
          <w:lang w:eastAsia="zh-CN"/>
        </w:rPr>
        <w:t>未</w:t>
      </w:r>
      <w:bookmarkStart w:id="0" w:name="_GoBack"/>
      <w:bookmarkEnd w:id="0"/>
      <w:r>
        <w:rPr>
          <w:rFonts w:hint="eastAsia" w:ascii="仿宋_GB2312" w:hAnsi="宋体" w:eastAsia="仿宋_GB2312" w:cs="宋体"/>
          <w:color w:val="auto"/>
          <w:kern w:val="0"/>
          <w:sz w:val="32"/>
          <w:szCs w:val="32"/>
          <w:highlight w:val="none"/>
          <w:lang w:eastAsia="zh-CN"/>
        </w:rPr>
        <w:t>安排预算，</w:t>
      </w:r>
      <w:r>
        <w:rPr>
          <w:rFonts w:hint="eastAsia" w:ascii="仿宋_GB2312" w:hAnsi="宋体" w:eastAsia="仿宋_GB2312" w:cs="宋体"/>
          <w:color w:val="auto"/>
          <w:kern w:val="0"/>
          <w:sz w:val="32"/>
          <w:szCs w:val="32"/>
          <w:highlight w:val="none"/>
          <w:lang w:val="en-US" w:eastAsia="zh-CN"/>
        </w:rPr>
        <w:t>今年按照实际需求安排公务接待费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5.9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减少0.43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下降6.79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1.22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1.22</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1.22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1.22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单位价值50万元以上大型设备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整体预算绩效目标1个，涉及金额129.4万元；当年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55</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color w:val="000000"/>
                <w:kern w:val="0"/>
                <w:sz w:val="32"/>
                <w:szCs w:val="32"/>
                <w:highlight w:val="none"/>
                <w:lang w:val="en-US" w:eastAsia="zh-CN" w:bidi="ar"/>
              </w:rPr>
            </w:pPr>
            <w:r>
              <w:rPr>
                <w:rFonts w:hint="eastAsia" w:ascii="仿宋_GB2312" w:hAnsi="仿宋_GB2312"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color w:val="000000"/>
                <w:kern w:val="0"/>
                <w:sz w:val="32"/>
                <w:szCs w:val="32"/>
                <w:highlight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呼图壁县供销合作社联合社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0"/>
                <w:szCs w:val="20"/>
                <w:highlight w:val="none"/>
                <w:u w:val="none"/>
                <w:lang w:eastAsia="zh-CN"/>
              </w:rPr>
            </w:pPr>
            <w:r>
              <w:rPr>
                <w:rFonts w:hint="eastAsia" w:ascii="仿宋_GB2312" w:hAnsi="仿宋_GB2312" w:eastAsia="仿宋_GB2312" w:cs="仿宋_GB2312"/>
                <w:i w:val="0"/>
                <w:iCs w:val="0"/>
                <w:color w:val="000000"/>
                <w:sz w:val="20"/>
                <w:szCs w:val="20"/>
                <w:highlight w:val="none"/>
                <w:u w:val="none"/>
                <w:lang w:eastAsia="zh-CN"/>
              </w:rPr>
              <w:t>季红军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sz w:val="20"/>
                <w:szCs w:val="20"/>
                <w:highlight w:val="none"/>
                <w:u w:val="none"/>
                <w:lang w:val="en-US" w:eastAsia="zh-CN"/>
              </w:rPr>
              <w:t>13899693818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br w:type="textWrapping"/>
            </w:r>
            <w:r>
              <w:rPr>
                <w:rFonts w:hint="eastAsia" w:ascii="仿宋_GB2312" w:hAnsi="仿宋_GB2312" w:eastAsia="仿宋_GB2312" w:cs="仿宋_GB2312"/>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通过参与组织发展各类涉农行业协会、农民专业合作社及联合社、综合服务社和消费、金融、文化等领域的新型合作经济组织活动，构建新型农业社会化服务体系，密切同农民的联系；重点做好土地流转托管，无人机飞防、为农业农村提供良好的为农服务基础，进一步提高服务农村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sz w:val="20"/>
                <w:szCs w:val="20"/>
                <w:highlight w:val="none"/>
                <w:u w:val="none"/>
                <w:lang w:val="en-US" w:eastAsia="zh-CN"/>
              </w:rPr>
              <w:t>129.4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仿宋_GB2312" w:eastAsia="仿宋_GB2312" w:cs="仿宋_GB2312"/>
                <w:i w:val="0"/>
                <w:iCs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高质量发展基层社</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 w:hRule="atLeast"/>
        </w:trPr>
        <w:tc>
          <w:tcPr>
            <w:tcW w:w="1122"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highlight w:val="none"/>
              </w:rPr>
            </w:pPr>
          </w:p>
        </w:tc>
        <w:tc>
          <w:tcPr>
            <w:tcW w:w="1367"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highlight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新建综合服务社个数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 w:hRule="atLeast"/>
        </w:trPr>
        <w:tc>
          <w:tcPr>
            <w:tcW w:w="1122"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367"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改造升级造综合服务社个数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 w:hRule="atLeast"/>
        </w:trPr>
        <w:tc>
          <w:tcPr>
            <w:tcW w:w="1122"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367"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组织企业参加产销对接会次数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1122" w:type="dxa"/>
            <w:vMerge w:val="continue"/>
            <w:tcBorders>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新建农产品销售专馆个数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1122" w:type="dxa"/>
            <w:vMerge w:val="continue"/>
            <w:tcBorders>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highlight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highlight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新建电商直播平台数量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sz w:val="20"/>
                <w:szCs w:val="20"/>
                <w:highlight w:val="none"/>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highlight w:val="none"/>
                <w:u w:val="none"/>
              </w:rPr>
            </w:pPr>
          </w:p>
        </w:tc>
      </w:tr>
    </w:tbl>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仿宋_GB2312" w:eastAsia="仿宋_GB2312" w:cs="仿宋_GB2312"/>
                <w:i w:val="0"/>
                <w:iCs w:val="0"/>
                <w:color w:val="000000"/>
                <w:sz w:val="20"/>
                <w:szCs w:val="20"/>
                <w:highlight w:val="none"/>
                <w:u w:val="none"/>
              </w:rPr>
              <w:t>呼图壁县供销合作社联合社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昌吉州农产品区外销售项目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王黎伟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在福建新建</w:t>
            </w:r>
            <w:r>
              <w:rPr>
                <w:rFonts w:hint="eastAsia" w:ascii="宋体" w:hAnsi="宋体" w:cs="宋体"/>
                <w:i w:val="0"/>
                <w:iCs w:val="0"/>
                <w:color w:val="000000"/>
                <w:sz w:val="18"/>
                <w:szCs w:val="18"/>
                <w:highlight w:val="none"/>
                <w:u w:val="none"/>
                <w:lang w:val="en-US" w:eastAsia="zh-CN"/>
              </w:rPr>
              <w:t>3个</w:t>
            </w:r>
            <w:r>
              <w:rPr>
                <w:rFonts w:hint="eastAsia" w:ascii="宋体" w:hAnsi="宋体" w:cs="宋体"/>
                <w:i w:val="0"/>
                <w:iCs w:val="0"/>
                <w:color w:val="000000"/>
                <w:sz w:val="18"/>
                <w:szCs w:val="18"/>
                <w:highlight w:val="none"/>
                <w:u w:val="none"/>
                <w:lang w:eastAsia="zh-CN"/>
              </w:rPr>
              <w:t>昌吉州农产品销售销售门店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新建</w:t>
            </w:r>
            <w:r>
              <w:rPr>
                <w:rFonts w:hint="eastAsia" w:ascii="宋体" w:hAnsi="宋体" w:cs="宋体"/>
                <w:i w:val="0"/>
                <w:iCs w:val="0"/>
                <w:color w:val="000000"/>
                <w:sz w:val="18"/>
                <w:szCs w:val="18"/>
                <w:highlight w:val="none"/>
                <w:u w:val="none"/>
                <w:lang w:eastAsia="zh-CN"/>
              </w:rPr>
              <w:t>昌吉州农产品销售销售门店</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3</w:t>
            </w:r>
            <w:r>
              <w:rPr>
                <w:rFonts w:hint="eastAsia" w:ascii="宋体" w:hAnsi="宋体" w:eastAsia="宋体" w:cs="宋体"/>
                <w:i w:val="0"/>
                <w:iCs w:val="0"/>
                <w:color w:val="000000"/>
                <w:sz w:val="18"/>
                <w:szCs w:val="18"/>
                <w:highlight w:val="none"/>
                <w:u w:val="none"/>
                <w:lang w:val="en-US" w:eastAsia="zh-CN"/>
              </w:rPr>
              <w:t>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建设项目质量达标率（%）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项目计划完成率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为农服务质量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无</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呼图壁县供销合作社联合社</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jM2Y0YjMyMjMzNGU5NzU4NDMwYTk2YjIwMDU2ZDUifQ=="/>
  </w:docVars>
  <w:rsids>
    <w:rsidRoot w:val="10587512"/>
    <w:rsid w:val="00EE2224"/>
    <w:rsid w:val="02E20138"/>
    <w:rsid w:val="03407473"/>
    <w:rsid w:val="0381685A"/>
    <w:rsid w:val="038F1E58"/>
    <w:rsid w:val="04267B2D"/>
    <w:rsid w:val="04370453"/>
    <w:rsid w:val="04E15802"/>
    <w:rsid w:val="05125765"/>
    <w:rsid w:val="05397FD9"/>
    <w:rsid w:val="06D84AD0"/>
    <w:rsid w:val="070E6657"/>
    <w:rsid w:val="08450B28"/>
    <w:rsid w:val="0B247F12"/>
    <w:rsid w:val="0D6E5FD0"/>
    <w:rsid w:val="0DDC7B35"/>
    <w:rsid w:val="0E3C1CFB"/>
    <w:rsid w:val="0E9208E7"/>
    <w:rsid w:val="0EC5208B"/>
    <w:rsid w:val="0ECA2721"/>
    <w:rsid w:val="0F422A8A"/>
    <w:rsid w:val="10587512"/>
    <w:rsid w:val="10916BDA"/>
    <w:rsid w:val="11355631"/>
    <w:rsid w:val="13F212B3"/>
    <w:rsid w:val="1697741D"/>
    <w:rsid w:val="1732414C"/>
    <w:rsid w:val="188C387F"/>
    <w:rsid w:val="19951B48"/>
    <w:rsid w:val="1BB536C5"/>
    <w:rsid w:val="1BEB54C3"/>
    <w:rsid w:val="1C3C6084"/>
    <w:rsid w:val="1CEB6DC6"/>
    <w:rsid w:val="1D0F3F70"/>
    <w:rsid w:val="1D3E1AFE"/>
    <w:rsid w:val="1EB61656"/>
    <w:rsid w:val="20C847C5"/>
    <w:rsid w:val="20DD55C0"/>
    <w:rsid w:val="22DB78DD"/>
    <w:rsid w:val="244D65B8"/>
    <w:rsid w:val="246851A0"/>
    <w:rsid w:val="2492221D"/>
    <w:rsid w:val="2499386D"/>
    <w:rsid w:val="2678211A"/>
    <w:rsid w:val="269E7042"/>
    <w:rsid w:val="26B4291F"/>
    <w:rsid w:val="26E769FA"/>
    <w:rsid w:val="27E4293E"/>
    <w:rsid w:val="293B2E83"/>
    <w:rsid w:val="29E520C2"/>
    <w:rsid w:val="2A012DF7"/>
    <w:rsid w:val="2A3D064C"/>
    <w:rsid w:val="2AFC4894"/>
    <w:rsid w:val="2CF73565"/>
    <w:rsid w:val="2D166BB0"/>
    <w:rsid w:val="2D480265"/>
    <w:rsid w:val="2D977453"/>
    <w:rsid w:val="2EF22236"/>
    <w:rsid w:val="30356DF6"/>
    <w:rsid w:val="30FF0C3A"/>
    <w:rsid w:val="31FF7B84"/>
    <w:rsid w:val="331D36BE"/>
    <w:rsid w:val="33D068BE"/>
    <w:rsid w:val="33E059BA"/>
    <w:rsid w:val="38B62615"/>
    <w:rsid w:val="397D4357"/>
    <w:rsid w:val="3A9700F6"/>
    <w:rsid w:val="3AE26A19"/>
    <w:rsid w:val="3BD11425"/>
    <w:rsid w:val="3BD8077A"/>
    <w:rsid w:val="3C3C0578"/>
    <w:rsid w:val="3D21191A"/>
    <w:rsid w:val="3FDF4D23"/>
    <w:rsid w:val="404A4339"/>
    <w:rsid w:val="43140575"/>
    <w:rsid w:val="43C26223"/>
    <w:rsid w:val="43D8307E"/>
    <w:rsid w:val="43EF4B3E"/>
    <w:rsid w:val="44567908"/>
    <w:rsid w:val="453E380B"/>
    <w:rsid w:val="46CE3131"/>
    <w:rsid w:val="47C9565F"/>
    <w:rsid w:val="48435459"/>
    <w:rsid w:val="487A3570"/>
    <w:rsid w:val="494F7907"/>
    <w:rsid w:val="4C0055E5"/>
    <w:rsid w:val="4C3677AE"/>
    <w:rsid w:val="4C706B3A"/>
    <w:rsid w:val="4CB552E6"/>
    <w:rsid w:val="4EBD37C1"/>
    <w:rsid w:val="51C15CED"/>
    <w:rsid w:val="52285DEB"/>
    <w:rsid w:val="52287B9C"/>
    <w:rsid w:val="52AD62F0"/>
    <w:rsid w:val="543D1653"/>
    <w:rsid w:val="546308FE"/>
    <w:rsid w:val="55A25C05"/>
    <w:rsid w:val="55EB160A"/>
    <w:rsid w:val="58B3039D"/>
    <w:rsid w:val="5931274B"/>
    <w:rsid w:val="5A960D40"/>
    <w:rsid w:val="5C9B6DBC"/>
    <w:rsid w:val="5F2346ED"/>
    <w:rsid w:val="600E418B"/>
    <w:rsid w:val="608C5797"/>
    <w:rsid w:val="60F83D92"/>
    <w:rsid w:val="61086613"/>
    <w:rsid w:val="61671D60"/>
    <w:rsid w:val="62115E5F"/>
    <w:rsid w:val="62614A02"/>
    <w:rsid w:val="63261F05"/>
    <w:rsid w:val="6408782B"/>
    <w:rsid w:val="65322CBF"/>
    <w:rsid w:val="65FE12C5"/>
    <w:rsid w:val="68CC52CB"/>
    <w:rsid w:val="68DE4FFE"/>
    <w:rsid w:val="694B58D7"/>
    <w:rsid w:val="69CE4E15"/>
    <w:rsid w:val="69E76134"/>
    <w:rsid w:val="6B7F3246"/>
    <w:rsid w:val="6E182017"/>
    <w:rsid w:val="6EF07839"/>
    <w:rsid w:val="6F63000B"/>
    <w:rsid w:val="70107FA4"/>
    <w:rsid w:val="701F1C63"/>
    <w:rsid w:val="71532C10"/>
    <w:rsid w:val="72B56DCF"/>
    <w:rsid w:val="74150013"/>
    <w:rsid w:val="742411F7"/>
    <w:rsid w:val="749F4DE6"/>
    <w:rsid w:val="75B570E6"/>
    <w:rsid w:val="780A1873"/>
    <w:rsid w:val="787D11B8"/>
    <w:rsid w:val="792C5912"/>
    <w:rsid w:val="79921C19"/>
    <w:rsid w:val="79B86F78"/>
    <w:rsid w:val="7A6D7A0B"/>
    <w:rsid w:val="7B4707E1"/>
    <w:rsid w:val="7B7D7F98"/>
    <w:rsid w:val="7BC33C2C"/>
    <w:rsid w:val="7C991048"/>
    <w:rsid w:val="7C9B2861"/>
    <w:rsid w:val="7CB8342B"/>
    <w:rsid w:val="7E815F22"/>
    <w:rsid w:val="7E8B30DA"/>
    <w:rsid w:val="7ED4682F"/>
    <w:rsid w:val="7EF02F3D"/>
    <w:rsid w:val="7FF41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7955</Words>
  <Characters>9843</Characters>
  <Lines>0</Lines>
  <Paragraphs>0</Paragraphs>
  <TotalTime>5</TotalTime>
  <ScaleCrop>false</ScaleCrop>
  <LinksUpToDate>false</LinksUpToDate>
  <CharactersWithSpaces>11510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cp:lastPrinted>2024-07-15T05:29:00Z</cp:lastPrinted>
  <dcterms:modified xsi:type="dcterms:W3CDTF">2025-11-12T02:23:09Z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6B92E19E160A41BEACD8E61D503A1D99_13</vt:lpwstr>
  </property>
</Properties>
</file>