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bookmarkStart w:id="0" w:name="_GoBack"/>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eastAsia="zh-CN"/>
        </w:rPr>
        <w:t>呼图壁县园户村镇良种场社区居民委员会</w:t>
      </w:r>
      <w:r>
        <w:rPr>
          <w:rFonts w:hint="eastAsia" w:ascii="方正小标宋_GBK" w:hAnsi="宋体" w:eastAsia="方正小标宋_GBK"/>
          <w:color w:val="auto"/>
          <w:kern w:val="0"/>
          <w:sz w:val="44"/>
          <w:szCs w:val="44"/>
          <w:highlight w:val="none"/>
          <w:lang w:val="en-US" w:eastAsia="zh-CN"/>
        </w:rPr>
        <w:t>2024年</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呼图壁县园户村镇良种场社区居民委员会概况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呼图壁县园户村镇良种场社区居民委员会预算公开表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一、呼图壁县园户村镇良种场社区居民委员会收支总体情况表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二、呼图壁县园户村镇良种场社区居民委员会收入总体情况表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三、呼图壁县园户村镇良种场社区居民委员会支出总体情况表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呼图壁县园户村镇良种场社区居民委员会预算情况说明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一、关于呼图壁县园户村镇良种场社区居民委员会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二、关于呼图壁县园户村镇良种场社区居民委员会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三、关于呼图壁县园户村镇良种场社区居民委员会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四、关于呼图壁县园户村镇良种场社区居民委员会</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关于呼图壁县园户村镇良种场社区居民委员会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关于呼图壁县园户村镇良种场社区居民委员会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关于呼图壁县园户村镇良种场社区居民委员会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、关于呼图壁县园户村镇良种场社区居民委员会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关于呼图壁县园户村镇良种场社区居民委员会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、关于呼图壁县园户村镇良种场社区居民委员会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、关于呼图壁县园户村镇良种场社区居民委员会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呼图壁县园户村镇良种场社区居民委员会概况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呼图壁县园户村镇良种场社区居民委员会主要职能是：协调和指导社区居民养殖种植，保证退休职工工资能正常发放，各项福利社保医疗支出能及时缴纳，保障日常公用经费及时拨付，使良种场各项工作正常运转。</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 w:val="0"/>
          <w:bCs w:val="0"/>
          <w:color w:val="000000" w:themeColor="text1"/>
          <w:kern w:val="0"/>
          <w:sz w:val="32"/>
          <w:szCs w:val="32"/>
          <w:highlight w:val="none"/>
          <w14:textFill>
            <w14:solidFill>
              <w14:schemeClr w14:val="tx1"/>
            </w14:solidFill>
          </w14:textFill>
        </w:rPr>
      </w:pPr>
      <w:r>
        <w:rPr>
          <w:rFonts w:hint="eastAsia" w:ascii="仿宋_GB2312" w:hAnsi="黑体" w:eastAsia="仿宋_GB2312" w:cs="宋体"/>
          <w:b w:val="0"/>
          <w:bCs w:val="0"/>
          <w:color w:val="000000" w:themeColor="text1"/>
          <w:kern w:val="0"/>
          <w:sz w:val="32"/>
          <w:szCs w:val="32"/>
          <w:highlight w:val="none"/>
          <w14:textFill>
            <w14:solidFill>
              <w14:schemeClr w14:val="tx1"/>
            </w14:solidFill>
          </w14:textFill>
        </w:rPr>
        <w:t>呼图壁县园户村镇良种场社区居民委员会无下属预算单位，下设5个处室，分别是：警务室、计生办、财务室、一片区、二片区。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 w:val="0"/>
          <w:bCs w:val="0"/>
          <w:color w:val="000000" w:themeColor="text1"/>
          <w:kern w:val="0"/>
          <w:sz w:val="32"/>
          <w:szCs w:val="32"/>
          <w:highlight w:val="none"/>
          <w14:textFill>
            <w14:solidFill>
              <w14:schemeClr w14:val="tx1"/>
            </w14:solidFill>
          </w14:textFill>
        </w:rPr>
        <w:t>呼图壁县园户村镇良种场社区居民委员会（原呼图壁县良种繁育场)编制数2 ，实有人数 2 人，其中：在职 0 人，</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人</w:t>
      </w:r>
      <w:r>
        <w:rPr>
          <w:rFonts w:hint="eastAsia" w:ascii="仿宋_GB2312" w:hAnsi="宋体" w:eastAsia="仿宋_GB2312" w:cs="宋体"/>
          <w:color w:val="auto"/>
          <w:kern w:val="0"/>
          <w:sz w:val="32"/>
          <w:szCs w:val="32"/>
          <w:highlight w:val="none"/>
          <w:lang w:eastAsia="zh-CN"/>
        </w:rPr>
        <w:t>，</w:t>
      </w:r>
      <w:r>
        <w:rPr>
          <w:rFonts w:hint="eastAsia" w:ascii="仿宋_GB2312" w:hAnsi="黑体" w:eastAsia="仿宋_GB2312" w:cs="宋体"/>
          <w:b w:val="0"/>
          <w:bCs w:val="0"/>
          <w:color w:val="000000" w:themeColor="text1"/>
          <w:kern w:val="0"/>
          <w:sz w:val="32"/>
          <w:szCs w:val="32"/>
          <w:highlight w:val="none"/>
          <w14:textFill>
            <w14:solidFill>
              <w14:schemeClr w14:val="tx1"/>
            </w14:solidFill>
          </w14:textFill>
        </w:rPr>
        <w:t>退休 2 人</w:t>
      </w:r>
      <w:r>
        <w:rPr>
          <w:rFonts w:hint="eastAsia" w:ascii="仿宋_GB2312" w:hAnsi="黑体" w:eastAsia="仿宋_GB2312" w:cs="宋体"/>
          <w:b w:val="0"/>
          <w:bCs w:val="0"/>
          <w:color w:val="000000" w:themeColor="text1"/>
          <w:kern w:val="0"/>
          <w:sz w:val="32"/>
          <w:szCs w:val="32"/>
          <w:highlight w:val="none"/>
          <w:lang w:eastAsia="zh-CN"/>
          <w14:textFill>
            <w14:solidFill>
              <w14:schemeClr w14:val="tx1"/>
            </w14:solidFill>
          </w14:textFill>
        </w:rPr>
        <w:t>，</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人；离休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 w:val="0"/>
          <w:bCs w:val="0"/>
          <w:color w:val="000000" w:themeColor="text1"/>
          <w:kern w:val="0"/>
          <w:sz w:val="32"/>
          <w:szCs w:val="32"/>
          <w:highlight w:val="none"/>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 w:val="0"/>
          <w:bCs w:val="0"/>
          <w:color w:val="000000" w:themeColor="text1"/>
          <w:kern w:val="0"/>
          <w:sz w:val="32"/>
          <w:szCs w:val="32"/>
          <w:highlight w:val="none"/>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 w:val="0"/>
          <w:bCs w:val="0"/>
          <w:color w:val="000000" w:themeColor="text1"/>
          <w:kern w:val="0"/>
          <w:sz w:val="32"/>
          <w:szCs w:val="32"/>
          <w:highlight w:val="none"/>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 w:val="0"/>
          <w:bCs w:val="0"/>
          <w:color w:val="000000" w:themeColor="text1"/>
          <w:kern w:val="0"/>
          <w:sz w:val="32"/>
          <w:szCs w:val="32"/>
          <w:highlight w:val="none"/>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 w:val="0"/>
          <w:bCs w:val="0"/>
          <w:color w:val="000000" w:themeColor="text1"/>
          <w:kern w:val="0"/>
          <w:sz w:val="32"/>
          <w:szCs w:val="32"/>
          <w:highlight w:val="none"/>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 w:val="0"/>
          <w:bCs w:val="0"/>
          <w:color w:val="000000" w:themeColor="text1"/>
          <w:kern w:val="0"/>
          <w:sz w:val="32"/>
          <w:szCs w:val="32"/>
          <w:highlight w:val="none"/>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 w:val="0"/>
          <w:bCs w:val="0"/>
          <w:color w:val="000000" w:themeColor="text1"/>
          <w:kern w:val="0"/>
          <w:sz w:val="32"/>
          <w:szCs w:val="32"/>
          <w:highlight w:val="none"/>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 w:val="0"/>
          <w:bCs w:val="0"/>
          <w:color w:val="000000" w:themeColor="text1"/>
          <w:kern w:val="0"/>
          <w:sz w:val="32"/>
          <w:szCs w:val="32"/>
          <w:highlight w:val="none"/>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仿宋_GB2312" w:hAnsi="黑体" w:eastAsia="仿宋_GB2312" w:cs="宋体"/>
          <w:b w:val="0"/>
          <w:bCs w:val="0"/>
          <w:color w:val="000000" w:themeColor="text1"/>
          <w:kern w:val="0"/>
          <w:sz w:val="32"/>
          <w:szCs w:val="32"/>
          <w:highlight w:val="none"/>
          <w:lang w:eastAsia="zh-Hans"/>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呼图壁县园户村镇良种场社区居民委员会预算公开表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呼图壁县园户村镇良种场社区居民委员会收支总体情况表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编制单位：呼图壁县园户村镇良种场社区居民委员会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1.65</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1.65</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1.65</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ind w:left="0" w:leftChars="0" w:firstLine="0" w:firstLineChars="0"/>
        <w:jc w:val="both"/>
        <w:rPr>
          <w:rFonts w:hint="eastAsia"/>
          <w:highlight w:val="none"/>
          <w:lang w:val="en-US" w:eastAsia="zh-CN"/>
        </w:rPr>
      </w:pPr>
    </w:p>
    <w:p>
      <w:pPr>
        <w:rPr>
          <w:rFonts w:hint="eastAsia"/>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呼图壁县园户村镇良种场社区居民委员会收入总体情况表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编制单位：呼图壁县园户村镇良种场社区居民委员会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837" w:type="dxa"/>
        <w:tblInd w:w="-627" w:type="dxa"/>
        <w:tblLayout w:type="fixed"/>
        <w:tblCellMar>
          <w:top w:w="0" w:type="dxa"/>
          <w:left w:w="108" w:type="dxa"/>
          <w:bottom w:w="0" w:type="dxa"/>
          <w:right w:w="108" w:type="dxa"/>
        </w:tblCellMar>
      </w:tblPr>
      <w:tblGrid>
        <w:gridCol w:w="555"/>
        <w:gridCol w:w="450"/>
        <w:gridCol w:w="423"/>
        <w:gridCol w:w="969"/>
        <w:gridCol w:w="633"/>
        <w:gridCol w:w="660"/>
        <w:gridCol w:w="504"/>
        <w:gridCol w:w="813"/>
        <w:gridCol w:w="556"/>
        <w:gridCol w:w="643"/>
        <w:gridCol w:w="631"/>
        <w:gridCol w:w="975"/>
        <w:gridCol w:w="540"/>
        <w:gridCol w:w="383"/>
        <w:gridCol w:w="595"/>
        <w:gridCol w:w="507"/>
      </w:tblGrid>
      <w:tr>
        <w:tblPrEx>
          <w:tblCellMar>
            <w:top w:w="0" w:type="dxa"/>
            <w:left w:w="108" w:type="dxa"/>
            <w:bottom w:w="0" w:type="dxa"/>
            <w:right w:w="108" w:type="dxa"/>
          </w:tblCellMar>
        </w:tblPrEx>
        <w:trPr>
          <w:trHeight w:val="697" w:hRule="atLeast"/>
        </w:trPr>
        <w:tc>
          <w:tcPr>
            <w:tcW w:w="1428"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969"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63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782"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4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38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9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555" w:type="dxa"/>
            <w:tcBorders>
              <w:left w:val="single" w:color="auto" w:sz="4" w:space="0"/>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50"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23"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969"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63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66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504"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1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556"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97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4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38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59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507"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20"/>
                <w:szCs w:val="20"/>
                <w:highlight w:val="none"/>
              </w:rPr>
            </w:pPr>
          </w:p>
        </w:tc>
        <w:tc>
          <w:tcPr>
            <w:tcW w:w="423"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20"/>
                <w:szCs w:val="20"/>
                <w:highlight w:val="none"/>
              </w:rPr>
            </w:pPr>
          </w:p>
        </w:tc>
        <w:tc>
          <w:tcPr>
            <w:tcW w:w="969"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auto"/>
                <w:sz w:val="20"/>
                <w:szCs w:val="20"/>
                <w:highlight w:val="none"/>
                <w:lang w:eastAsia="zh-CN"/>
              </w:rPr>
            </w:pPr>
            <w:r>
              <w:rPr>
                <w:rFonts w:hint="eastAsia" w:ascii="仿宋_GB2312" w:hAnsi="宋体" w:eastAsia="仿宋_GB2312" w:cs="宋体"/>
                <w:color w:val="auto"/>
                <w:sz w:val="20"/>
                <w:szCs w:val="20"/>
                <w:highlight w:val="none"/>
                <w:lang w:eastAsia="zh-CN"/>
              </w:rPr>
              <w:t>社会保障和就业支出</w:t>
            </w:r>
          </w:p>
        </w:tc>
        <w:tc>
          <w:tcPr>
            <w:tcW w:w="633" w:type="dxa"/>
            <w:tcBorders>
              <w:top w:val="nil"/>
              <w:left w:val="nil"/>
              <w:bottom w:val="single" w:color="auto" w:sz="4" w:space="0"/>
              <w:right w:val="single" w:color="auto" w:sz="4" w:space="0"/>
            </w:tcBorders>
            <w:shd w:val="clear" w:color="000000" w:fill="FFFFFF"/>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1.65</w:t>
            </w:r>
          </w:p>
        </w:tc>
        <w:tc>
          <w:tcPr>
            <w:tcW w:w="660" w:type="dxa"/>
            <w:tcBorders>
              <w:top w:val="nil"/>
              <w:left w:val="nil"/>
              <w:bottom w:val="single" w:color="auto" w:sz="4" w:space="0"/>
              <w:right w:val="single" w:color="auto" w:sz="4" w:space="0"/>
            </w:tcBorders>
            <w:shd w:val="clear" w:color="000000" w:fill="FFFFFF"/>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1.65</w:t>
            </w:r>
          </w:p>
        </w:tc>
        <w:tc>
          <w:tcPr>
            <w:tcW w:w="504"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p>
        </w:tc>
        <w:tc>
          <w:tcPr>
            <w:tcW w:w="813"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969"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eastAsia="zh-CN"/>
              </w:rPr>
              <w:t>行政事业单位养老支出</w:t>
            </w:r>
          </w:p>
        </w:tc>
        <w:tc>
          <w:tcPr>
            <w:tcW w:w="633"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1.65</w:t>
            </w:r>
          </w:p>
        </w:tc>
        <w:tc>
          <w:tcPr>
            <w:tcW w:w="660"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1.65</w:t>
            </w:r>
          </w:p>
        </w:tc>
        <w:tc>
          <w:tcPr>
            <w:tcW w:w="50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81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p>
        </w:tc>
        <w:tc>
          <w:tcPr>
            <w:tcW w:w="969"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lang w:eastAsia="zh-CN"/>
              </w:rPr>
              <w:t>事业单位离退休</w:t>
            </w:r>
          </w:p>
        </w:tc>
        <w:tc>
          <w:tcPr>
            <w:tcW w:w="63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1.65</w:t>
            </w:r>
          </w:p>
        </w:tc>
        <w:tc>
          <w:tcPr>
            <w:tcW w:w="6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1.65</w:t>
            </w:r>
          </w:p>
        </w:tc>
        <w:tc>
          <w:tcPr>
            <w:tcW w:w="50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81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9"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1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9"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1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9"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1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9"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1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9"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1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9"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1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9"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1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9"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1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9"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1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37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9"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1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9"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1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63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1.65</w:t>
            </w: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1.65</w:t>
            </w:r>
            <w:r>
              <w:rPr>
                <w:rFonts w:hint="eastAsia" w:ascii="仿宋_GB2312" w:eastAsia="仿宋_GB2312"/>
                <w:color w:val="auto"/>
                <w:sz w:val="20"/>
                <w:szCs w:val="20"/>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1.65</w:t>
            </w:r>
            <w:r>
              <w:rPr>
                <w:rFonts w:hint="eastAsia" w:ascii="仿宋_GB2312" w:eastAsia="仿宋_GB2312"/>
                <w:color w:val="auto"/>
                <w:sz w:val="20"/>
                <w:szCs w:val="20"/>
                <w:highlight w:val="none"/>
              </w:rPr>
              <w:t>　</w:t>
            </w:r>
          </w:p>
        </w:tc>
        <w:tc>
          <w:tcPr>
            <w:tcW w:w="81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呼图壁县园户村镇良种场社区居民委员会支出总体情况表</w:t>
      </w:r>
    </w:p>
    <w:p>
      <w:pPr>
        <w:widowControl/>
        <w:spacing w:line="280" w:lineRule="exact"/>
        <w:jc w:val="both"/>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编制单位：呼图壁县园户村镇良种场社区居民委员会</w:t>
      </w:r>
      <w:r>
        <w:rPr>
          <w:rFonts w:hint="eastAsia" w:ascii="仿宋_GB2312" w:hAnsi="宋体" w:eastAsia="仿宋_GB2312"/>
          <w:color w:val="auto"/>
          <w:kern w:val="0"/>
          <w:sz w:val="24"/>
          <w:highlight w:val="none"/>
        </w:rPr>
        <w:t xml:space="preserve">          单位：万元</w:t>
      </w:r>
    </w:p>
    <w:tbl>
      <w:tblPr>
        <w:tblStyle w:val="6"/>
        <w:tblW w:w="9420" w:type="dxa"/>
        <w:tblInd w:w="-240" w:type="dxa"/>
        <w:tblLayout w:type="fixed"/>
        <w:tblCellMar>
          <w:top w:w="0" w:type="dxa"/>
          <w:left w:w="108" w:type="dxa"/>
          <w:bottom w:w="0" w:type="dxa"/>
          <w:right w:w="108" w:type="dxa"/>
        </w:tblCellMar>
      </w:tblPr>
      <w:tblGrid>
        <w:gridCol w:w="483"/>
        <w:gridCol w:w="435"/>
        <w:gridCol w:w="495"/>
        <w:gridCol w:w="2425"/>
        <w:gridCol w:w="1844"/>
        <w:gridCol w:w="1845"/>
        <w:gridCol w:w="1893"/>
      </w:tblGrid>
      <w:tr>
        <w:tblPrEx>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413"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42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42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208</w:t>
            </w: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eastAsia="zh-CN"/>
              </w:rPr>
              <w:t>社会保障和就业支出</w:t>
            </w: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1.65</w:t>
            </w: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rPr>
              <w:t>　</w:t>
            </w:r>
            <w:r>
              <w:rPr>
                <w:rFonts w:hint="eastAsia" w:ascii="宋体" w:hAnsi="宋体" w:cs="宋体"/>
                <w:b/>
                <w:bCs/>
                <w:color w:val="auto"/>
                <w:kern w:val="0"/>
                <w:sz w:val="22"/>
                <w:szCs w:val="22"/>
                <w:highlight w:val="none"/>
                <w:lang w:val="en-US" w:eastAsia="zh-CN"/>
              </w:rPr>
              <w:t>1.65</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208</w:t>
            </w: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w:t>
            </w: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eastAsia="zh-CN"/>
              </w:rPr>
              <w:t>行政事业单位养老支出</w:t>
            </w: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1.65</w:t>
            </w: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1.65</w:t>
            </w: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208</w:t>
            </w: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w:t>
            </w: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eastAsia="zh-CN"/>
              </w:rPr>
              <w:t>事业单位离退休</w:t>
            </w: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1.65</w:t>
            </w: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rPr>
              <w:t>　</w:t>
            </w:r>
            <w:r>
              <w:rPr>
                <w:rFonts w:hint="eastAsia" w:ascii="宋体" w:hAnsi="宋体" w:cs="宋体"/>
                <w:b/>
                <w:bCs/>
                <w:color w:val="auto"/>
                <w:kern w:val="0"/>
                <w:sz w:val="22"/>
                <w:szCs w:val="22"/>
                <w:highlight w:val="none"/>
                <w:lang w:val="en-US" w:eastAsia="zh-CN"/>
              </w:rPr>
              <w:t>1.65</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rPr>
                <w:color w:val="auto"/>
                <w:highlight w:val="none"/>
              </w:rPr>
            </w:pPr>
          </w:p>
        </w:tc>
        <w:tc>
          <w:tcPr>
            <w:tcW w:w="435" w:type="dxa"/>
            <w:tcBorders>
              <w:top w:val="nil"/>
              <w:left w:val="nil"/>
              <w:bottom w:val="single" w:color="auto" w:sz="4" w:space="0"/>
              <w:right w:val="single" w:color="auto" w:sz="4" w:space="0"/>
            </w:tcBorders>
            <w:vAlign w:val="center"/>
          </w:tcPr>
          <w:p>
            <w:pPr>
              <w:rPr>
                <w:color w:val="auto"/>
                <w:highlight w:val="none"/>
              </w:rPr>
            </w:pPr>
          </w:p>
        </w:tc>
        <w:tc>
          <w:tcPr>
            <w:tcW w:w="495" w:type="dxa"/>
            <w:tcBorders>
              <w:top w:val="nil"/>
              <w:left w:val="nil"/>
              <w:bottom w:val="single" w:color="auto" w:sz="4" w:space="0"/>
              <w:right w:val="single" w:color="auto" w:sz="4" w:space="0"/>
            </w:tcBorders>
            <w:vAlign w:val="center"/>
          </w:tcPr>
          <w:p>
            <w:pPr>
              <w:rPr>
                <w:color w:val="auto"/>
                <w:highlight w:val="none"/>
              </w:rPr>
            </w:pPr>
          </w:p>
        </w:tc>
        <w:tc>
          <w:tcPr>
            <w:tcW w:w="2425" w:type="dxa"/>
            <w:tcBorders>
              <w:top w:val="nil"/>
              <w:left w:val="nil"/>
              <w:bottom w:val="single" w:color="auto" w:sz="4" w:space="0"/>
              <w:right w:val="single" w:color="auto" w:sz="4" w:space="0"/>
            </w:tcBorders>
            <w:vAlign w:val="center"/>
          </w:tcPr>
          <w:p>
            <w:pPr>
              <w:rPr>
                <w:color w:val="auto"/>
                <w:highlight w:val="none"/>
              </w:rPr>
            </w:pPr>
          </w:p>
        </w:tc>
        <w:tc>
          <w:tcPr>
            <w:tcW w:w="1844" w:type="dxa"/>
            <w:tcBorders>
              <w:top w:val="nil"/>
              <w:left w:val="nil"/>
              <w:bottom w:val="single" w:color="auto" w:sz="4" w:space="0"/>
              <w:right w:val="single" w:color="auto" w:sz="4" w:space="0"/>
            </w:tcBorders>
            <w:vAlign w:val="center"/>
          </w:tcPr>
          <w:p>
            <w:pPr>
              <w:rPr>
                <w:color w:val="auto"/>
                <w:highlight w:val="none"/>
              </w:rPr>
            </w:pPr>
          </w:p>
        </w:tc>
        <w:tc>
          <w:tcPr>
            <w:tcW w:w="1845" w:type="dxa"/>
            <w:tcBorders>
              <w:top w:val="nil"/>
              <w:left w:val="nil"/>
              <w:bottom w:val="single" w:color="auto" w:sz="4" w:space="0"/>
              <w:right w:val="single" w:color="auto" w:sz="4" w:space="0"/>
            </w:tcBorders>
            <w:vAlign w:val="center"/>
          </w:tcPr>
          <w:p>
            <w:pPr>
              <w:rPr>
                <w:color w:val="auto"/>
                <w:highlight w:val="none"/>
              </w:rPr>
            </w:pPr>
          </w:p>
        </w:tc>
        <w:tc>
          <w:tcPr>
            <w:tcW w:w="1893" w:type="dxa"/>
            <w:tcBorders>
              <w:top w:val="nil"/>
              <w:left w:val="nil"/>
              <w:bottom w:val="single" w:color="auto" w:sz="4" w:space="0"/>
              <w:right w:val="single" w:color="auto" w:sz="4" w:space="0"/>
            </w:tcBorders>
            <w:vAlign w:val="center"/>
          </w:tcPr>
          <w:p>
            <w:pPr>
              <w:rPr>
                <w:color w:val="auto"/>
                <w:highlight w:val="none"/>
              </w:rPr>
            </w:pPr>
          </w:p>
        </w:tc>
      </w:tr>
      <w:tr>
        <w:tblPrEx>
          <w:tblCellMar>
            <w:top w:w="0" w:type="dxa"/>
            <w:left w:w="108" w:type="dxa"/>
            <w:bottom w:w="0" w:type="dxa"/>
            <w:right w:w="108" w:type="dxa"/>
          </w:tblCellMar>
        </w:tblPrEx>
        <w:trPr>
          <w:trHeight w:val="405" w:hRule="atLeast"/>
        </w:trPr>
        <w:tc>
          <w:tcPr>
            <w:tcW w:w="48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35"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95"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4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vAlign w:val="center"/>
          </w:tcPr>
          <w:p>
            <w:pPr>
              <w:widowControl/>
              <w:spacing w:line="28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1.65</w:t>
            </w:r>
          </w:p>
        </w:tc>
        <w:tc>
          <w:tcPr>
            <w:tcW w:w="1845" w:type="dxa"/>
            <w:tcBorders>
              <w:top w:val="nil"/>
              <w:left w:val="nil"/>
              <w:bottom w:val="single" w:color="auto" w:sz="4" w:space="0"/>
              <w:right w:val="single" w:color="auto" w:sz="4" w:space="0"/>
            </w:tcBorders>
            <w:vAlign w:val="center"/>
          </w:tcPr>
          <w:p>
            <w:pPr>
              <w:widowControl/>
              <w:spacing w:line="28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1.65</w:t>
            </w:r>
          </w:p>
        </w:tc>
        <w:tc>
          <w:tcPr>
            <w:tcW w:w="1893"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r>
    </w:tbl>
    <w:p>
      <w:pPr>
        <w:rPr>
          <w:rFonts w:hint="eastAsia"/>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编制单位：呼图壁县园户村镇良种场社区居民委员会</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单位：万元</w:t>
      </w:r>
    </w:p>
    <w:tbl>
      <w:tblPr>
        <w:tblStyle w:val="6"/>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1.65</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1.65</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1.65</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1.65</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1.65</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1.65</w:t>
            </w:r>
            <w:r>
              <w:rPr>
                <w:rFonts w:hint="eastAsia" w:ascii="宋体" w:hAnsi="宋体" w:cs="宋体"/>
                <w:color w:val="auto"/>
                <w:kern w:val="0"/>
                <w:sz w:val="22"/>
                <w:szCs w:val="22"/>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1.65</w:t>
            </w:r>
            <w:r>
              <w:rPr>
                <w:rFonts w:hint="eastAsia" w:ascii="宋体" w:hAnsi="宋体" w:cs="宋体"/>
                <w:color w:val="auto"/>
                <w:kern w:val="0"/>
                <w:sz w:val="22"/>
                <w:szCs w:val="22"/>
                <w:highlight w:val="none"/>
              </w:rPr>
              <w:t>　</w:t>
            </w:r>
          </w:p>
        </w:tc>
        <w:tc>
          <w:tcPr>
            <w:tcW w:w="2268"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6"/>
        <w:tblW w:w="9327" w:type="dxa"/>
        <w:tblInd w:w="-147" w:type="dxa"/>
        <w:tblLayout w:type="fixed"/>
        <w:tblCellMar>
          <w:top w:w="0" w:type="dxa"/>
          <w:left w:w="108" w:type="dxa"/>
          <w:bottom w:w="0" w:type="dxa"/>
          <w:right w:w="108" w:type="dxa"/>
        </w:tblCellMar>
      </w:tblPr>
      <w:tblGrid>
        <w:gridCol w:w="587"/>
        <w:gridCol w:w="500"/>
        <w:gridCol w:w="503"/>
        <w:gridCol w:w="3645"/>
        <w:gridCol w:w="270"/>
        <w:gridCol w:w="495"/>
        <w:gridCol w:w="60"/>
        <w:gridCol w:w="1566"/>
        <w:gridCol w:w="1701"/>
      </w:tblGrid>
      <w:tr>
        <w:tblPrEx>
          <w:tblCellMar>
            <w:top w:w="0" w:type="dxa"/>
            <w:left w:w="108" w:type="dxa"/>
            <w:bottom w:w="0" w:type="dxa"/>
            <w:right w:w="108" w:type="dxa"/>
          </w:tblCellMar>
        </w:tblPrEx>
        <w:trPr>
          <w:trHeight w:val="450" w:hRule="atLeast"/>
        </w:trPr>
        <w:tc>
          <w:tcPr>
            <w:tcW w:w="9327" w:type="dxa"/>
            <w:gridSpan w:val="9"/>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5235" w:type="dxa"/>
            <w:gridSpan w:val="4"/>
            <w:tcBorders>
              <w:top w:val="nil"/>
              <w:left w:val="nil"/>
              <w:bottom w:val="nil"/>
              <w:right w:val="nil"/>
            </w:tcBorders>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1"/>
                <w:szCs w:val="21"/>
                <w:highlight w:val="none"/>
                <w:lang w:eastAsia="zh-CN"/>
              </w:rPr>
              <w:t>呼图壁县园户村镇良种场社区居民委员会</w:t>
            </w:r>
          </w:p>
        </w:tc>
        <w:tc>
          <w:tcPr>
            <w:tcW w:w="270"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495"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3"/>
            <w:tcBorders>
              <w:top w:val="nil"/>
              <w:left w:val="nil"/>
              <w:bottom w:val="nil"/>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5235"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092"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90"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364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825" w:type="dxa"/>
            <w:gridSpan w:val="3"/>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56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8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364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825"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56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208</w:t>
            </w:r>
          </w:p>
        </w:tc>
        <w:tc>
          <w:tcPr>
            <w:tcW w:w="5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val="0"/>
                <w:bCs/>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val="0"/>
                <w:bCs/>
                <w:color w:val="auto"/>
                <w:kern w:val="0"/>
                <w:sz w:val="20"/>
                <w:szCs w:val="20"/>
                <w:highlight w:val="none"/>
              </w:rPr>
            </w:pPr>
          </w:p>
        </w:tc>
        <w:tc>
          <w:tcPr>
            <w:tcW w:w="3645"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b w:val="0"/>
                <w:bCs/>
                <w:color w:val="auto"/>
                <w:kern w:val="0"/>
                <w:sz w:val="20"/>
                <w:szCs w:val="20"/>
                <w:highlight w:val="none"/>
                <w:lang w:eastAsia="zh-CN"/>
              </w:rPr>
            </w:pPr>
            <w:r>
              <w:rPr>
                <w:rFonts w:hint="eastAsia" w:ascii="仿宋_GB2312" w:hAnsi="宋体" w:eastAsia="仿宋_GB2312" w:cs="宋体"/>
                <w:b w:val="0"/>
                <w:bCs/>
                <w:color w:val="auto"/>
                <w:kern w:val="0"/>
                <w:sz w:val="20"/>
                <w:szCs w:val="20"/>
                <w:highlight w:val="none"/>
                <w:lang w:eastAsia="zh-CN"/>
              </w:rPr>
              <w:t>社会保障和就业支出</w:t>
            </w:r>
          </w:p>
        </w:tc>
        <w:tc>
          <w:tcPr>
            <w:tcW w:w="825" w:type="dxa"/>
            <w:gridSpan w:val="3"/>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1.65</w:t>
            </w:r>
          </w:p>
        </w:tc>
        <w:tc>
          <w:tcPr>
            <w:tcW w:w="1566"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1.65</w:t>
            </w:r>
          </w:p>
        </w:tc>
        <w:tc>
          <w:tcPr>
            <w:tcW w:w="1701"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208</w:t>
            </w:r>
          </w:p>
        </w:tc>
        <w:tc>
          <w:tcPr>
            <w:tcW w:w="500"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50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3645"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行政事业单位养老支出</w:t>
            </w:r>
          </w:p>
        </w:tc>
        <w:tc>
          <w:tcPr>
            <w:tcW w:w="825" w:type="dxa"/>
            <w:gridSpan w:val="3"/>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1.65</w:t>
            </w:r>
          </w:p>
        </w:tc>
        <w:tc>
          <w:tcPr>
            <w:tcW w:w="1566"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208</w:t>
            </w:r>
          </w:p>
        </w:tc>
        <w:tc>
          <w:tcPr>
            <w:tcW w:w="500"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503"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645"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事业单位离退休</w:t>
            </w:r>
          </w:p>
        </w:tc>
        <w:tc>
          <w:tcPr>
            <w:tcW w:w="825" w:type="dxa"/>
            <w:gridSpan w:val="3"/>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1.65</w:t>
            </w:r>
          </w:p>
        </w:tc>
        <w:tc>
          <w:tcPr>
            <w:tcW w:w="1566"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364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825"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56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8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3645"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825" w:type="dxa"/>
            <w:gridSpan w:val="3"/>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1.65</w:t>
            </w:r>
          </w:p>
        </w:tc>
        <w:tc>
          <w:tcPr>
            <w:tcW w:w="1566"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6"/>
        <w:tblW w:w="9328" w:type="dxa"/>
        <w:tblInd w:w="-148" w:type="dxa"/>
        <w:tblLayout w:type="fixed"/>
        <w:tblCellMar>
          <w:top w:w="0" w:type="dxa"/>
          <w:left w:w="108" w:type="dxa"/>
          <w:bottom w:w="0" w:type="dxa"/>
          <w:right w:w="108" w:type="dxa"/>
        </w:tblCellMar>
      </w:tblPr>
      <w:tblGrid>
        <w:gridCol w:w="757"/>
        <w:gridCol w:w="577"/>
        <w:gridCol w:w="3452"/>
        <w:gridCol w:w="585"/>
        <w:gridCol w:w="240"/>
        <w:gridCol w:w="315"/>
        <w:gridCol w:w="976"/>
        <w:gridCol w:w="725"/>
        <w:gridCol w:w="1701"/>
      </w:tblGrid>
      <w:tr>
        <w:tblPrEx>
          <w:tblCellMar>
            <w:top w:w="0" w:type="dxa"/>
            <w:left w:w="108" w:type="dxa"/>
            <w:bottom w:w="0" w:type="dxa"/>
            <w:right w:w="108" w:type="dxa"/>
          </w:tblCellMar>
        </w:tblPrEx>
        <w:trPr>
          <w:trHeight w:val="375" w:hRule="atLeast"/>
        </w:trPr>
        <w:tc>
          <w:tcPr>
            <w:tcW w:w="9328" w:type="dxa"/>
            <w:gridSpan w:val="9"/>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5371" w:type="dxa"/>
            <w:gridSpan w:val="4"/>
            <w:tcBorders>
              <w:top w:val="nil"/>
              <w:left w:val="nil"/>
              <w:bottom w:val="nil"/>
              <w:right w:val="nil"/>
            </w:tcBorders>
            <w:vAlign w:val="center"/>
          </w:tcPr>
          <w:p>
            <w:pPr>
              <w:widowControl/>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lang w:eastAsia="zh-CN"/>
              </w:rPr>
              <w:t>编制单位：呼图壁县园户村镇良种场社区居民委员会</w:t>
            </w:r>
          </w:p>
        </w:tc>
        <w:tc>
          <w:tcPr>
            <w:tcW w:w="240" w:type="dxa"/>
            <w:tcBorders>
              <w:top w:val="nil"/>
              <w:left w:val="nil"/>
              <w:bottom w:val="nil"/>
              <w:right w:val="nil"/>
            </w:tcBorders>
            <w:vAlign w:val="center"/>
          </w:tcPr>
          <w:p>
            <w:pPr>
              <w:widowControl/>
              <w:jc w:val="left"/>
              <w:rPr>
                <w:rFonts w:ascii="仿宋_GB2312" w:hAnsi="宋体" w:eastAsia="仿宋_GB2312" w:cs="宋体"/>
                <w:color w:val="auto"/>
                <w:kern w:val="0"/>
                <w:sz w:val="21"/>
                <w:szCs w:val="21"/>
                <w:highlight w:val="none"/>
              </w:rPr>
            </w:pPr>
          </w:p>
        </w:tc>
        <w:tc>
          <w:tcPr>
            <w:tcW w:w="1291"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786"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542" w:type="dxa"/>
            <w:gridSpan w:val="6"/>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452"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140" w:type="dxa"/>
            <w:gridSpan w:val="3"/>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452"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140" w:type="dxa"/>
            <w:gridSpan w:val="3"/>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3452"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对个人和家庭的补助</w:t>
            </w:r>
          </w:p>
        </w:tc>
        <w:tc>
          <w:tcPr>
            <w:tcW w:w="1140" w:type="dxa"/>
            <w:gridSpan w:val="3"/>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1.65</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1.65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3452"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退休费</w:t>
            </w:r>
          </w:p>
        </w:tc>
        <w:tc>
          <w:tcPr>
            <w:tcW w:w="1140" w:type="dxa"/>
            <w:gridSpan w:val="3"/>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1.59</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1.59</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3452"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奖励金</w:t>
            </w:r>
          </w:p>
        </w:tc>
        <w:tc>
          <w:tcPr>
            <w:tcW w:w="1140" w:type="dxa"/>
            <w:gridSpan w:val="3"/>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0.06</w:t>
            </w:r>
          </w:p>
        </w:tc>
        <w:tc>
          <w:tcPr>
            <w:tcW w:w="1701" w:type="dxa"/>
            <w:gridSpan w:val="2"/>
            <w:tcBorders>
              <w:top w:val="nil"/>
              <w:left w:val="nil"/>
              <w:bottom w:val="single" w:color="auto" w:sz="4" w:space="0"/>
              <w:right w:val="single" w:color="auto" w:sz="4" w:space="0"/>
            </w:tcBorders>
            <w:vAlign w:val="center"/>
          </w:tcPr>
          <w:p>
            <w:pPr>
              <w:widowControl/>
              <w:ind w:right="147" w:rightChars="7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0.06</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5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140" w:type="dxa"/>
            <w:gridSpan w:val="3"/>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5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140" w:type="dxa"/>
            <w:gridSpan w:val="3"/>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1.65</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1.65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6"/>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1027"/>
        <w:gridCol w:w="360"/>
        <w:gridCol w:w="343"/>
        <w:gridCol w:w="639"/>
        <w:gridCol w:w="404"/>
        <w:gridCol w:w="214"/>
        <w:gridCol w:w="419"/>
        <w:gridCol w:w="618"/>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7"/>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trPr>
        <w:tc>
          <w:tcPr>
            <w:tcW w:w="5230" w:type="dxa"/>
            <w:gridSpan w:val="7"/>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1"/>
                <w:szCs w:val="21"/>
                <w:highlight w:val="none"/>
                <w:lang w:eastAsia="zh-CN"/>
              </w:rPr>
              <w:t>呼图壁县园户村镇良种场社区居民委员会</w:t>
            </w:r>
            <w:r>
              <w:rPr>
                <w:rFonts w:hint="eastAsia" w:ascii="仿宋_GB2312" w:hAnsi="宋体" w:eastAsia="仿宋_GB2312"/>
                <w:color w:val="auto"/>
                <w:kern w:val="0"/>
                <w:sz w:val="21"/>
                <w:szCs w:val="21"/>
                <w:highlight w:val="none"/>
              </w:rPr>
              <w:t xml:space="preserve"> </w:t>
            </w:r>
          </w:p>
        </w:tc>
        <w:tc>
          <w:tcPr>
            <w:tcW w:w="360"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386"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1027"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36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343"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1027"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36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343"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hint="eastAsia" w:ascii="仿宋_GB2312" w:hAnsi="宋体" w:eastAsia="仿宋_GB2312"/>
                <w:color w:val="auto"/>
                <w:kern w:val="0"/>
                <w:sz w:val="32"/>
                <w:szCs w:val="32"/>
                <w:highlight w:val="none"/>
                <w:lang w:eastAsia="zh-Hans"/>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828" w:type="dxa"/>
            <w:vAlign w:val="top"/>
          </w:tcPr>
          <w:p>
            <w:pPr>
              <w:widowControl/>
              <w:jc w:val="left"/>
              <w:outlineLvl w:val="1"/>
              <w:rPr>
                <w:rFonts w:ascii="仿宋_GB2312" w:hAnsi="宋体" w:eastAsia="仿宋_GB2312"/>
                <w:color w:val="auto"/>
                <w:kern w:val="0"/>
                <w:sz w:val="32"/>
                <w:szCs w:val="32"/>
                <w:highlight w:val="none"/>
              </w:rPr>
            </w:pPr>
          </w:p>
        </w:tc>
        <w:tc>
          <w:tcPr>
            <w:tcW w:w="1400" w:type="dxa"/>
            <w:vAlign w:val="top"/>
          </w:tcPr>
          <w:p>
            <w:pPr>
              <w:widowControl/>
              <w:jc w:val="left"/>
              <w:outlineLvl w:val="1"/>
              <w:rPr>
                <w:rFonts w:ascii="仿宋_GB2312" w:hAnsi="宋体" w:eastAsia="仿宋_GB2312"/>
                <w:color w:val="auto"/>
                <w:kern w:val="0"/>
                <w:sz w:val="32"/>
                <w:szCs w:val="32"/>
                <w:highlight w:val="none"/>
              </w:rPr>
            </w:pPr>
          </w:p>
        </w:tc>
        <w:tc>
          <w:tcPr>
            <w:tcW w:w="732" w:type="dxa"/>
            <w:vAlign w:val="top"/>
          </w:tcPr>
          <w:p>
            <w:pPr>
              <w:widowControl/>
              <w:jc w:val="left"/>
              <w:outlineLvl w:val="1"/>
              <w:rPr>
                <w:rFonts w:ascii="仿宋_GB2312" w:hAnsi="宋体" w:eastAsia="仿宋_GB2312"/>
                <w:color w:val="auto"/>
                <w:kern w:val="0"/>
                <w:sz w:val="32"/>
                <w:szCs w:val="32"/>
                <w:highlight w:val="none"/>
              </w:rPr>
            </w:pPr>
          </w:p>
        </w:tc>
        <w:tc>
          <w:tcPr>
            <w:tcW w:w="1027" w:type="dxa"/>
            <w:vAlign w:val="top"/>
          </w:tcPr>
          <w:p>
            <w:pPr>
              <w:widowControl/>
              <w:jc w:val="left"/>
              <w:outlineLvl w:val="1"/>
              <w:rPr>
                <w:rFonts w:ascii="仿宋_GB2312" w:hAnsi="宋体" w:eastAsia="仿宋_GB2312"/>
                <w:color w:val="auto"/>
                <w:kern w:val="0"/>
                <w:sz w:val="32"/>
                <w:szCs w:val="32"/>
                <w:highlight w:val="none"/>
              </w:rPr>
            </w:pPr>
          </w:p>
        </w:tc>
        <w:tc>
          <w:tcPr>
            <w:tcW w:w="360" w:type="dxa"/>
            <w:vAlign w:val="top"/>
          </w:tcPr>
          <w:p>
            <w:pPr>
              <w:widowControl/>
              <w:jc w:val="left"/>
              <w:outlineLvl w:val="1"/>
              <w:rPr>
                <w:rFonts w:ascii="仿宋_GB2312" w:hAnsi="宋体" w:eastAsia="仿宋_GB2312"/>
                <w:color w:val="auto"/>
                <w:kern w:val="0"/>
                <w:sz w:val="32"/>
                <w:szCs w:val="32"/>
                <w:highlight w:val="none"/>
              </w:rPr>
            </w:pPr>
          </w:p>
        </w:tc>
        <w:tc>
          <w:tcPr>
            <w:tcW w:w="343" w:type="dxa"/>
            <w:vAlign w:val="top"/>
          </w:tcPr>
          <w:p>
            <w:pPr>
              <w:widowControl/>
              <w:jc w:val="left"/>
              <w:outlineLvl w:val="1"/>
              <w:rPr>
                <w:rFonts w:ascii="仿宋_GB2312" w:hAnsi="宋体" w:eastAsia="仿宋_GB2312"/>
                <w:color w:val="auto"/>
                <w:kern w:val="0"/>
                <w:sz w:val="32"/>
                <w:szCs w:val="32"/>
                <w:highlight w:val="none"/>
              </w:rPr>
            </w:pPr>
          </w:p>
        </w:tc>
        <w:tc>
          <w:tcPr>
            <w:tcW w:w="639" w:type="dxa"/>
            <w:vAlign w:val="top"/>
          </w:tcPr>
          <w:p>
            <w:pPr>
              <w:widowControl/>
              <w:jc w:val="left"/>
              <w:outlineLvl w:val="1"/>
              <w:rPr>
                <w:rFonts w:ascii="仿宋_GB2312" w:hAnsi="宋体" w:eastAsia="仿宋_GB2312"/>
                <w:color w:val="auto"/>
                <w:kern w:val="0"/>
                <w:sz w:val="32"/>
                <w:szCs w:val="32"/>
                <w:highlight w:val="none"/>
              </w:rPr>
            </w:pP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p>
        </w:tc>
        <w:tc>
          <w:tcPr>
            <w:tcW w:w="419" w:type="dxa"/>
            <w:vAlign w:val="top"/>
          </w:tcPr>
          <w:p>
            <w:pPr>
              <w:widowControl/>
              <w:jc w:val="left"/>
              <w:outlineLvl w:val="1"/>
              <w:rPr>
                <w:rFonts w:ascii="仿宋_GB2312" w:hAnsi="宋体" w:eastAsia="仿宋_GB2312"/>
                <w:color w:val="auto"/>
                <w:kern w:val="0"/>
                <w:sz w:val="32"/>
                <w:szCs w:val="32"/>
                <w:highlight w:val="none"/>
              </w:rPr>
            </w:pPr>
          </w:p>
        </w:tc>
        <w:tc>
          <w:tcPr>
            <w:tcW w:w="618" w:type="dxa"/>
            <w:vAlign w:val="top"/>
          </w:tcPr>
          <w:p>
            <w:pPr>
              <w:widowControl/>
              <w:jc w:val="left"/>
              <w:outlineLvl w:val="1"/>
              <w:rPr>
                <w:rFonts w:ascii="仿宋_GB2312" w:hAnsi="宋体" w:eastAsia="仿宋_GB2312"/>
                <w:color w:val="auto"/>
                <w:kern w:val="0"/>
                <w:sz w:val="32"/>
                <w:szCs w:val="32"/>
                <w:highlight w:val="none"/>
              </w:rPr>
            </w:pPr>
          </w:p>
        </w:tc>
        <w:tc>
          <w:tcPr>
            <w:tcW w:w="420" w:type="dxa"/>
            <w:vAlign w:val="top"/>
          </w:tcPr>
          <w:p>
            <w:pPr>
              <w:widowControl/>
              <w:jc w:val="left"/>
              <w:outlineLvl w:val="1"/>
              <w:rPr>
                <w:rFonts w:ascii="仿宋_GB2312" w:hAnsi="宋体" w:eastAsia="仿宋_GB2312"/>
                <w:color w:val="auto"/>
                <w:kern w:val="0"/>
                <w:sz w:val="32"/>
                <w:szCs w:val="32"/>
                <w:highlight w:val="none"/>
              </w:rPr>
            </w:pPr>
          </w:p>
        </w:tc>
        <w:tc>
          <w:tcPr>
            <w:tcW w:w="420" w:type="dxa"/>
            <w:vAlign w:val="top"/>
          </w:tcPr>
          <w:p>
            <w:pPr>
              <w:widowControl/>
              <w:jc w:val="left"/>
              <w:outlineLvl w:val="1"/>
              <w:rPr>
                <w:rFonts w:ascii="仿宋_GB2312" w:hAnsi="宋体" w:eastAsia="仿宋_GB2312"/>
                <w:color w:val="auto"/>
                <w:kern w:val="0"/>
                <w:sz w:val="32"/>
                <w:szCs w:val="32"/>
                <w:highlight w:val="none"/>
              </w:rPr>
            </w:pP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vAlign w:val="center"/>
          </w:tcPr>
          <w:p>
            <w:pPr>
              <w:widowControl/>
              <w:jc w:val="center"/>
              <w:outlineLvl w:val="1"/>
              <w:rPr>
                <w:rFonts w:ascii="仿宋_GB2312" w:hAnsi="宋体" w:eastAsia="仿宋_GB2312"/>
                <w:color w:val="auto"/>
                <w:kern w:val="0"/>
                <w:szCs w:val="21"/>
                <w:highlight w:val="none"/>
              </w:rPr>
            </w:pPr>
          </w:p>
        </w:tc>
        <w:tc>
          <w:tcPr>
            <w:tcW w:w="102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outlineLvl w:val="1"/>
        <w:rPr>
          <w:rFonts w:hint="eastAsia" w:ascii="仿宋_GB2312" w:hAnsi="宋体" w:eastAsia="仿宋_GB2312"/>
          <w:b/>
          <w:bCs/>
          <w:kern w:val="0"/>
          <w:sz w:val="28"/>
          <w:szCs w:val="28"/>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b/>
          <w:bCs/>
          <w:sz w:val="28"/>
          <w:szCs w:val="28"/>
          <w:highlight w:val="none"/>
        </w:rPr>
        <w:t>202</w:t>
      </w:r>
      <w:r>
        <w:rPr>
          <w:rFonts w:hint="eastAsia"/>
          <w:b/>
          <w:bCs/>
          <w:sz w:val="28"/>
          <w:szCs w:val="28"/>
          <w:highlight w:val="none"/>
          <w:lang w:val="en-US" w:eastAsia="zh-CN"/>
        </w:rPr>
        <w:t>4</w:t>
      </w:r>
      <w:r>
        <w:rPr>
          <w:b/>
          <w:bCs/>
          <w:sz w:val="28"/>
          <w:szCs w:val="28"/>
          <w:highlight w:val="none"/>
        </w:rPr>
        <w:t>年未安排项目支出预算，此表</w:t>
      </w:r>
      <w:r>
        <w:rPr>
          <w:rFonts w:hint="eastAsia"/>
          <w:b/>
          <w:bCs/>
          <w:sz w:val="28"/>
          <w:szCs w:val="28"/>
          <w:highlight w:val="none"/>
          <w:lang w:val="en-US" w:eastAsia="zh-CN"/>
        </w:rPr>
        <w:t>为空</w:t>
      </w:r>
      <w:r>
        <w:rPr>
          <w:rFonts w:hint="eastAsia" w:ascii="仿宋_GB2312" w:hAnsi="宋体" w:eastAsia="仿宋_GB2312"/>
          <w:b/>
          <w:bCs/>
          <w:kern w:val="0"/>
          <w:sz w:val="28"/>
          <w:szCs w:val="28"/>
          <w:highlight w:val="none"/>
        </w:rPr>
        <w:t>。</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编制单位：呼图壁县园户村镇良种场社区居民委员会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备注：本单位</w:t>
      </w:r>
      <w:r>
        <w:rPr>
          <w:rFonts w:hint="eastAsia" w:ascii="仿宋_GB2312" w:hAnsi="仿宋_GB2312" w:eastAsia="仿宋_GB2312" w:cs="仿宋_GB2312"/>
          <w:b/>
          <w:bCs/>
          <w:sz w:val="28"/>
          <w:szCs w:val="28"/>
          <w:highlight w:val="none"/>
        </w:rPr>
        <w:t>202</w:t>
      </w:r>
      <w:r>
        <w:rPr>
          <w:rFonts w:hint="eastAsia" w:ascii="仿宋_GB2312" w:hAnsi="仿宋_GB2312" w:eastAsia="仿宋_GB2312" w:cs="仿宋_GB2312"/>
          <w:b/>
          <w:bCs/>
          <w:sz w:val="28"/>
          <w:szCs w:val="28"/>
          <w:highlight w:val="none"/>
          <w:lang w:val="en-US" w:eastAsia="zh-CN"/>
        </w:rPr>
        <w:t>4</w:t>
      </w:r>
      <w:r>
        <w:rPr>
          <w:rFonts w:hint="eastAsia" w:ascii="仿宋_GB2312" w:hAnsi="仿宋_GB2312" w:eastAsia="仿宋_GB2312" w:cs="仿宋_GB2312"/>
          <w:b/>
          <w:bCs/>
          <w:sz w:val="28"/>
          <w:szCs w:val="28"/>
          <w:highlight w:val="none"/>
        </w:rPr>
        <w:t>年</w:t>
      </w:r>
      <w:r>
        <w:rPr>
          <w:rFonts w:hint="eastAsia" w:ascii="仿宋_GB2312" w:hAnsi="仿宋_GB2312" w:eastAsia="仿宋_GB2312" w:cs="仿宋_GB2312"/>
          <w:b/>
          <w:bCs/>
          <w:sz w:val="28"/>
          <w:szCs w:val="28"/>
          <w:highlight w:val="none"/>
          <w:lang w:val="en-US" w:eastAsia="zh-CN"/>
        </w:rPr>
        <w:t>无政府性基金</w:t>
      </w:r>
      <w:r>
        <w:rPr>
          <w:rFonts w:hint="eastAsia" w:ascii="仿宋_GB2312" w:hAnsi="仿宋_GB2312" w:eastAsia="仿宋_GB2312" w:cs="仿宋_GB2312"/>
          <w:b/>
          <w:bCs/>
          <w:sz w:val="28"/>
          <w:szCs w:val="28"/>
          <w:highlight w:val="none"/>
        </w:rPr>
        <w:t>支出预算，此表</w:t>
      </w:r>
      <w:r>
        <w:rPr>
          <w:rFonts w:hint="eastAsia" w:ascii="仿宋_GB2312" w:hAnsi="仿宋_GB2312" w:eastAsia="仿宋_GB2312" w:cs="仿宋_GB2312"/>
          <w:b/>
          <w:bCs/>
          <w:sz w:val="28"/>
          <w:szCs w:val="28"/>
          <w:highlight w:val="none"/>
          <w:lang w:val="en-US" w:eastAsia="zh-CN"/>
        </w:rPr>
        <w:t>为空</w:t>
      </w:r>
      <w:r>
        <w:rPr>
          <w:rFonts w:hint="eastAsia" w:ascii="仿宋_GB2312" w:hAnsi="仿宋_GB2312" w:eastAsia="仿宋_GB2312" w:cs="仿宋_GB2312"/>
          <w:b/>
          <w:bCs/>
          <w:sz w:val="28"/>
          <w:szCs w:val="28"/>
          <w:highlight w:val="none"/>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编制单位：呼图壁县园户村镇良种场社区居民委员会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仿宋_GB2312" w:eastAsia="仿宋_GB2312" w:cs="仿宋_GB2312"/>
          <w:b/>
          <w:bCs w:val="0"/>
          <w:sz w:val="28"/>
          <w:szCs w:val="28"/>
          <w:highlight w:val="none"/>
        </w:rPr>
        <w:t>202</w:t>
      </w:r>
      <w:r>
        <w:rPr>
          <w:rFonts w:hint="eastAsia" w:ascii="仿宋_GB2312" w:hAnsi="仿宋_GB2312" w:eastAsia="仿宋_GB2312" w:cs="仿宋_GB2312"/>
          <w:b/>
          <w:bCs w:val="0"/>
          <w:sz w:val="28"/>
          <w:szCs w:val="28"/>
          <w:highlight w:val="none"/>
          <w:lang w:val="en-US" w:eastAsia="zh-CN"/>
        </w:rPr>
        <w:t>4</w:t>
      </w:r>
      <w:r>
        <w:rPr>
          <w:rFonts w:hint="eastAsia" w:ascii="仿宋_GB2312" w:hAnsi="仿宋_GB2312" w:eastAsia="仿宋_GB2312" w:cs="仿宋_GB2312"/>
          <w:b/>
          <w:bCs w:val="0"/>
          <w:sz w:val="28"/>
          <w:szCs w:val="28"/>
          <w:highlight w:val="none"/>
        </w:rPr>
        <w:t>年</w:t>
      </w:r>
      <w:r>
        <w:rPr>
          <w:rFonts w:hint="eastAsia" w:ascii="仿宋_GB2312" w:hAnsi="仿宋_GB2312" w:eastAsia="仿宋_GB2312" w:cs="仿宋_GB2312"/>
          <w:b/>
          <w:bCs w:val="0"/>
          <w:sz w:val="28"/>
          <w:szCs w:val="28"/>
          <w:highlight w:val="none"/>
          <w:lang w:val="en-US" w:eastAsia="zh-CN"/>
        </w:rPr>
        <w:t>本单位无国有经营预算支出，此表为空</w:t>
      </w:r>
      <w:r>
        <w:rPr>
          <w:rFonts w:hint="eastAsia" w:ascii="仿宋_GB2312" w:hAnsi="仿宋_GB2312" w:eastAsia="仿宋_GB2312" w:cs="仿宋_GB2312"/>
          <w:b/>
          <w:bCs w:val="0"/>
          <w:kern w:val="0"/>
          <w:sz w:val="28"/>
          <w:szCs w:val="32"/>
          <w:highlight w:val="none"/>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highlight w:val="none"/>
          <w:lang w:val="en-US" w:eastAsia="zh-CN"/>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编制单位：呼图壁县园户村镇良种场社区居民委员会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 w:hAnsi="仿宋" w:eastAsia="仿宋" w:cs="仿宋"/>
          <w:b/>
          <w:bCs/>
          <w:sz w:val="28"/>
          <w:szCs w:val="28"/>
          <w:highlight w:val="none"/>
        </w:rPr>
        <w:t>202</w:t>
      </w:r>
      <w:r>
        <w:rPr>
          <w:rFonts w:hint="eastAsia" w:ascii="仿宋" w:hAnsi="仿宋" w:eastAsia="仿宋" w:cs="仿宋"/>
          <w:b/>
          <w:bCs/>
          <w:sz w:val="28"/>
          <w:szCs w:val="28"/>
          <w:highlight w:val="none"/>
          <w:lang w:val="en-US" w:eastAsia="zh-CN"/>
        </w:rPr>
        <w:t>4</w:t>
      </w:r>
      <w:r>
        <w:rPr>
          <w:rFonts w:hint="eastAsia" w:ascii="仿宋" w:hAnsi="仿宋" w:eastAsia="仿宋" w:cs="仿宋"/>
          <w:b/>
          <w:bCs/>
          <w:sz w:val="28"/>
          <w:szCs w:val="28"/>
          <w:highlight w:val="none"/>
        </w:rPr>
        <w:t>年未安排“三公”经费支出预算，此表</w:t>
      </w:r>
      <w:r>
        <w:rPr>
          <w:rFonts w:hint="eastAsia" w:ascii="仿宋" w:hAnsi="仿宋" w:eastAsia="仿宋" w:cs="仿宋"/>
          <w:b/>
          <w:bCs/>
          <w:sz w:val="28"/>
          <w:szCs w:val="28"/>
          <w:highlight w:val="none"/>
          <w:lang w:val="en-US" w:eastAsia="zh-CN"/>
        </w:rPr>
        <w:t>为空</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pStyle w:val="2"/>
        <w:ind w:left="0" w:leftChars="0" w:firstLine="0" w:firstLineChars="0"/>
        <w:jc w:val="both"/>
        <w:rPr>
          <w:rFonts w:hint="eastAsia"/>
          <w:highlight w:val="none"/>
        </w:rPr>
      </w:pPr>
    </w:p>
    <w:p>
      <w:pPr>
        <w:rPr>
          <w:rFonts w:hint="eastAsia"/>
          <w:highlight w:val="none"/>
        </w:rPr>
      </w:pPr>
    </w:p>
    <w:p>
      <w:pPr>
        <w:pStyle w:val="2"/>
        <w:rPr>
          <w:rFonts w:hint="eastAsia"/>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7"/>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2024年无结余，此表为空</w:t>
      </w: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984" w:bottom="1984" w:left="209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呼图壁县园户村镇良种场社区居民委员会预算情况说明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w:t>
      </w:r>
      <w:r>
        <w:rPr>
          <w:rFonts w:hint="eastAsia" w:ascii="楷体_GB2312" w:hAnsi="楷体_GB2312" w:eastAsia="楷体_GB2312" w:cs="楷体_GB2312"/>
          <w:b/>
          <w:bCs w:val="0"/>
          <w:color w:val="auto"/>
          <w:kern w:val="0"/>
          <w:sz w:val="32"/>
          <w:szCs w:val="32"/>
          <w:highlight w:val="none"/>
          <w:lang w:eastAsia="zh-CN"/>
        </w:rPr>
        <w:t>于呼图壁县园户村镇良种场社区居民委员会2024年</w:t>
      </w:r>
      <w:r>
        <w:rPr>
          <w:rFonts w:hint="eastAsia" w:ascii="楷体_GB2312" w:hAnsi="楷体_GB2312" w:eastAsia="楷体_GB2312" w:cs="楷体_GB2312"/>
          <w:b/>
          <w:bCs w:val="0"/>
          <w:color w:val="auto"/>
          <w:kern w:val="0"/>
          <w:sz w:val="32"/>
          <w:szCs w:val="32"/>
          <w:highlight w:val="none"/>
        </w:rPr>
        <w:t>收支预算情况的总体说明</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按照全口径预算的原则，202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呼图壁县园户村镇良种场社区居民委员会</w:t>
      </w:r>
      <w:r>
        <w:rPr>
          <w:rFonts w:hint="eastAsia" w:ascii="仿宋_GB2312" w:hAnsi="宋体" w:eastAsia="仿宋_GB2312" w:cs="宋体"/>
          <w:kern w:val="0"/>
          <w:sz w:val="32"/>
          <w:szCs w:val="32"/>
          <w:highlight w:val="none"/>
        </w:rPr>
        <w:t>所有收入和支出均纳</w:t>
      </w:r>
      <w:r>
        <w:rPr>
          <w:rFonts w:hint="eastAsia" w:ascii="仿宋_GB2312" w:hAnsi="宋体" w:eastAsia="仿宋_GB2312" w:cs="宋体"/>
          <w:kern w:val="0"/>
          <w:sz w:val="32"/>
          <w:szCs w:val="32"/>
          <w:highlight w:val="none"/>
        </w:rPr>
        <mc:AlternateContent>
          <mc:Choice Requires="wpg">
            <w:drawing>
              <wp:inline distT="0" distB="0" distL="114300" distR="114300">
                <wp:extent cx="10160" cy="2540"/>
                <wp:effectExtent l="0" t="0" r="0" b="0"/>
                <wp:docPr id="19438" name="组合 19438"/>
                <wp:cNvGraphicFramePr/>
                <a:graphic xmlns:a="http://schemas.openxmlformats.org/drawingml/2006/main">
                  <a:graphicData uri="http://schemas.microsoft.com/office/word/2010/wordprocessingGroup">
                    <wpg:wgp>
                      <wpg:cNvGrpSpPr/>
                      <wpg:grpSpPr>
                        <a:xfrm>
                          <a:off x="0" y="0"/>
                          <a:ext cx="10160" cy="2540"/>
                          <a:chOff x="0" y="0"/>
                          <a:chExt cx="10668" cy="3048"/>
                        </a:xfrm>
                        <a:effectLst/>
                      </wpg:grpSpPr>
                      <pic:pic xmlns:pic="http://schemas.openxmlformats.org/drawingml/2006/picture">
                        <pic:nvPicPr>
                          <pic:cNvPr id="1064" name="Picture 1064"/>
                          <pic:cNvPicPr/>
                        </pic:nvPicPr>
                        <pic:blipFill>
                          <a:blip r:embed="rId7"/>
                          <a:stretch>
                            <a:fillRect/>
                          </a:stretch>
                        </pic:blipFill>
                        <pic:spPr>
                          <a:xfrm>
                            <a:off x="0" y="0"/>
                            <a:ext cx="3048" cy="3048"/>
                          </a:xfrm>
                          <a:prstGeom prst="rect">
                            <a:avLst/>
                          </a:prstGeom>
                          <a:noFill/>
                          <a:ln>
                            <a:noFill/>
                          </a:ln>
                          <a:effectLst/>
                        </pic:spPr>
                      </pic:pic>
                      <pic:pic xmlns:pic="http://schemas.openxmlformats.org/drawingml/2006/picture">
                        <pic:nvPicPr>
                          <pic:cNvPr id="1066" name="Picture 1066"/>
                          <pic:cNvPicPr/>
                        </pic:nvPicPr>
                        <pic:blipFill>
                          <a:blip r:embed="rId8"/>
                          <a:stretch>
                            <a:fillRect/>
                          </a:stretch>
                        </pic:blipFill>
                        <pic:spPr>
                          <a:xfrm>
                            <a:off x="7620" y="0"/>
                            <a:ext cx="3048" cy="3048"/>
                          </a:xfrm>
                          <a:prstGeom prst="rect">
                            <a:avLst/>
                          </a:prstGeom>
                          <a:noFill/>
                          <a:ln>
                            <a:noFill/>
                          </a:ln>
                          <a:effectLst/>
                        </pic:spPr>
                      </pic:pic>
                    </wpg:wgp>
                  </a:graphicData>
                </a:graphic>
              </wp:inline>
            </w:drawing>
          </mc:Choice>
          <mc:Fallback>
            <w:pict>
              <v:group id="_x0000_s1026" o:spid="_x0000_s1026" o:spt="203" style="height:0.2pt;width:0.8pt;" coordsize="10668,3048" o:gfxdata="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">
                <o:lock v:ext="edit" aspectratio="f"/>
                <v:shape id="Picture 1064" o:spid="_x0000_s1026" o:spt="75" type="#_x0000_t75" style="position:absolute;left:0;top:0;height:3048;width:3048;" filled="f" o:preferrelative="t" stroked="f" coordsize="21600,21600" o:gfxdata="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czE3vQAA&#10;AN0AAAAPAAAAAAAAAAEAIAAAACIAAABkcnMvZG93bnJldi54bWxQSwECFAAUAAAACACHTuJAMy8F&#10;njsAAAA5AAAAEAAAAAAAAAABACAAAAAMAQAAZHJzL3NoYXBleG1sLnhtbFBLBQYAAAAABgAGAFsB&#10;AAC2AwAAAAA=&#10;">
                  <v:fill on="f" focussize="0,0"/>
                  <v:stroke on="f"/>
                  <v:imagedata r:id="rId7" o:title=""/>
                  <o:lock v:ext="edit" aspectratio="f"/>
                </v:shape>
                <v:shape id="Picture 1066" o:spid="_x0000_s1026" o:spt="75" type="#_x0000_t75" style="position:absolute;left:7620;top:0;height:3048;width:3048;" filled="f" o:preferrelative="t" stroked="f" coordsize="21600,21600" o:gfxdata="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A4Sl2/&#10;AAAA3QAAAA8AAAAAAAAAAQAgAAAAIgAAAGRycy9kb3ducmV2LnhtbFBLAQIUABQAAAAIAIdO4kAz&#10;LwWeOwAAADkAAAAQAAAAAAAAAAEAIAAAAA4BAABkcnMvc2hhcGV4bWwueG1sUEsFBgAAAAAGAAYA&#10;WwEAALgDAAAAAA==&#10;">
                  <v:fill on="f" focussize="0,0"/>
                  <v:stroke on="f"/>
                  <v:imagedata r:id="rId8" o:title=""/>
                  <o:lock v:ext="edit" aspectratio="f"/>
                </v:shape>
                <w10:wrap type="none"/>
                <w10:anchorlock/>
              </v:group>
            </w:pict>
          </mc:Fallback>
        </mc:AlternateContent>
      </w:r>
      <w:r>
        <w:rPr>
          <w:rFonts w:hint="eastAsia" w:ascii="仿宋_GB2312" w:hAnsi="宋体" w:eastAsia="仿宋_GB2312" w:cs="宋体"/>
          <w:kern w:val="0"/>
          <w:sz w:val="32"/>
          <w:szCs w:val="32"/>
          <w:highlight w:val="none"/>
        </w:rPr>
        <w:t>入</w:t>
      </w:r>
      <w:r>
        <w:rPr>
          <w:rFonts w:hint="eastAsia" w:ascii="仿宋_GB2312" w:hAnsi="宋体" w:eastAsia="仿宋_GB2312" w:cs="宋体"/>
          <w:kern w:val="0"/>
          <w:sz w:val="32"/>
          <w:szCs w:val="32"/>
          <w:highlight w:val="none"/>
          <w:lang w:val="en-US" w:eastAsia="zh-CN"/>
        </w:rPr>
        <w:t>单位</w:t>
      </w:r>
      <w:r>
        <w:rPr>
          <w:rFonts w:hint="eastAsia" w:ascii="仿宋_GB2312" w:hAnsi="宋体" w:eastAsia="仿宋_GB2312" w:cs="宋体"/>
          <w:kern w:val="0"/>
          <w:sz w:val="32"/>
          <w:szCs w:val="32"/>
          <w:highlight w:val="none"/>
        </w:rPr>
        <w:t>预算管理。收支总预算</w:t>
      </w:r>
      <w:r>
        <w:rPr>
          <w:rFonts w:hint="eastAsia" w:ascii="仿宋_GB2312" w:hAnsi="宋体" w:eastAsia="仿宋_GB2312" w:cs="宋体"/>
          <w:kern w:val="0"/>
          <w:sz w:val="32"/>
          <w:szCs w:val="32"/>
          <w:highlight w:val="none"/>
          <w:lang w:val="en-US" w:eastAsia="zh-CN"/>
        </w:rPr>
        <w:t>1.65</w:t>
      </w:r>
      <w:r>
        <w:rPr>
          <w:rFonts w:hint="eastAsia" w:ascii="仿宋_GB2312" w:hAnsi="宋体" w:eastAsia="仿宋_GB2312" w:cs="宋体"/>
          <w:kern w:val="0"/>
          <w:sz w:val="32"/>
          <w:szCs w:val="32"/>
          <w:highlight w:val="none"/>
        </w:rPr>
        <w:t>万元。</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CN"/>
        </w:rPr>
        <w:t>1.65万元。</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支出预算包括：</w:t>
      </w:r>
      <w:r>
        <w:rPr>
          <w:rFonts w:hint="eastAsia" w:ascii="仿宋_GB2312" w:hAnsi="宋体" w:eastAsia="仿宋_GB2312" w:cs="宋体"/>
          <w:kern w:val="0"/>
          <w:sz w:val="32"/>
          <w:szCs w:val="32"/>
          <w:highlight w:val="none"/>
          <w:lang w:eastAsia="zh-CN"/>
        </w:rPr>
        <w:t>社会保障和就业支出</w:t>
      </w:r>
      <w:r>
        <w:rPr>
          <w:rFonts w:hint="eastAsia" w:ascii="仿宋_GB2312" w:hAnsi="宋体" w:eastAsia="仿宋_GB2312" w:cs="宋体"/>
          <w:kern w:val="0"/>
          <w:sz w:val="32"/>
          <w:szCs w:val="32"/>
          <w:highlight w:val="none"/>
          <w:lang w:val="en-US" w:eastAsia="zh-CN"/>
        </w:rPr>
        <w:t>1.65万元。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呼图壁县园户村镇良种场社区居民委员会2024年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呼图壁县园户村镇良种场社区居民委员会</w:t>
      </w:r>
      <w:r>
        <w:rPr>
          <w:rFonts w:hint="eastAsia" w:ascii="仿宋_GB2312" w:hAnsi="宋体" w:eastAsia="仿宋_GB2312" w:cs="宋体"/>
          <w:color w:val="auto"/>
          <w:kern w:val="0"/>
          <w:sz w:val="32"/>
          <w:szCs w:val="32"/>
          <w:highlight w:val="none"/>
        </w:rPr>
        <w:t xml:space="preserve">收入预算 </w:t>
      </w:r>
      <w:r>
        <w:rPr>
          <w:rFonts w:hint="eastAsia" w:ascii="仿宋_GB2312" w:hAnsi="宋体" w:eastAsia="仿宋_GB2312" w:cs="宋体"/>
          <w:color w:val="auto"/>
          <w:kern w:val="0"/>
          <w:sz w:val="32"/>
          <w:szCs w:val="32"/>
          <w:highlight w:val="none"/>
          <w:lang w:val="en-US" w:eastAsia="zh-CN"/>
        </w:rPr>
        <w:t>1.65</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一般公共预算 </w:t>
      </w:r>
      <w:r>
        <w:rPr>
          <w:rFonts w:hint="eastAsia" w:ascii="仿宋_GB2312" w:hAnsi="宋体" w:eastAsia="仿宋_GB2312" w:cs="宋体"/>
          <w:color w:val="auto"/>
          <w:kern w:val="0"/>
          <w:sz w:val="32"/>
          <w:szCs w:val="32"/>
          <w:highlight w:val="none"/>
          <w:lang w:val="en-US" w:eastAsia="zh-CN"/>
        </w:rPr>
        <w:t>1.65</w:t>
      </w:r>
      <w:r>
        <w:rPr>
          <w:rFonts w:hint="eastAsia" w:ascii="仿宋_GB2312" w:hAnsi="宋体" w:eastAsia="仿宋_GB2312" w:cs="宋体"/>
          <w:color w:val="auto"/>
          <w:kern w:val="0"/>
          <w:sz w:val="32"/>
          <w:szCs w:val="32"/>
          <w:highlight w:val="none"/>
        </w:rPr>
        <w:t xml:space="preserve"> 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 xml:space="preserve"> %，比上年预算减少</w:t>
      </w:r>
      <w:r>
        <w:rPr>
          <w:rFonts w:hint="eastAsia" w:ascii="仿宋_GB2312" w:hAnsi="宋体" w:eastAsia="仿宋_GB2312" w:cs="宋体"/>
          <w:color w:val="auto"/>
          <w:kern w:val="0"/>
          <w:sz w:val="32"/>
          <w:szCs w:val="32"/>
          <w:highlight w:val="none"/>
          <w:lang w:val="en-US" w:eastAsia="zh-CN"/>
        </w:rPr>
        <w:t>0.11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6.25 %，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医保计算基数调整</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color w:val="000000"/>
          <w:kern w:val="0"/>
          <w:sz w:val="32"/>
          <w:szCs w:val="32"/>
          <w:highlight w:val="none"/>
          <w:lang w:val="en-US" w:eastAsia="zh-CN" w:bidi="ar"/>
        </w:rPr>
        <w:t xml:space="preserve">上级一般公共预算安排的转移支付资金未安排。 </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color w:val="000000"/>
          <w:kern w:val="0"/>
          <w:sz w:val="32"/>
          <w:szCs w:val="32"/>
          <w:highlight w:val="none"/>
          <w:lang w:val="en-US" w:eastAsia="zh-CN" w:bidi="ar"/>
        </w:rPr>
        <w:t xml:space="preserve">政府性基金预算未安排。 </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color w:val="000000"/>
          <w:kern w:val="0"/>
          <w:sz w:val="32"/>
          <w:szCs w:val="32"/>
          <w:highlight w:val="none"/>
          <w:lang w:val="en-US" w:eastAsia="zh-CN" w:bidi="ar"/>
        </w:rPr>
        <w:t xml:space="preserve">上级政府性基金安排的转移支付资金未安排。 </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color w:val="000000"/>
          <w:kern w:val="0"/>
          <w:sz w:val="32"/>
          <w:szCs w:val="32"/>
          <w:highlight w:val="none"/>
          <w:lang w:val="en-US" w:eastAsia="zh-CN" w:bidi="ar"/>
        </w:rPr>
        <w:t xml:space="preserve">国有资本经营预算未安排。 </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color w:val="000000"/>
          <w:kern w:val="0"/>
          <w:sz w:val="32"/>
          <w:szCs w:val="32"/>
          <w:highlight w:val="none"/>
          <w:lang w:val="en-US" w:eastAsia="zh-CN" w:bidi="ar"/>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呼图壁县园户村镇良种场社区居民委员会2024年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呼图壁县园户村镇良种场社区居民委员会2024年</w:t>
      </w:r>
      <w:r>
        <w:rPr>
          <w:rFonts w:hint="eastAsia" w:ascii="仿宋_GB2312" w:hAnsi="宋体" w:eastAsia="仿宋_GB2312" w:cs="宋体"/>
          <w:color w:val="auto"/>
          <w:kern w:val="0"/>
          <w:sz w:val="32"/>
          <w:szCs w:val="32"/>
          <w:highlight w:val="none"/>
        </w:rPr>
        <w:t xml:space="preserve">支出预算 </w:t>
      </w:r>
      <w:r>
        <w:rPr>
          <w:rFonts w:hint="eastAsia" w:ascii="仿宋_GB2312" w:hAnsi="宋体" w:eastAsia="仿宋_GB2312" w:cs="宋体"/>
          <w:color w:val="auto"/>
          <w:kern w:val="0"/>
          <w:sz w:val="32"/>
          <w:szCs w:val="32"/>
          <w:highlight w:val="none"/>
          <w:lang w:val="en-US" w:eastAsia="zh-CN"/>
        </w:rPr>
        <w:t>1.65</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1.65</w:t>
      </w:r>
      <w:r>
        <w:rPr>
          <w:rFonts w:hint="eastAsia" w:ascii="仿宋_GB2312" w:hAnsi="宋体" w:eastAsia="仿宋_GB2312" w:cs="宋体"/>
          <w:color w:val="auto"/>
          <w:kern w:val="0"/>
          <w:sz w:val="32"/>
          <w:szCs w:val="32"/>
          <w:highlight w:val="none"/>
        </w:rPr>
        <w:t xml:space="preserve"> 万元，占 </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 xml:space="preserve"> %，比上年预算减少</w:t>
      </w:r>
      <w:r>
        <w:rPr>
          <w:rFonts w:hint="eastAsia" w:ascii="仿宋_GB2312" w:hAnsi="宋体" w:eastAsia="仿宋_GB2312" w:cs="宋体"/>
          <w:color w:val="auto"/>
          <w:kern w:val="0"/>
          <w:sz w:val="32"/>
          <w:szCs w:val="32"/>
          <w:highlight w:val="none"/>
          <w:lang w:val="en-US" w:eastAsia="zh-CN"/>
        </w:rPr>
        <w:t>0.11</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 xml:space="preserve"> 6.25 %，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医保计算基数调整</w:t>
      </w:r>
      <w:r>
        <w:rPr>
          <w:rFonts w:hint="eastAsia" w:ascii="仿宋_GB2312" w:hAnsi="宋体" w:eastAsia="仿宋_GB2312" w:cs="宋体"/>
          <w:color w:val="auto"/>
          <w:kern w:val="0"/>
          <w:sz w:val="32"/>
          <w:szCs w:val="32"/>
          <w:highlight w:val="none"/>
        </w:rPr>
        <w:t>。</w:t>
      </w:r>
    </w:p>
    <w:p>
      <w:pPr>
        <w:pStyle w:val="2"/>
        <w:keepNext/>
        <w:keepLines/>
        <w:pageBreakBefore w:val="0"/>
        <w:widowControl w:val="0"/>
        <w:kinsoku/>
        <w:wordWrap/>
        <w:overflowPunct/>
        <w:topLinePunct w:val="0"/>
        <w:autoSpaceDE/>
        <w:autoSpaceDN/>
        <w:bidi w:val="0"/>
        <w:adjustRightInd/>
        <w:snapToGrid/>
        <w:spacing w:after="0" w:line="560" w:lineRule="exact"/>
        <w:ind w:left="0" w:leftChars="0" w:right="0" w:firstLine="640" w:firstLineChars="200"/>
        <w:jc w:val="left"/>
        <w:textAlignment w:val="auto"/>
        <w:rPr>
          <w:rFonts w:hint="default" w:eastAsia="仿宋_GB2312"/>
          <w:highlight w:val="none"/>
          <w:lang w:val="en-US" w:eastAsia="zh-CN"/>
        </w:rPr>
      </w:pPr>
      <w:r>
        <w:rPr>
          <w:rFonts w:hint="eastAsia" w:ascii="仿宋_GB2312" w:hAnsi="宋体" w:eastAsia="仿宋_GB2312" w:cs="宋体"/>
          <w:color w:val="auto"/>
          <w:kern w:val="0"/>
          <w:sz w:val="32"/>
          <w:szCs w:val="32"/>
          <w:highlight w:val="none"/>
          <w:lang w:eastAsia="zh-CN"/>
        </w:rPr>
        <w:t>项目支出</w:t>
      </w:r>
      <w:r>
        <w:rPr>
          <w:rFonts w:hint="eastAsia" w:ascii="仿宋_GB2312" w:hAnsi="宋体" w:eastAsia="仿宋_GB2312" w:cs="宋体"/>
          <w:color w:val="auto"/>
          <w:kern w:val="0"/>
          <w:sz w:val="32"/>
          <w:szCs w:val="32"/>
          <w:highlight w:val="none"/>
          <w:lang w:val="en-US" w:eastAsia="zh-CN"/>
        </w:rPr>
        <w:t>0万元，占0%,比上年预算减少0万元，下降0%，主要原因是本单位只有两名退休人员，按照实际预算需求，不需要安排项目支出预算，所以2023、2024年均未安排项目支出预算。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呼图壁县园户村镇良种场社区居民委员会2024年</w:t>
      </w:r>
      <w:r>
        <w:rPr>
          <w:rFonts w:hint="eastAsia" w:ascii="楷体_GB2312" w:hAnsi="楷体_GB2312" w:eastAsia="楷体_GB2312" w:cs="楷体_GB2312"/>
          <w:b/>
          <w:bCs/>
          <w:color w:val="auto"/>
          <w:kern w:val="0"/>
          <w:sz w:val="32"/>
          <w:szCs w:val="32"/>
          <w:highlight w:val="none"/>
        </w:rPr>
        <w:t>财政拨款收支预算情况的总体说明</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年财政拨款收支总预算</w:t>
      </w:r>
      <w:r>
        <w:rPr>
          <w:rFonts w:hint="eastAsia" w:ascii="仿宋_GB2312" w:hAnsi="宋体" w:eastAsia="仿宋_GB2312" w:cs="宋体"/>
          <w:kern w:val="0"/>
          <w:sz w:val="32"/>
          <w:szCs w:val="32"/>
          <w:highlight w:val="none"/>
          <w:lang w:val="en-US" w:eastAsia="zh-CN"/>
        </w:rPr>
        <w:t>1.65</w:t>
      </w:r>
      <w:r>
        <w:rPr>
          <w:rFonts w:hint="eastAsia" w:ascii="仿宋_GB2312" w:hAnsi="宋体" w:eastAsia="仿宋_GB2312" w:cs="宋体"/>
          <w:kern w:val="0"/>
          <w:sz w:val="32"/>
          <w:szCs w:val="32"/>
          <w:highlight w:val="none"/>
        </w:rPr>
        <w:t>万元。</w:t>
      </w:r>
    </w:p>
    <w:p>
      <w:pPr>
        <w:spacing w:line="560" w:lineRule="exact"/>
        <w:ind w:firstLine="616" w:firstLineChars="200"/>
        <w:rPr>
          <w:rFonts w:hint="eastAsia" w:ascii="仿宋_GB2312" w:hAnsi="宋体" w:eastAsia="仿宋_GB2312" w:cs="宋体"/>
          <w:spacing w:val="-6"/>
          <w:kern w:val="0"/>
          <w:sz w:val="32"/>
          <w:szCs w:val="32"/>
          <w:highlight w:val="none"/>
        </w:rPr>
      </w:pPr>
      <w:r>
        <w:rPr>
          <w:rFonts w:hint="eastAsia" w:ascii="仿宋_GB2312" w:hAnsi="宋体" w:eastAsia="仿宋_GB2312" w:cs="宋体"/>
          <w:spacing w:val="-6"/>
          <w:kern w:val="0"/>
          <w:sz w:val="32"/>
          <w:szCs w:val="32"/>
          <w:highlight w:val="none"/>
        </w:rPr>
        <w:t>收入全部为一般公共预算拨款，无政府性基金预算拨款和国有资本经营预算。</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收入预算包括：一般公共预算拨款</w:t>
      </w:r>
      <w:r>
        <w:rPr>
          <w:rFonts w:hint="eastAsia" w:ascii="仿宋_GB2312" w:hAnsi="宋体" w:eastAsia="仿宋_GB2312" w:cs="宋体"/>
          <w:kern w:val="0"/>
          <w:sz w:val="32"/>
          <w:szCs w:val="32"/>
          <w:highlight w:val="none"/>
          <w:lang w:val="en-US" w:eastAsia="zh-CN"/>
        </w:rPr>
        <w:t>1.65</w:t>
      </w:r>
      <w:r>
        <w:rPr>
          <w:rFonts w:hint="eastAsia" w:ascii="仿宋_GB2312" w:hAnsi="宋体" w:eastAsia="仿宋_GB2312" w:cs="宋体"/>
          <w:kern w:val="0"/>
          <w:sz w:val="32"/>
          <w:szCs w:val="32"/>
          <w:highlight w:val="none"/>
        </w:rPr>
        <w:t xml:space="preserve"> 万元。</w:t>
      </w:r>
    </w:p>
    <w:p>
      <w:pPr>
        <w:spacing w:line="560" w:lineRule="exact"/>
        <w:ind w:firstLine="640" w:firstLineChars="200"/>
        <w:rPr>
          <w:rFonts w:ascii="仿宋_GB2312" w:hAnsi="宋体" w:eastAsia="仿宋_GB2312" w:cs="宋体"/>
          <w:b/>
          <w:kern w:val="0"/>
          <w:sz w:val="32"/>
          <w:szCs w:val="32"/>
          <w:highlight w:val="none"/>
        </w:rPr>
      </w:pPr>
      <w:r>
        <w:rPr>
          <w:rFonts w:hint="eastAsia" w:ascii="仿宋_GB2312" w:hAnsi="宋体" w:eastAsia="仿宋_GB2312" w:cs="宋体"/>
          <w:kern w:val="0"/>
          <w:sz w:val="32"/>
          <w:szCs w:val="32"/>
          <w:highlight w:val="none"/>
        </w:rPr>
        <w:t>一般公共预算支出包括：</w:t>
      </w:r>
      <w:r>
        <w:rPr>
          <w:rFonts w:hint="eastAsia" w:ascii="仿宋_GB2312" w:hAnsi="宋体" w:eastAsia="仿宋_GB2312" w:cs="宋体"/>
          <w:kern w:val="0"/>
          <w:sz w:val="32"/>
          <w:szCs w:val="32"/>
          <w:highlight w:val="none"/>
          <w:lang w:val="en-US" w:eastAsia="zh-CN"/>
        </w:rPr>
        <w:t>208-社会保障和就业支出1.65</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主要用于退休人员医保和福利支出。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呼图壁县园户村镇良种场社区居民委员会2024年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呼图壁县良种场社区居民委员会2024年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1.65</w:t>
      </w:r>
      <w:r>
        <w:rPr>
          <w:rFonts w:hint="eastAsia" w:ascii="仿宋_GB2312" w:hAnsi="仿宋_GB2312" w:eastAsia="仿宋_GB2312" w:cs="仿宋_GB2312"/>
          <w:color w:val="auto"/>
          <w:kern w:val="0"/>
          <w:sz w:val="32"/>
          <w:szCs w:val="32"/>
          <w:highlight w:val="none"/>
        </w:rPr>
        <w:t xml:space="preserve">  万元，其中：基本支出 </w:t>
      </w:r>
      <w:r>
        <w:rPr>
          <w:rFonts w:hint="eastAsia" w:ascii="仿宋_GB2312" w:hAnsi="仿宋_GB2312" w:eastAsia="仿宋_GB2312" w:cs="仿宋_GB2312"/>
          <w:color w:val="auto"/>
          <w:kern w:val="0"/>
          <w:sz w:val="32"/>
          <w:szCs w:val="32"/>
          <w:highlight w:val="none"/>
          <w:lang w:val="en-US" w:eastAsia="zh-CN"/>
        </w:rPr>
        <w:t>1.65</w:t>
      </w:r>
      <w:r>
        <w:rPr>
          <w:rFonts w:hint="eastAsia" w:ascii="仿宋_GB2312" w:hAnsi="仿宋_GB2312" w:eastAsia="仿宋_GB2312" w:cs="仿宋_GB2312"/>
          <w:color w:val="auto"/>
          <w:kern w:val="0"/>
          <w:sz w:val="32"/>
          <w:szCs w:val="32"/>
          <w:highlight w:val="none"/>
        </w:rPr>
        <w:t xml:space="preserve"> 万元，比上年预算减少</w:t>
      </w:r>
      <w:r>
        <w:rPr>
          <w:rFonts w:hint="eastAsia" w:ascii="仿宋_GB2312" w:hAnsi="仿宋_GB2312" w:eastAsia="仿宋_GB2312" w:cs="仿宋_GB2312"/>
          <w:color w:val="auto"/>
          <w:kern w:val="0"/>
          <w:sz w:val="32"/>
          <w:szCs w:val="32"/>
          <w:highlight w:val="none"/>
          <w:lang w:val="en-US" w:eastAsia="zh-CN"/>
        </w:rPr>
        <w:t>0.11</w:t>
      </w:r>
      <w:r>
        <w:rPr>
          <w:rFonts w:hint="eastAsia" w:ascii="仿宋_GB2312" w:hAnsi="仿宋_GB2312" w:eastAsia="仿宋_GB2312" w:cs="仿宋_GB2312"/>
          <w:color w:val="auto"/>
          <w:kern w:val="0"/>
          <w:sz w:val="32"/>
          <w:szCs w:val="32"/>
          <w:highlight w:val="none"/>
        </w:rPr>
        <w:t xml:space="preserve"> 万元，下降</w:t>
      </w:r>
      <w:r>
        <w:rPr>
          <w:rFonts w:hint="eastAsia" w:ascii="仿宋_GB2312" w:hAnsi="仿宋_GB2312" w:eastAsia="仿宋_GB2312" w:cs="仿宋_GB2312"/>
          <w:color w:val="auto"/>
          <w:kern w:val="0"/>
          <w:sz w:val="32"/>
          <w:szCs w:val="32"/>
          <w:highlight w:val="none"/>
          <w:lang w:val="en-US" w:eastAsia="zh-CN"/>
        </w:rPr>
        <w:t>6.25</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宋体" w:eastAsia="仿宋_GB2312" w:cs="宋体"/>
          <w:color w:val="auto"/>
          <w:kern w:val="0"/>
          <w:sz w:val="32"/>
          <w:szCs w:val="32"/>
          <w:highlight w:val="none"/>
          <w:lang w:eastAsia="zh-CN"/>
        </w:rPr>
        <w:t>医保计算基数调整</w:t>
      </w:r>
      <w:r>
        <w:rPr>
          <w:rFonts w:hint="eastAsia" w:ascii="仿宋_GB2312" w:hAnsi="仿宋_GB2312" w:eastAsia="仿宋_GB2312" w:cs="仿宋_GB2312"/>
          <w:color w:val="auto"/>
          <w:kern w:val="0"/>
          <w:sz w:val="32"/>
          <w:szCs w:val="32"/>
          <w:highlight w:val="none"/>
        </w:rPr>
        <w:t>。</w:t>
      </w:r>
    </w:p>
    <w:p>
      <w:pPr>
        <w:pStyle w:val="2"/>
        <w:keepNext/>
        <w:keepLines/>
        <w:pageBreakBefore w:val="0"/>
        <w:widowControl w:val="0"/>
        <w:kinsoku/>
        <w:wordWrap/>
        <w:overflowPunct/>
        <w:topLinePunct w:val="0"/>
        <w:autoSpaceDE/>
        <w:autoSpaceDN/>
        <w:bidi w:val="0"/>
        <w:adjustRightInd/>
        <w:snapToGrid/>
        <w:spacing w:after="0" w:line="560" w:lineRule="exact"/>
        <w:ind w:left="0" w:leftChars="0" w:right="0" w:firstLine="640" w:firstLineChars="200"/>
        <w:jc w:val="left"/>
        <w:textAlignment w:val="auto"/>
        <w:rPr>
          <w:rFonts w:hint="default" w:eastAsia="仿宋_GB2312"/>
          <w:highlight w:val="none"/>
          <w:lang w:val="en-US" w:eastAsia="zh-CN"/>
        </w:rPr>
      </w:pPr>
      <w:r>
        <w:rPr>
          <w:rFonts w:hint="eastAsia" w:ascii="仿宋_GB2312" w:hAnsi="宋体" w:eastAsia="仿宋_GB2312" w:cs="宋体"/>
          <w:color w:val="auto"/>
          <w:kern w:val="0"/>
          <w:sz w:val="32"/>
          <w:szCs w:val="32"/>
          <w:highlight w:val="none"/>
          <w:lang w:eastAsia="zh-CN"/>
        </w:rPr>
        <w:t>项目支出</w:t>
      </w:r>
      <w:r>
        <w:rPr>
          <w:rFonts w:hint="eastAsia" w:ascii="仿宋_GB2312" w:hAnsi="宋体" w:eastAsia="仿宋_GB2312" w:cs="宋体"/>
          <w:color w:val="auto"/>
          <w:kern w:val="0"/>
          <w:sz w:val="32"/>
          <w:szCs w:val="32"/>
          <w:highlight w:val="none"/>
          <w:lang w:val="en-US" w:eastAsia="zh-CN"/>
        </w:rPr>
        <w:t>0万元，占0%,比上年预算减少0万元，下降0%，主要原因是本单位只有两名退休人员，按照实际预算需求，不需要安排项目支出预算，所以2023、2024年均未安排项目支出预算。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eastAsia="zh-CN"/>
        </w:rPr>
        <w:t>社会保障和就业支出</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208</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b/>
          <w:color w:val="auto"/>
          <w:sz w:val="32"/>
          <w:szCs w:val="32"/>
          <w:highlight w:val="none"/>
        </w:rPr>
        <w:t xml:space="preserve"> </w:t>
      </w:r>
      <w:r>
        <w:rPr>
          <w:rFonts w:hint="eastAsia" w:ascii="仿宋_GB2312" w:hAnsi="仿宋_GB2312" w:eastAsia="仿宋_GB2312" w:cs="仿宋_GB2312"/>
          <w:b/>
          <w:color w:val="auto"/>
          <w:sz w:val="32"/>
          <w:szCs w:val="32"/>
          <w:highlight w:val="none"/>
          <w:lang w:val="en-US" w:eastAsia="zh-CN"/>
        </w:rPr>
        <w:t>1.65</w:t>
      </w:r>
      <w:r>
        <w:rPr>
          <w:rFonts w:hint="eastAsia" w:ascii="仿宋_GB2312" w:hAnsi="仿宋_GB2312" w:eastAsia="仿宋_GB2312" w:cs="仿宋_GB2312"/>
          <w:b/>
          <w:color w:val="auto"/>
          <w:sz w:val="32"/>
          <w:szCs w:val="32"/>
          <w:highlight w:val="none"/>
        </w:rPr>
        <w:t xml:space="preserve">  </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color w:val="auto"/>
          <w:kern w:val="0"/>
          <w:sz w:val="32"/>
          <w:szCs w:val="32"/>
          <w:highlight w:val="none"/>
          <w:lang w:eastAsia="zh-CN"/>
        </w:rPr>
        <w:t>社会保障和就业支出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208</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eastAsia="zh-CN"/>
        </w:rPr>
        <w:t>行政事业单位养老支出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05</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eastAsia="zh-CN"/>
        </w:rPr>
        <w:t>事业单位离退休</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02</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预算数为 </w:t>
      </w:r>
      <w:r>
        <w:rPr>
          <w:rFonts w:hint="eastAsia" w:ascii="仿宋_GB2312" w:hAnsi="仿宋_GB2312" w:eastAsia="仿宋_GB2312" w:cs="仿宋_GB2312"/>
          <w:color w:val="auto"/>
          <w:kern w:val="0"/>
          <w:sz w:val="32"/>
          <w:szCs w:val="32"/>
          <w:highlight w:val="none"/>
          <w:lang w:val="en-US" w:eastAsia="zh-CN"/>
        </w:rPr>
        <w:t>1.65</w:t>
      </w:r>
      <w:r>
        <w:rPr>
          <w:rFonts w:hint="eastAsia" w:ascii="仿宋_GB2312" w:hAnsi="仿宋_GB2312" w:eastAsia="仿宋_GB2312" w:cs="仿宋_GB2312"/>
          <w:color w:val="auto"/>
          <w:kern w:val="0"/>
          <w:sz w:val="32"/>
          <w:szCs w:val="32"/>
          <w:highlight w:val="none"/>
        </w:rPr>
        <w:t xml:space="preserve"> 万元，比上年预算增加</w:t>
      </w:r>
      <w:r>
        <w:rPr>
          <w:rFonts w:hint="eastAsia" w:ascii="仿宋_GB2312" w:hAnsi="仿宋_GB2312" w:eastAsia="仿宋_GB2312" w:cs="仿宋_GB2312"/>
          <w:color w:val="auto"/>
          <w:kern w:val="0"/>
          <w:sz w:val="32"/>
          <w:szCs w:val="32"/>
          <w:highlight w:val="none"/>
          <w:lang w:val="en-US" w:eastAsia="zh-CN"/>
        </w:rPr>
        <w:t>1.65</w:t>
      </w:r>
      <w:r>
        <w:rPr>
          <w:rFonts w:hint="eastAsia" w:ascii="仿宋_GB2312" w:hAnsi="仿宋_GB2312" w:eastAsia="仿宋_GB2312" w:cs="仿宋_GB2312"/>
          <w:color w:val="auto"/>
          <w:kern w:val="0"/>
          <w:sz w:val="32"/>
          <w:szCs w:val="32"/>
          <w:highlight w:val="none"/>
        </w:rPr>
        <w:t xml:space="preserve"> 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eastAsia="zh-CN"/>
        </w:rPr>
        <w:t>调整退休人员支出款项。</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呼图壁县园户村镇良种场社区居民委员会2024年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呼图壁县园户村镇良种场社区居民委员会</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1.65</w:t>
      </w:r>
      <w:r>
        <w:rPr>
          <w:rFonts w:hint="eastAsia" w:ascii="仿宋_GB2312" w:hAnsi="宋体" w:eastAsia="仿宋_GB2312" w:cs="宋体"/>
          <w:color w:val="auto"/>
          <w:spacing w:val="-6"/>
          <w:kern w:val="0"/>
          <w:sz w:val="32"/>
          <w:szCs w:val="32"/>
          <w:highlight w:val="none"/>
        </w:rPr>
        <w:t xml:space="preserve"> 万元， 其中：</w:t>
      </w:r>
    </w:p>
    <w:p>
      <w:pPr>
        <w:pStyle w:val="5"/>
        <w:widowControl/>
        <w:spacing w:before="0" w:beforeAutospacing="0" w:after="0" w:afterAutospacing="0" w:line="560" w:lineRule="exact"/>
        <w:ind w:firstLine="640" w:firstLineChars="200"/>
        <w:rPr>
          <w:rFonts w:hint="eastAsia" w:ascii="仿宋_GB2312" w:hAnsi="宋体" w:eastAsia="仿宋_GB2312" w:cs="宋体"/>
          <w:sz w:val="32"/>
          <w:szCs w:val="32"/>
          <w:highlight w:val="none"/>
        </w:rPr>
      </w:pPr>
      <w:r>
        <w:rPr>
          <w:rFonts w:hint="eastAsia" w:ascii="仿宋_GB2312" w:hAnsi="宋体" w:eastAsia="仿宋_GB2312" w:cs="宋体"/>
          <w:sz w:val="32"/>
          <w:szCs w:val="32"/>
          <w:highlight w:val="none"/>
        </w:rPr>
        <w:t>人员经费</w:t>
      </w:r>
      <w:r>
        <w:rPr>
          <w:rFonts w:hint="eastAsia" w:ascii="仿宋_GB2312" w:hAnsi="宋体" w:eastAsia="仿宋_GB2312" w:cs="宋体"/>
          <w:sz w:val="32"/>
          <w:szCs w:val="32"/>
          <w:highlight w:val="none"/>
          <w:lang w:val="en-US" w:eastAsia="zh-CN"/>
        </w:rPr>
        <w:t>1.65</w:t>
      </w:r>
      <w:r>
        <w:rPr>
          <w:rFonts w:hint="eastAsia" w:ascii="仿宋_GB2312" w:hAnsi="宋体" w:eastAsia="仿宋_GB2312" w:cs="宋体"/>
          <w:sz w:val="32"/>
          <w:szCs w:val="32"/>
          <w:highlight w:val="none"/>
        </w:rPr>
        <w:t>万元，主要包括：退休费</w:t>
      </w:r>
      <w:r>
        <w:rPr>
          <w:rFonts w:hint="eastAsia" w:ascii="仿宋_GB2312" w:hAnsi="宋体" w:eastAsia="仿宋_GB2312" w:cs="宋体"/>
          <w:sz w:val="32"/>
          <w:szCs w:val="32"/>
          <w:highlight w:val="none"/>
          <w:lang w:val="en-US" w:eastAsia="zh-CN"/>
        </w:rPr>
        <w:t>1.59万元</w:t>
      </w:r>
      <w:r>
        <w:rPr>
          <w:rFonts w:hint="eastAsia" w:ascii="仿宋_GB2312" w:hAnsi="宋体" w:eastAsia="仿宋_GB2312" w:cs="宋体"/>
          <w:sz w:val="32"/>
          <w:szCs w:val="32"/>
          <w:highlight w:val="none"/>
        </w:rPr>
        <w:t>、奖励金</w:t>
      </w:r>
      <w:r>
        <w:rPr>
          <w:rFonts w:hint="eastAsia" w:ascii="仿宋_GB2312" w:hAnsi="宋体" w:eastAsia="仿宋_GB2312" w:cs="宋体"/>
          <w:sz w:val="32"/>
          <w:szCs w:val="32"/>
          <w:highlight w:val="none"/>
          <w:lang w:val="en-US" w:eastAsia="zh-CN"/>
        </w:rPr>
        <w:t>0.06万元</w:t>
      </w:r>
      <w:r>
        <w:rPr>
          <w:rFonts w:hint="eastAsia" w:ascii="仿宋_GB2312" w:hAnsi="宋体" w:eastAsia="仿宋_GB2312" w:cs="宋体"/>
          <w:sz w:val="32"/>
          <w:szCs w:val="32"/>
          <w:highlight w:val="none"/>
        </w:rPr>
        <w:t xml:space="preserve">。  </w:t>
      </w:r>
    </w:p>
    <w:p>
      <w:pPr>
        <w:pStyle w:val="5"/>
        <w:widowControl/>
        <w:spacing w:before="0" w:beforeAutospacing="0" w:after="0" w:afterAutospacing="0" w:line="560" w:lineRule="exact"/>
        <w:ind w:firstLine="640" w:firstLineChars="200"/>
        <w:rPr>
          <w:rFonts w:hint="default" w:ascii="仿宋_GB2312" w:hAnsi="宋体" w:eastAsia="仿宋_GB2312" w:cs="宋体"/>
          <w:sz w:val="32"/>
          <w:szCs w:val="32"/>
          <w:highlight w:val="none"/>
          <w:lang w:val="en-US" w:eastAsia="zh-CN"/>
        </w:rPr>
      </w:pPr>
      <w:r>
        <w:rPr>
          <w:rFonts w:hint="eastAsia" w:ascii="仿宋_GB2312" w:hAnsi="宋体" w:eastAsia="仿宋_GB2312" w:cs="宋体"/>
          <w:sz w:val="32"/>
          <w:szCs w:val="32"/>
          <w:highlight w:val="none"/>
          <w:lang w:eastAsia="zh-CN"/>
        </w:rPr>
        <w:t>公用经费</w:t>
      </w:r>
      <w:r>
        <w:rPr>
          <w:rFonts w:hint="eastAsia" w:ascii="仿宋_GB2312" w:hAnsi="宋体" w:eastAsia="仿宋_GB2312" w:cs="宋体"/>
          <w:sz w:val="32"/>
          <w:szCs w:val="32"/>
          <w:highlight w:val="none"/>
          <w:lang w:val="en-US" w:eastAsia="zh-CN"/>
        </w:rPr>
        <w:t>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呼图壁县园户村镇良种场社区居民委员会2024年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 w:hAnsi="仿宋" w:eastAsia="仿宋" w:cs="仿宋"/>
          <w:sz w:val="32"/>
          <w:szCs w:val="32"/>
          <w:highlight w:val="none"/>
          <w:lang w:val="en-US" w:eastAsia="zh-CN"/>
        </w:rPr>
        <w:t>呼图壁县园户村镇良种场社区居民委员会</w:t>
      </w:r>
      <w:r>
        <w:rPr>
          <w:rFonts w:hint="eastAsia" w:ascii="仿宋_GB2312" w:hAnsi="仿宋_GB2312" w:eastAsia="仿宋_GB2312" w:cs="仿宋_GB2312"/>
          <w:kern w:val="0"/>
          <w:sz w:val="32"/>
          <w:szCs w:val="32"/>
          <w:highlight w:val="none"/>
          <w:lang w:val="en-US" w:eastAsia="zh-CN"/>
        </w:rPr>
        <w:t>2024</w:t>
      </w:r>
      <w:r>
        <w:rPr>
          <w:rFonts w:hint="eastAsia" w:ascii="仿宋_GB2312" w:hAnsi="仿宋_GB2312" w:eastAsia="仿宋_GB2312" w:cs="仿宋_GB2312"/>
          <w:kern w:val="0"/>
          <w:sz w:val="32"/>
          <w:szCs w:val="32"/>
          <w:highlight w:val="none"/>
        </w:rPr>
        <w:t>年没有使用一般公共预算项目支出，一般公共预算项目支出情况表为空表。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呼图壁县园户村镇良种场社区居民委员会2024年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 w:hAnsi="仿宋" w:eastAsia="仿宋" w:cs="仿宋"/>
          <w:sz w:val="32"/>
          <w:szCs w:val="32"/>
          <w:highlight w:val="none"/>
          <w:lang w:val="en-US" w:eastAsia="zh-CN"/>
        </w:rPr>
        <w:t>呼图壁县园户村镇良种场社区居民委员会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关于呼图壁县园户村镇良种场社区居民委员会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 w:hAnsi="仿宋" w:eastAsia="仿宋" w:cs="仿宋"/>
          <w:sz w:val="32"/>
          <w:szCs w:val="32"/>
          <w:highlight w:val="none"/>
          <w:lang w:val="en-US" w:eastAsia="zh-CN"/>
        </w:rPr>
        <w:t>呼图壁县园户村镇良种场社区居民委员会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、关于呼图壁县园户村镇良种场社区居民委员会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 w:hAnsi="仿宋" w:eastAsia="仿宋" w:cs="仿宋"/>
          <w:sz w:val="32"/>
          <w:szCs w:val="32"/>
          <w:highlight w:val="none"/>
          <w:lang w:val="en-US" w:eastAsia="zh-CN"/>
        </w:rPr>
        <w:t>呼图壁县园户村镇良种场社区居民委员会</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 xml:space="preserve">“三公”经费数为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万元，公务用车运行费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万元，公务接待费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w:t>
      </w:r>
      <w:r>
        <w:rPr>
          <w:rFonts w:hint="eastAsia" w:ascii="仿宋" w:hAnsi="仿宋" w:eastAsia="仿宋" w:cs="仿宋"/>
          <w:sz w:val="32"/>
          <w:szCs w:val="32"/>
          <w:highlight w:val="none"/>
          <w:lang w:val="en-US" w:eastAsia="zh-CN"/>
        </w:rPr>
        <w:t>主要原因是本单位没有在职人员，未安排预算。</w:t>
      </w:r>
    </w:p>
    <w:p>
      <w:pPr>
        <w:spacing w:line="560" w:lineRule="exact"/>
        <w:ind w:firstLine="640" w:firstLineChars="200"/>
        <w:rPr>
          <w:rFonts w:hint="eastAsia"/>
          <w:highlight w:val="none"/>
          <w:lang w:val="en-US" w:eastAsia="zh-CN"/>
        </w:rPr>
      </w:pP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eastAsia="zh-Hans"/>
        </w:rPr>
        <w:t>财政拨款</w:t>
      </w:r>
      <w:r>
        <w:rPr>
          <w:rFonts w:hint="eastAsia" w:ascii="仿宋_GB2312" w:hAnsi="宋体" w:eastAsia="仿宋_GB2312" w:cs="宋体"/>
          <w:kern w:val="0"/>
          <w:sz w:val="32"/>
          <w:szCs w:val="32"/>
          <w:highlight w:val="none"/>
        </w:rPr>
        <w:t>“三公”经费比上年</w:t>
      </w:r>
      <w:r>
        <w:rPr>
          <w:rFonts w:hint="eastAsia" w:ascii="仿宋_GB2312" w:hAnsi="宋体" w:eastAsia="仿宋_GB2312" w:cs="宋体"/>
          <w:kern w:val="0"/>
          <w:sz w:val="32"/>
          <w:szCs w:val="32"/>
          <w:highlight w:val="none"/>
          <w:lang w:eastAsia="zh-Hans"/>
        </w:rPr>
        <w:t>预算</w:t>
      </w:r>
      <w:r>
        <w:rPr>
          <w:rFonts w:hint="eastAsia" w:ascii="仿宋_GB2312" w:hAnsi="宋体" w:eastAsia="仿宋_GB2312" w:cs="宋体"/>
          <w:kern w:val="0"/>
          <w:sz w:val="32"/>
          <w:szCs w:val="32"/>
          <w:highlight w:val="none"/>
        </w:rPr>
        <w:t>增加</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%，其中：因公出国（境）费增加</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按照实际需求，2023、2024均未</w:t>
      </w:r>
      <w:r>
        <w:rPr>
          <w:rFonts w:hint="eastAsia" w:ascii="仿宋_GB2312" w:hAnsi="宋体" w:eastAsia="仿宋_GB2312" w:cs="宋体"/>
          <w:kern w:val="0"/>
          <w:sz w:val="32"/>
          <w:szCs w:val="32"/>
          <w:highlight w:val="none"/>
          <w:lang w:eastAsia="zh-CN"/>
        </w:rPr>
        <w:t>安排</w:t>
      </w:r>
      <w:r>
        <w:rPr>
          <w:rFonts w:hint="eastAsia" w:ascii="仿宋_GB2312" w:hAnsi="宋体" w:eastAsia="仿宋_GB2312" w:cs="宋体"/>
          <w:kern w:val="0"/>
          <w:sz w:val="32"/>
          <w:szCs w:val="32"/>
          <w:highlight w:val="none"/>
        </w:rPr>
        <w:t>因公出国（境）费；公务用车购置费增加</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按照实际需求，2023、2024均未</w:t>
      </w:r>
      <w:r>
        <w:rPr>
          <w:rFonts w:hint="eastAsia" w:ascii="仿宋_GB2312" w:hAnsi="宋体" w:eastAsia="仿宋_GB2312" w:cs="宋体"/>
          <w:kern w:val="0"/>
          <w:sz w:val="32"/>
          <w:szCs w:val="32"/>
          <w:highlight w:val="none"/>
          <w:lang w:eastAsia="zh-CN"/>
        </w:rPr>
        <w:t>安排</w:t>
      </w:r>
      <w:r>
        <w:rPr>
          <w:rFonts w:hint="eastAsia" w:ascii="仿宋_GB2312" w:hAnsi="宋体" w:eastAsia="仿宋_GB2312" w:cs="宋体"/>
          <w:kern w:val="0"/>
          <w:sz w:val="32"/>
          <w:szCs w:val="32"/>
          <w:highlight w:val="none"/>
        </w:rPr>
        <w:t>公务用车购置费；公务用车运行费增加</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%，主要原因</w:t>
      </w:r>
      <w:r>
        <w:rPr>
          <w:rFonts w:hint="eastAsia" w:ascii="仿宋_GB2312" w:hAnsi="宋体" w:eastAsia="仿宋_GB2312" w:cs="宋体"/>
          <w:kern w:val="0"/>
          <w:sz w:val="32"/>
          <w:szCs w:val="32"/>
          <w:highlight w:val="none"/>
          <w:lang w:val="en-US" w:eastAsia="zh-CN"/>
        </w:rPr>
        <w:t>2023、2024均未</w:t>
      </w:r>
      <w:r>
        <w:rPr>
          <w:rFonts w:hint="eastAsia" w:ascii="仿宋_GB2312" w:hAnsi="宋体" w:eastAsia="仿宋_GB2312" w:cs="宋体"/>
          <w:kern w:val="0"/>
          <w:sz w:val="32"/>
          <w:szCs w:val="32"/>
          <w:highlight w:val="none"/>
          <w:lang w:eastAsia="zh-CN"/>
        </w:rPr>
        <w:t>安排</w:t>
      </w:r>
      <w:r>
        <w:rPr>
          <w:rFonts w:hint="eastAsia" w:ascii="仿宋_GB2312" w:hAnsi="宋体" w:eastAsia="仿宋_GB2312" w:cs="宋体"/>
          <w:kern w:val="0"/>
          <w:sz w:val="32"/>
          <w:szCs w:val="32"/>
          <w:highlight w:val="none"/>
        </w:rPr>
        <w:t>公务用车运行费；公务接待费增加</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%，主要原因</w:t>
      </w:r>
      <w:r>
        <w:rPr>
          <w:rFonts w:hint="eastAsia" w:ascii="仿宋_GB2312" w:hAnsi="宋体" w:eastAsia="仿宋_GB2312" w:cs="宋体"/>
          <w:kern w:val="0"/>
          <w:sz w:val="32"/>
          <w:szCs w:val="32"/>
          <w:highlight w:val="none"/>
          <w:lang w:val="en-US" w:eastAsia="zh-CN"/>
        </w:rPr>
        <w:t>2023、2024均未</w:t>
      </w:r>
      <w:r>
        <w:rPr>
          <w:rFonts w:hint="eastAsia" w:ascii="仿宋_GB2312" w:hAnsi="宋体" w:eastAsia="仿宋_GB2312" w:cs="宋体"/>
          <w:kern w:val="0"/>
          <w:sz w:val="32"/>
          <w:szCs w:val="32"/>
          <w:highlight w:val="none"/>
          <w:lang w:eastAsia="zh-CN"/>
        </w:rPr>
        <w:t>安排</w:t>
      </w:r>
      <w:r>
        <w:rPr>
          <w:rFonts w:hint="eastAsia" w:ascii="仿宋_GB2312" w:hAnsi="宋体" w:eastAsia="仿宋_GB2312" w:cs="宋体"/>
          <w:kern w:val="0"/>
          <w:sz w:val="32"/>
          <w:szCs w:val="32"/>
          <w:highlight w:val="none"/>
        </w:rPr>
        <w:t>公务接待费；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、关于呼图壁县园户村镇良种场社区居民委员会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lang w:val="en-US" w:eastAsia="zh-Hans"/>
        </w:rPr>
      </w:pPr>
      <w:r>
        <w:rPr>
          <w:rFonts w:hint="eastAsia" w:ascii="仿宋" w:hAnsi="仿宋" w:eastAsia="仿宋" w:cs="仿宋"/>
          <w:sz w:val="32"/>
          <w:szCs w:val="32"/>
          <w:highlight w:val="none"/>
          <w:lang w:val="en-US" w:eastAsia="zh-CN"/>
        </w:rPr>
        <w:t>呼图壁县园户村镇良种场社区居民委员会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202</w:t>
      </w:r>
      <w:r>
        <w:rPr>
          <w:rFonts w:hint="eastAsia" w:ascii="仿宋_GB2312" w:hAnsi="仿宋_GB2312" w:eastAsia="仿宋_GB2312" w:cs="仿宋_GB2312"/>
          <w:kern w:val="0"/>
          <w:sz w:val="32"/>
          <w:szCs w:val="32"/>
          <w:highlight w:val="none"/>
          <w:lang w:val="en-US" w:eastAsia="zh-CN"/>
        </w:rPr>
        <w:t>4</w:t>
      </w:r>
      <w:r>
        <w:rPr>
          <w:rFonts w:hint="eastAsia" w:ascii="仿宋_GB2312" w:hAnsi="仿宋_GB2312" w:eastAsia="仿宋_GB2312" w:cs="仿宋_GB2312"/>
          <w:kern w:val="0"/>
          <w:sz w:val="32"/>
          <w:szCs w:val="32"/>
          <w:highlight w:val="none"/>
        </w:rPr>
        <w:t>年</w:t>
      </w:r>
      <w:r>
        <w:rPr>
          <w:rFonts w:hint="eastAsia" w:ascii="仿宋" w:hAnsi="仿宋" w:eastAsia="仿宋" w:cs="仿宋"/>
          <w:sz w:val="32"/>
          <w:szCs w:val="32"/>
          <w:highlight w:val="none"/>
          <w:lang w:val="en-US" w:eastAsia="zh-CN"/>
        </w:rPr>
        <w:t>呼图壁县园户村镇良种场社区居民委员会</w:t>
      </w:r>
      <w:r>
        <w:rPr>
          <w:rFonts w:hint="eastAsia" w:ascii="仿宋_GB2312" w:hAnsi="仿宋_GB2312" w:eastAsia="仿宋_GB2312" w:cs="仿宋_GB2312"/>
          <w:kern w:val="0"/>
          <w:sz w:val="32"/>
          <w:szCs w:val="32"/>
          <w:highlight w:val="none"/>
        </w:rPr>
        <w:t>本级及下属</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家行政单位和</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家事业单位的机关运行经费财政拨款预算</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sz w:val="32"/>
          <w:szCs w:val="32"/>
          <w:highlight w:val="none"/>
        </w:rPr>
        <w:t>主要原因是单位没有在职人员，不发生机关运行经费 。</w:t>
      </w:r>
      <w:r>
        <w:rPr>
          <w:rFonts w:hint="eastAsia" w:ascii="仿宋_GB2312" w:hAnsi="仿宋_GB2312" w:eastAsia="仿宋_GB2312" w:cs="仿宋_GB2312"/>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202</w:t>
      </w:r>
      <w:r>
        <w:rPr>
          <w:rFonts w:hint="eastAsia" w:ascii="仿宋_GB2312" w:hAnsi="仿宋_GB2312" w:eastAsia="仿宋_GB2312" w:cs="仿宋_GB2312"/>
          <w:kern w:val="0"/>
          <w:sz w:val="32"/>
          <w:szCs w:val="32"/>
          <w:highlight w:val="none"/>
          <w:lang w:val="en-US" w:eastAsia="zh-CN"/>
        </w:rPr>
        <w:t>4</w:t>
      </w:r>
      <w:r>
        <w:rPr>
          <w:rFonts w:hint="eastAsia" w:ascii="仿宋_GB2312" w:hAnsi="仿宋_GB2312" w:eastAsia="仿宋_GB2312" w:cs="仿宋_GB2312"/>
          <w:kern w:val="0"/>
          <w:sz w:val="32"/>
          <w:szCs w:val="32"/>
          <w:highlight w:val="none"/>
        </w:rPr>
        <w:t>年</w:t>
      </w:r>
      <w:r>
        <w:rPr>
          <w:rFonts w:hint="eastAsia" w:ascii="仿宋" w:hAnsi="仿宋" w:eastAsia="仿宋" w:cs="仿宋"/>
          <w:sz w:val="32"/>
          <w:szCs w:val="32"/>
          <w:highlight w:val="none"/>
          <w:lang w:val="en-US" w:eastAsia="zh-CN"/>
        </w:rPr>
        <w:t>呼图壁县园户村镇良种场社区居民委员会</w:t>
      </w:r>
      <w:r>
        <w:rPr>
          <w:rFonts w:hint="eastAsia" w:ascii="仿宋_GB2312" w:hAnsi="仿宋_GB2312" w:eastAsia="仿宋_GB2312" w:cs="仿宋_GB2312"/>
          <w:kern w:val="0"/>
          <w:sz w:val="32"/>
          <w:szCs w:val="32"/>
          <w:highlight w:val="none"/>
        </w:rPr>
        <w:t>政府采购预算</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 xml:space="preserve">万元，其中：政府采购货物预算 </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万元，政府采购工程预算</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万元，政府采购服务预算</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w:t>
      </w:r>
    </w:p>
    <w:p>
      <w:pPr>
        <w:spacing w:line="560" w:lineRule="exact"/>
        <w:ind w:firstLine="640" w:firstLineChars="200"/>
        <w:rPr>
          <w:rFonts w:hint="eastAsia" w:ascii="仿宋_GB2312" w:hAnsi="仿宋_GB2312" w:eastAsia="仿宋_GB2312" w:cs="仿宋_GB2312"/>
          <w:kern w:val="0"/>
          <w:sz w:val="32"/>
          <w:szCs w:val="32"/>
          <w:highlight w:val="none"/>
          <w:lang w:eastAsia="zh-Hans"/>
        </w:rPr>
      </w:pPr>
      <w:r>
        <w:rPr>
          <w:rFonts w:hint="eastAsia" w:ascii="仿宋_GB2312" w:hAnsi="仿宋_GB2312" w:eastAsia="仿宋_GB2312" w:cs="仿宋_GB2312"/>
          <w:sz w:val="32"/>
          <w:highlight w:val="none"/>
        </w:rPr>
        <w:t>202</w:t>
      </w:r>
      <w:r>
        <w:rPr>
          <w:rFonts w:hint="eastAsia" w:ascii="仿宋_GB2312" w:hAnsi="仿宋_GB2312" w:eastAsia="仿宋_GB2312" w:cs="仿宋_GB2312"/>
          <w:sz w:val="32"/>
          <w:highlight w:val="none"/>
          <w:lang w:val="en-US" w:eastAsia="zh-CN"/>
        </w:rPr>
        <w:t>4</w:t>
      </w:r>
      <w:r>
        <w:rPr>
          <w:rFonts w:hint="eastAsia" w:ascii="仿宋_GB2312" w:hAnsi="仿宋_GB2312" w:eastAsia="仿宋_GB2312" w:cs="仿宋_GB2312"/>
          <w:sz w:val="32"/>
          <w:highlight w:val="none"/>
        </w:rPr>
        <w:t>年度本单位面向中小企业预留政府采购项目预算金额</w:t>
      </w:r>
      <w:r>
        <w:rPr>
          <w:rFonts w:hint="eastAsia" w:ascii="仿宋_GB2312" w:hAnsi="仿宋_GB2312" w:eastAsia="仿宋_GB2312" w:cs="仿宋_GB2312"/>
          <w:sz w:val="32"/>
          <w:highlight w:val="none"/>
          <w:lang w:val="en-US" w:eastAsia="zh-CN"/>
        </w:rPr>
        <w:t>0</w:t>
      </w:r>
      <w:r>
        <w:rPr>
          <w:rFonts w:hint="eastAsia" w:ascii="仿宋_GB2312" w:hAnsi="仿宋_GB2312" w:eastAsia="仿宋_GB2312" w:cs="仿宋_GB2312"/>
          <w:sz w:val="32"/>
          <w:highlight w:val="none"/>
        </w:rPr>
        <w:t xml:space="preserve"> 万元，其中：面向小微企业预留政府采购项目预算金额</w:t>
      </w:r>
      <w:r>
        <w:rPr>
          <w:rFonts w:hint="eastAsia" w:ascii="仿宋_GB2312" w:hAnsi="仿宋_GB2312" w:eastAsia="仿宋_GB2312" w:cs="仿宋_GB2312"/>
          <w:sz w:val="32"/>
          <w:highlight w:val="none"/>
          <w:lang w:val="en-US" w:eastAsia="zh-CN"/>
        </w:rPr>
        <w:t>0</w:t>
      </w:r>
      <w:r>
        <w:rPr>
          <w:rFonts w:hint="eastAsia" w:ascii="仿宋_GB2312" w:hAnsi="仿宋_GB2312" w:eastAsia="仿宋_GB2312" w:cs="仿宋_GB2312"/>
          <w:sz w:val="32"/>
          <w:highlight w:val="none"/>
        </w:rPr>
        <w:t>万元</w:t>
      </w:r>
      <w:r>
        <w:rPr>
          <w:rFonts w:hint="eastAsia" w:ascii="仿宋_GB2312" w:hAnsi="仿宋_GB2312" w:eastAsia="仿宋_GB2312" w:cs="仿宋_GB2312"/>
          <w:sz w:val="32"/>
          <w:highlight w:val="none"/>
          <w:lang w:eastAsia="zh-Hans"/>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截至202</w:t>
      </w:r>
      <w:r>
        <w:rPr>
          <w:rFonts w:hint="eastAsia" w:ascii="仿宋_GB2312" w:hAnsi="仿宋_GB2312" w:eastAsia="仿宋_GB2312" w:cs="仿宋_GB2312"/>
          <w:kern w:val="0"/>
          <w:sz w:val="32"/>
          <w:szCs w:val="32"/>
          <w:highlight w:val="none"/>
          <w:lang w:val="en-US" w:eastAsia="zh-CN"/>
        </w:rPr>
        <w:t>3</w:t>
      </w:r>
      <w:r>
        <w:rPr>
          <w:rFonts w:hint="eastAsia" w:ascii="仿宋_GB2312" w:hAnsi="仿宋_GB2312" w:eastAsia="仿宋_GB2312" w:cs="仿宋_GB2312"/>
          <w:kern w:val="0"/>
          <w:sz w:val="32"/>
          <w:szCs w:val="32"/>
          <w:highlight w:val="none"/>
        </w:rPr>
        <w:t>年底，</w:t>
      </w:r>
      <w:r>
        <w:rPr>
          <w:rFonts w:hint="eastAsia" w:ascii="仿宋" w:hAnsi="仿宋" w:eastAsia="仿宋" w:cs="仿宋"/>
          <w:sz w:val="32"/>
          <w:szCs w:val="32"/>
          <w:highlight w:val="none"/>
          <w:lang w:val="en-US" w:eastAsia="zh-CN"/>
        </w:rPr>
        <w:t>呼图壁县园户村镇良种场社区居民委员会</w:t>
      </w:r>
      <w:r>
        <w:rPr>
          <w:rFonts w:hint="eastAsia" w:ascii="仿宋_GB2312" w:hAnsi="仿宋_GB2312" w:eastAsia="仿宋_GB2312" w:cs="仿宋_GB2312"/>
          <w:kern w:val="0"/>
          <w:sz w:val="32"/>
          <w:szCs w:val="32"/>
          <w:highlight w:val="none"/>
        </w:rPr>
        <w:t>及下属各预算单位占用使用国有资产总体情况为</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1.房屋 </w:t>
      </w:r>
      <w:r>
        <w:rPr>
          <w:rFonts w:hint="eastAsia" w:ascii="仿宋_GB2312" w:hAnsi="仿宋_GB2312" w:eastAsia="仿宋_GB2312" w:cs="仿宋_GB2312"/>
          <w:kern w:val="0"/>
          <w:sz w:val="32"/>
          <w:szCs w:val="32"/>
          <w:highlight w:val="none"/>
          <w:lang w:val="en-US" w:eastAsia="zh-CN"/>
        </w:rPr>
        <w:t>4425</w:t>
      </w:r>
      <w:r>
        <w:rPr>
          <w:rFonts w:hint="eastAsia" w:ascii="仿宋_GB2312" w:hAnsi="仿宋_GB2312" w:eastAsia="仿宋_GB2312" w:cs="仿宋_GB2312"/>
          <w:kern w:val="0"/>
          <w:sz w:val="32"/>
          <w:szCs w:val="32"/>
          <w:highlight w:val="none"/>
        </w:rPr>
        <w:t xml:space="preserve">平方米，价值 </w:t>
      </w:r>
      <w:r>
        <w:rPr>
          <w:rFonts w:hint="eastAsia" w:ascii="仿宋_GB2312" w:hAnsi="仿宋_GB2312" w:eastAsia="仿宋_GB2312" w:cs="仿宋_GB2312"/>
          <w:kern w:val="0"/>
          <w:sz w:val="32"/>
          <w:szCs w:val="32"/>
          <w:highlight w:val="none"/>
          <w:lang w:val="en-US" w:eastAsia="zh-CN"/>
        </w:rPr>
        <w:t>61.68</w:t>
      </w:r>
      <w:r>
        <w:rPr>
          <w:rFonts w:hint="eastAsia" w:ascii="仿宋_GB2312" w:hAnsi="仿宋_GB2312" w:eastAsia="仿宋_GB2312" w:cs="仿宋_GB2312"/>
          <w:kern w:val="0"/>
          <w:sz w:val="32"/>
          <w:szCs w:val="32"/>
          <w:highlight w:val="none"/>
        </w:rPr>
        <w:t>万元。</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2.车辆 </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辆，价值</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万元；其中：一般公务用车</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辆，价值</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万元；执法执勤用车</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辆，价值</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万元；其他车辆  辆，价值</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3.办公家具价值</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4.其他资产价值</w:t>
      </w:r>
      <w:r>
        <w:rPr>
          <w:rFonts w:hint="eastAsia" w:ascii="仿宋_GB2312" w:hAnsi="仿宋_GB2312" w:eastAsia="仿宋_GB2312" w:cs="仿宋_GB2312"/>
          <w:sz w:val="32"/>
          <w:szCs w:val="32"/>
          <w:highlight w:val="none"/>
        </w:rPr>
        <w:t>349.88</w:t>
      </w:r>
      <w:r>
        <w:rPr>
          <w:rFonts w:hint="eastAsia" w:ascii="仿宋_GB2312" w:hAnsi="仿宋_GB2312" w:eastAsia="仿宋_GB2312" w:cs="仿宋_GB2312"/>
          <w:kern w:val="0"/>
          <w:sz w:val="32"/>
          <w:szCs w:val="32"/>
          <w:highlight w:val="none"/>
        </w:rPr>
        <w:t xml:space="preserve"> 万元。</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单位价值50万元以上大型设备</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台（套），单位价值100万元以上大型设备</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台（套）。</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 w:hAnsi="仿宋" w:eastAsia="仿宋" w:cs="仿宋"/>
          <w:sz w:val="32"/>
          <w:szCs w:val="32"/>
          <w:highlight w:val="none"/>
          <w:lang w:val="en-US" w:eastAsia="zh-CN"/>
        </w:rPr>
        <w:t>呼图壁县园户村镇良种场社区居民委员会</w:t>
      </w:r>
      <w:r>
        <w:rPr>
          <w:rFonts w:hint="eastAsia" w:ascii="仿宋_GB2312" w:hAnsi="仿宋_GB2312" w:eastAsia="仿宋_GB2312" w:cs="仿宋_GB2312"/>
          <w:kern w:val="0"/>
          <w:sz w:val="32"/>
          <w:szCs w:val="32"/>
          <w:highlight w:val="none"/>
        </w:rPr>
        <w:t>预算未安排购置车辆经费，安排购置50万元以上大型设备</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台（套），单位价值100万元以上大型设备</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lang w:val="en-US" w:eastAsia="zh-Hans"/>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202</w:t>
      </w:r>
      <w:r>
        <w:rPr>
          <w:rFonts w:hint="eastAsia" w:ascii="仿宋_GB2312" w:hAnsi="仿宋_GB2312" w:eastAsia="仿宋_GB2312" w:cs="仿宋_GB2312"/>
          <w:kern w:val="0"/>
          <w:sz w:val="32"/>
          <w:szCs w:val="32"/>
          <w:highlight w:val="none"/>
          <w:lang w:val="en-US" w:eastAsia="zh-CN"/>
        </w:rPr>
        <w:t>4</w:t>
      </w:r>
      <w:r>
        <w:rPr>
          <w:rFonts w:hint="eastAsia" w:ascii="仿宋_GB2312" w:hAnsi="仿宋_GB2312" w:eastAsia="仿宋_GB2312" w:cs="仿宋_GB2312"/>
          <w:kern w:val="0"/>
          <w:sz w:val="32"/>
          <w:szCs w:val="32"/>
          <w:highlight w:val="none"/>
        </w:rPr>
        <w:t>年，本部门预算绩效管理整体预算绩效目标1个，涉及金额</w:t>
      </w:r>
      <w:r>
        <w:rPr>
          <w:rFonts w:hint="eastAsia" w:ascii="仿宋_GB2312" w:hAnsi="仿宋_GB2312" w:eastAsia="仿宋_GB2312" w:cs="仿宋_GB2312"/>
          <w:kern w:val="0"/>
          <w:sz w:val="32"/>
          <w:szCs w:val="32"/>
          <w:highlight w:val="none"/>
          <w:lang w:val="en-US" w:eastAsia="zh-CN"/>
        </w:rPr>
        <w:t>1.65</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eastAsia="zh-Hans"/>
        </w:rPr>
        <w:t>财政拨款</w:t>
      </w:r>
      <w:r>
        <w:rPr>
          <w:rFonts w:hint="eastAsia" w:ascii="仿宋_GB2312" w:hAnsi="仿宋_GB2312" w:eastAsia="仿宋_GB2312" w:cs="仿宋_GB2312"/>
          <w:kern w:val="0"/>
          <w:sz w:val="32"/>
          <w:szCs w:val="32"/>
          <w:highlight w:val="none"/>
        </w:rPr>
        <w:t>项目</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个，涉及预算金额</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lang w:eastAsia="zh-Hans"/>
        </w:rPr>
        <w:t>万元；非财政拨款项目</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lang w:eastAsia="zh-Hans"/>
        </w:rPr>
        <w:t>个，</w:t>
      </w:r>
      <w:r>
        <w:rPr>
          <w:rFonts w:hint="eastAsia" w:ascii="仿宋_GB2312" w:hAnsi="仿宋_GB2312" w:eastAsia="仿宋_GB2312" w:cs="仿宋_GB2312"/>
          <w:kern w:val="0"/>
          <w:sz w:val="32"/>
          <w:szCs w:val="32"/>
          <w:highlight w:val="none"/>
        </w:rPr>
        <w:t>涉及预算金额</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 xml:space="preserve"> 万元。</w:t>
      </w:r>
    </w:p>
    <w:tbl>
      <w:tblPr>
        <w:tblStyle w:val="6"/>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呼图壁县园户村镇良种场社区居民委员会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马娟</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19190692670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通过上级部门拨付资金，有效核实退休职工信息，保证退休职工冬碳费、独生子女奖励金、全年绩效及时发放；保证退休职工医疗保险、大额医疗保险、公务员医疗补助按时缴纳。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保障人员人数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=2人</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2024年工作计划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基本医疗参保人数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2人</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2024年工作计划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基本医疗保险参保率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100%</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2024年工作计划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highlight w:val="none"/>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line="600" w:lineRule="exact"/>
        <w:ind w:left="0" w:right="0" w:firstLine="643" w:firstLineChars="200"/>
        <w:jc w:val="left"/>
        <w:textAlignment w:val="auto"/>
        <w:outlineLvl w:val="9"/>
        <w:rPr>
          <w:rFonts w:hint="eastAsia"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val="en-US" w:eastAsia="zh-CN"/>
        </w:rPr>
        <w:t>2024 年度本单位面向中小企业预留政府采购项目预算未安排，面向小微企业预留政府采购项目预算未安排。</w:t>
      </w:r>
    </w:p>
    <w:p>
      <w:pPr>
        <w:pStyle w:val="2"/>
        <w:pageBreakBefore w:val="0"/>
        <w:widowControl w:val="0"/>
        <w:kinsoku/>
        <w:wordWrap/>
        <w:overflowPunct/>
        <w:topLinePunct w:val="0"/>
        <w:autoSpaceDE/>
        <w:autoSpaceDN/>
        <w:bidi w:val="0"/>
        <w:adjustRightInd/>
        <w:snapToGrid/>
        <w:spacing w:after="0"/>
        <w:ind w:left="0" w:right="0" w:firstLine="640" w:firstLineChars="200"/>
        <w:jc w:val="left"/>
        <w:textAlignment w:val="auto"/>
        <w:rPr>
          <w:rFonts w:hint="default"/>
          <w:highlight w:val="none"/>
          <w:lang w:val="en-US" w:eastAsia="zh-CN"/>
        </w:rPr>
      </w:pPr>
      <w:r>
        <w:rPr>
          <w:rFonts w:hint="eastAsia" w:ascii="仿宋_GB2312" w:hAnsi="仿宋_GB2312" w:eastAsia="仿宋_GB2312" w:cs="仿宋_GB2312"/>
          <w:kern w:val="0"/>
          <w:sz w:val="32"/>
          <w:szCs w:val="32"/>
          <w:highlight w:val="none"/>
          <w:lang w:eastAsia="zh-Hans"/>
        </w:rPr>
        <w:t>非财政拨款项目</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lang w:eastAsia="zh-Hans"/>
        </w:rPr>
        <w:t>个，</w:t>
      </w:r>
      <w:r>
        <w:rPr>
          <w:rFonts w:hint="eastAsia" w:ascii="仿宋_GB2312" w:hAnsi="仿宋_GB2312" w:eastAsia="仿宋_GB2312" w:cs="仿宋_GB2312"/>
          <w:kern w:val="0"/>
          <w:sz w:val="32"/>
          <w:szCs w:val="32"/>
          <w:highlight w:val="none"/>
        </w:rPr>
        <w:t>涉及预算金额</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呼图壁县园户村镇良种场社区居民委员会</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27</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日</w:t>
      </w:r>
    </w:p>
    <w:p>
      <w:pPr>
        <w:rPr>
          <w:highlight w:val="none"/>
        </w:rPr>
      </w:pPr>
    </w:p>
    <w:p>
      <w:pPr>
        <w:rPr>
          <w:highlight w:val="none"/>
        </w:rPr>
      </w:pPr>
    </w:p>
    <w:bookmarkEnd w:id="0"/>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- 2 -</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p>
  <w:p>
    <w:pPr>
      <w:pStyle w:val="3"/>
      <w:jc w:val="right"/>
      <w:rPr>
        <w:rFonts w:ascii="宋体" w:hAnsi="宋体" w:eastAsia="宋体"/>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- 56 -</w:t>
                    </w:r>
                    <w: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BiNzUwZmQxZDdkZjc1ODU4NzBiODk1MmRjMDAyYmIifQ=="/>
  </w:docVars>
  <w:rsids>
    <w:rsidRoot w:val="10587512"/>
    <w:rsid w:val="00EE2224"/>
    <w:rsid w:val="02D212D8"/>
    <w:rsid w:val="04267B2D"/>
    <w:rsid w:val="05397FD9"/>
    <w:rsid w:val="070E6657"/>
    <w:rsid w:val="08450B28"/>
    <w:rsid w:val="093D6186"/>
    <w:rsid w:val="0B247F12"/>
    <w:rsid w:val="0D6E5FD0"/>
    <w:rsid w:val="0DF7729D"/>
    <w:rsid w:val="0E9208E7"/>
    <w:rsid w:val="0F072621"/>
    <w:rsid w:val="0FAE6C29"/>
    <w:rsid w:val="10587512"/>
    <w:rsid w:val="10916BDA"/>
    <w:rsid w:val="12C44EE7"/>
    <w:rsid w:val="13E07980"/>
    <w:rsid w:val="141472A5"/>
    <w:rsid w:val="163C11D6"/>
    <w:rsid w:val="1697741D"/>
    <w:rsid w:val="1732414C"/>
    <w:rsid w:val="18357EE7"/>
    <w:rsid w:val="1A785AD0"/>
    <w:rsid w:val="1BEB54C3"/>
    <w:rsid w:val="1C3C6084"/>
    <w:rsid w:val="1CEB6DC6"/>
    <w:rsid w:val="1D3E1AFE"/>
    <w:rsid w:val="1D682B0D"/>
    <w:rsid w:val="1E48649A"/>
    <w:rsid w:val="1EB61656"/>
    <w:rsid w:val="20DD55C0"/>
    <w:rsid w:val="22DB78DD"/>
    <w:rsid w:val="244D65B8"/>
    <w:rsid w:val="2492221D"/>
    <w:rsid w:val="26B4291F"/>
    <w:rsid w:val="26E769FA"/>
    <w:rsid w:val="28533CA0"/>
    <w:rsid w:val="2936771D"/>
    <w:rsid w:val="293B2E83"/>
    <w:rsid w:val="2A012DF7"/>
    <w:rsid w:val="2A3F2D39"/>
    <w:rsid w:val="2A542F99"/>
    <w:rsid w:val="2AFC4894"/>
    <w:rsid w:val="2D480265"/>
    <w:rsid w:val="2D977453"/>
    <w:rsid w:val="2EF22236"/>
    <w:rsid w:val="31137F8D"/>
    <w:rsid w:val="326F0C6D"/>
    <w:rsid w:val="36283642"/>
    <w:rsid w:val="377D6D5D"/>
    <w:rsid w:val="3926495F"/>
    <w:rsid w:val="3B247C1B"/>
    <w:rsid w:val="3CC80A7A"/>
    <w:rsid w:val="3D956A92"/>
    <w:rsid w:val="3F977A6D"/>
    <w:rsid w:val="3FDF4D23"/>
    <w:rsid w:val="415723CD"/>
    <w:rsid w:val="42586A16"/>
    <w:rsid w:val="42C61B2F"/>
    <w:rsid w:val="43C26223"/>
    <w:rsid w:val="43D8307E"/>
    <w:rsid w:val="43E963FC"/>
    <w:rsid w:val="46CE3131"/>
    <w:rsid w:val="48D7679C"/>
    <w:rsid w:val="494F7907"/>
    <w:rsid w:val="4C0055E5"/>
    <w:rsid w:val="4C3677AE"/>
    <w:rsid w:val="4C706B3A"/>
    <w:rsid w:val="51694182"/>
    <w:rsid w:val="51C15CED"/>
    <w:rsid w:val="52285DEB"/>
    <w:rsid w:val="52AD62F0"/>
    <w:rsid w:val="546308FE"/>
    <w:rsid w:val="56723A6D"/>
    <w:rsid w:val="5F2346ED"/>
    <w:rsid w:val="61086613"/>
    <w:rsid w:val="639032C1"/>
    <w:rsid w:val="6408782B"/>
    <w:rsid w:val="65322CBF"/>
    <w:rsid w:val="65C72B29"/>
    <w:rsid w:val="683E1A6D"/>
    <w:rsid w:val="68CC52CB"/>
    <w:rsid w:val="68DE4FFE"/>
    <w:rsid w:val="694B58D7"/>
    <w:rsid w:val="69CE4E15"/>
    <w:rsid w:val="6B7F3246"/>
    <w:rsid w:val="6EF07839"/>
    <w:rsid w:val="6F63000B"/>
    <w:rsid w:val="71540351"/>
    <w:rsid w:val="72B56DCF"/>
    <w:rsid w:val="75B570E6"/>
    <w:rsid w:val="769E5DCD"/>
    <w:rsid w:val="780A1873"/>
    <w:rsid w:val="787D11B8"/>
    <w:rsid w:val="792C5912"/>
    <w:rsid w:val="7AF36B0E"/>
    <w:rsid w:val="7BB35690"/>
    <w:rsid w:val="7E8B30DA"/>
    <w:rsid w:val="7F095C4D"/>
    <w:rsid w:val="7F5E7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9"/>
    <w:pPr>
      <w:keepNext/>
      <w:keepLines/>
      <w:spacing w:after="3" w:line="259" w:lineRule="auto"/>
      <w:ind w:left="648" w:right="2340" w:hanging="10"/>
      <w:jc w:val="center"/>
      <w:outlineLvl w:val="2"/>
    </w:pPr>
    <w:rPr>
      <w:rFonts w:ascii="仿宋" w:hAnsi="仿宋" w:eastAsia="仿宋" w:cs="仿宋"/>
      <w:color w:val="000000"/>
      <w:kern w:val="2"/>
      <w:sz w:val="32"/>
      <w:szCs w:val="2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font11"/>
    <w:basedOn w:val="8"/>
    <w:qFormat/>
    <w:uiPriority w:val="0"/>
    <w:rPr>
      <w:rFonts w:hint="eastAsia" w:ascii="宋体" w:hAnsi="宋体" w:eastAsia="宋体" w:cs="宋体"/>
      <w:color w:val="000000"/>
      <w:sz w:val="24"/>
      <w:szCs w:val="24"/>
      <w:u w:val="none"/>
    </w:rPr>
  </w:style>
  <w:style w:type="character" w:customStyle="1" w:styleId="10">
    <w:name w:val="font51"/>
    <w:basedOn w:val="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6241</Words>
  <Characters>6848</Characters>
  <Lines>0</Lines>
  <Paragraphs>0</Paragraphs>
  <TotalTime>0</TotalTime>
  <ScaleCrop>false</ScaleCrop>
  <LinksUpToDate>false</LinksUpToDate>
  <CharactersWithSpaces>8291</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dcterms:modified xsi:type="dcterms:W3CDTF">2025-10-14T08:36:01Z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B581B557352D4638A52E08427680A311_13</vt:lpwstr>
  </property>
</Properties>
</file>