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黑体" w:hAnsi="黑体" w:eastAsia="黑体"/>
          <w:sz w:val="32"/>
          <w:szCs w:val="32"/>
        </w:rPr>
      </w:pPr>
      <w:bookmarkStart w:id="0" w:name="_GoBack"/>
      <w:bookmarkEnd w:id="0"/>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呼图壁县总工会2024年单位预算公开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2024年呼图壁县总工会单位概况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2024年单位预算公开表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2024年单位预算情况说明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一、关于呼图壁县总工会2024年收支预算情况的总体说明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二、关于呼图壁县总工会2024年收入预算情况说明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三、关于呼图壁县总工会2024年支出预算情况说明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四、关于呼图壁县总工会2024年财政拨款收支预算情况的总体说明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关于呼图壁县总工会2024年一般公共预算当年拨款情况说明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关于呼图壁县总工会2024年一般公共预算基本支出情况说明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关于呼图壁县总工会2024年一般公共预算项目支出情况说明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八、关于呼图壁县总工会2024年政府性基金预算拨款情况说明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九、关于呼图壁县总工会2024年国有资本经营预算拨款情况说明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十、关于呼图壁县总工会2024年财政拨款“三公”经费预算情况说明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十一、关于呼图壁县总工会2024年上年结转结余预算情况说明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2024年呼图壁县总工会</w:t>
      </w:r>
      <w:r>
        <w:rPr>
          <w:rFonts w:hint="eastAsia" w:ascii="黑体" w:hAnsi="黑体" w:eastAsia="黑体"/>
          <w:b/>
          <w:kern w:val="0"/>
          <w:sz w:val="32"/>
          <w:szCs w:val="32"/>
        </w:rPr>
        <w:t>单位</w:t>
      </w:r>
      <w:r>
        <w:rPr>
          <w:rFonts w:hint="eastAsia" w:ascii="黑体" w:hAnsi="黑体" w:eastAsia="黑体"/>
          <w:kern w:val="0"/>
          <w:sz w:val="32"/>
          <w:szCs w:val="32"/>
        </w:rPr>
        <w:t>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ind w:firstLine="480" w:firstLineChars="15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（一）根据党的基本理论、基本路线、基本纲领和工运方针，以及县委的工作部署和要求，围绕党和国家的工作大局，按照县委和自治州总工会的要求，贯彻执行县工会代表大会确定的方针、任务和作出的决议。</w:t>
      </w:r>
    </w:p>
    <w:p>
      <w:pPr>
        <w:widowControl/>
        <w:spacing w:line="560" w:lineRule="exact"/>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 xml:space="preserve">    (二）依照法律和《中国工会章程》，组织和指导全县各级工会坚定不移贯彻落实党的全心全意依靠工人阶级的根本指导方针，进一步突出和履行维护职能。</w:t>
      </w:r>
    </w:p>
    <w:p>
      <w:pPr>
        <w:widowControl/>
        <w:spacing w:line="560" w:lineRule="exact"/>
        <w:ind w:firstLine="480" w:firstLineChars="15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加强对涉及职工合法权益的重大问题进行调查研究，向县委、县人民政府职工群众的思想、愿望和要求，提出意见和建议；参与涉及职工切身利益的政策、法规、措施和制度的拟定；对侵犯职工合法权益的重大事件进行调查并提出处理意见；参与职工重大伤亡事故的调查处理；指导基层工会不断提高职工的思想道德和科学文化素质。</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(四）负责工会理论政策研究，为各级工会提供理论政策服务；研究拟定工会的组织制度和民主制度；指导全县各级工会自身改革和建设。</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(五）监督、检查县总工会机关党员干部党风廉政建设情况；研究制定全县工会干部的管理制度和培训规划；负责工会干部的教育培训工作。</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（六）协助县人民政府做好劳动模范的推荐、评选和管理工作；负责全国劳动模范、全国</w:t>
      </w:r>
      <w:r>
        <w:rPr>
          <w:rFonts w:hint="eastAsia" w:ascii="仿宋_GB2312" w:hAnsi="黑体" w:eastAsia="仿宋_GB2312" w:cs="宋体"/>
          <w:bCs/>
          <w:kern w:val="0"/>
          <w:sz w:val="32"/>
          <w:szCs w:val="32"/>
          <w:lang w:eastAsia="zh-CN"/>
        </w:rPr>
        <w:t>五一劳动奖章</w:t>
      </w:r>
      <w:r>
        <w:rPr>
          <w:rFonts w:hint="eastAsia" w:ascii="仿宋_GB2312" w:hAnsi="黑体" w:eastAsia="仿宋_GB2312" w:cs="宋体"/>
          <w:bCs/>
          <w:kern w:val="0"/>
          <w:sz w:val="32"/>
          <w:szCs w:val="32"/>
        </w:rPr>
        <w:t>、奖状和自治区“开发建设新疆”奖章、奖状获得者及全县</w:t>
      </w:r>
      <w:r>
        <w:rPr>
          <w:rFonts w:hint="eastAsia" w:ascii="仿宋_GB2312" w:hAnsi="黑体" w:eastAsia="仿宋_GB2312" w:cs="宋体"/>
          <w:bCs/>
          <w:kern w:val="0"/>
          <w:sz w:val="32"/>
          <w:szCs w:val="32"/>
          <w:lang w:eastAsia="zh-CN"/>
        </w:rPr>
        <w:t>五一劳动奖章</w:t>
      </w:r>
      <w:r>
        <w:rPr>
          <w:rFonts w:hint="eastAsia" w:ascii="仿宋_GB2312" w:hAnsi="黑体" w:eastAsia="仿宋_GB2312" w:cs="宋体"/>
          <w:bCs/>
          <w:kern w:val="0"/>
          <w:sz w:val="32"/>
          <w:szCs w:val="32"/>
        </w:rPr>
        <w:t>、奖状获得者的评选推荐和管理工作。</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（七）负责全县工会经费和工会资产的管理、审查、审计工作；贯彻全国总工会关于兴办职工劳动福利事业的指导、协调工作。</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（八）承担县委、县人民政府和自治州总工会交办的其他事项。</w:t>
      </w:r>
      <w:r>
        <w:rPr>
          <w:rFonts w:hint="eastAsia" w:ascii="仿宋_GB2312" w:hAnsi="宋体" w:eastAsia="仿宋_GB2312" w:cs="宋体"/>
          <w:bCs/>
          <w:kern w:val="0"/>
          <w:sz w:val="32"/>
          <w:szCs w:val="32"/>
        </w:rPr>
        <w:t xml:space="preserve"> </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呼图壁县总工会无下属预算单位，下设3个科室，分别是：</w:t>
      </w:r>
      <w:r>
        <w:rPr>
          <w:rFonts w:hint="eastAsia" w:ascii="仿宋_GB2312" w:hAnsi="宋体" w:eastAsia="仿宋_GB2312" w:cs="宋体"/>
          <w:kern w:val="0"/>
          <w:sz w:val="32"/>
          <w:szCs w:val="32"/>
        </w:rPr>
        <w:t>行政办、帮扶办、财务办。</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呼图壁县总工会编制数6人 ，实有人数16人，其中：在职5人，增加0人； 退休11人，增加1人；离休0人员，增加0人。</w:t>
      </w:r>
    </w:p>
    <w:p>
      <w:pPr>
        <w:widowControl/>
        <w:spacing w:line="540" w:lineRule="exact"/>
        <w:jc w:val="left"/>
        <w:rPr>
          <w:rFonts w:ascii="仿宋_GB2312" w:hAnsi="宋体" w:eastAsia="仿宋_GB2312" w:cs="宋体"/>
          <w:kern w:val="0"/>
          <w:sz w:val="32"/>
          <w:szCs w:val="32"/>
        </w:rPr>
      </w:pPr>
      <w:r>
        <w:rPr>
          <w:rFonts w:hint="eastAsia" w:ascii="黑体" w:hAnsi="黑体" w:eastAsia="黑体" w:cs="宋体"/>
          <w:b/>
          <w:bCs/>
          <w:kern w:val="0"/>
          <w:sz w:val="32"/>
          <w:szCs w:val="32"/>
        </w:rPr>
        <w:t xml:space="preserve"> </w:t>
      </w: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仿宋_GB2312" w:hAnsi="宋体" w:eastAsia="仿宋_GB2312" w:cs="宋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kern w:val="0"/>
          <w:sz w:val="32"/>
          <w:szCs w:val="32"/>
        </w:rPr>
        <w:t>2024年</w:t>
      </w:r>
      <w:r>
        <w:rPr>
          <w:rFonts w:hint="eastAsia" w:ascii="黑体" w:hAnsi="黑体" w:eastAsia="黑体"/>
          <w:kern w:val="0"/>
          <w:sz w:val="32"/>
          <w:szCs w:val="32"/>
        </w:rPr>
        <w:t>单位预算公开表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180.77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108.79　</w:t>
            </w:r>
          </w:p>
        </w:tc>
      </w:tr>
      <w:tr>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35.2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82.8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82.8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23.48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Cs/>
                <w:kern w:val="0"/>
                <w:sz w:val="20"/>
                <w:szCs w:val="20"/>
              </w:rPr>
            </w:pPr>
            <w:r>
              <w:rPr>
                <w:rFonts w:hint="eastAsia" w:ascii="仿宋_GB2312" w:hAnsi="宋体" w:eastAsia="仿宋_GB2312" w:cs="宋体"/>
                <w:bCs/>
                <w:kern w:val="0"/>
                <w:sz w:val="20"/>
                <w:szCs w:val="20"/>
              </w:rPr>
              <w:t>180.77</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180.77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单位收入总体情况表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781" w:type="dxa"/>
        <w:tblInd w:w="-459" w:type="dxa"/>
        <w:tblLayout w:type="fixed"/>
        <w:tblCellMar>
          <w:top w:w="0" w:type="dxa"/>
          <w:left w:w="108" w:type="dxa"/>
          <w:bottom w:w="0" w:type="dxa"/>
          <w:right w:w="108" w:type="dxa"/>
        </w:tblCellMar>
      </w:tblPr>
      <w:tblGrid>
        <w:gridCol w:w="567"/>
        <w:gridCol w:w="567"/>
        <w:gridCol w:w="567"/>
        <w:gridCol w:w="851"/>
        <w:gridCol w:w="850"/>
        <w:gridCol w:w="709"/>
        <w:gridCol w:w="709"/>
        <w:gridCol w:w="709"/>
        <w:gridCol w:w="425"/>
        <w:gridCol w:w="709"/>
        <w:gridCol w:w="425"/>
        <w:gridCol w:w="709"/>
        <w:gridCol w:w="425"/>
        <w:gridCol w:w="709"/>
        <w:gridCol w:w="425"/>
        <w:gridCol w:w="425"/>
      </w:tblGrid>
      <w:tr>
        <w:tblPrEx>
          <w:tblCellMar>
            <w:top w:w="0" w:type="dxa"/>
            <w:left w:w="108" w:type="dxa"/>
            <w:bottom w:w="0" w:type="dxa"/>
            <w:right w:w="108" w:type="dxa"/>
          </w:tblCellMar>
        </w:tblPrEx>
        <w:trPr>
          <w:trHeight w:val="728" w:hRule="atLeast"/>
        </w:trPr>
        <w:tc>
          <w:tcPr>
            <w:tcW w:w="170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39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2394" w:hRule="atLeast"/>
        </w:trPr>
        <w:tc>
          <w:tcPr>
            <w:tcW w:w="567"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567"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567"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85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0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　</w:t>
            </w:r>
          </w:p>
        </w:tc>
        <w:tc>
          <w:tcPr>
            <w:tcW w:w="56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6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一般公共服务支出</w:t>
            </w:r>
          </w:p>
        </w:tc>
        <w:tc>
          <w:tcPr>
            <w:tcW w:w="850"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108.79　</w:t>
            </w:r>
          </w:p>
        </w:tc>
        <w:tc>
          <w:tcPr>
            <w:tcW w:w="709"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r>
              <w:rPr>
                <w:rFonts w:hint="eastAsia" w:ascii="仿宋_GB2312" w:eastAsia="仿宋_GB2312"/>
                <w:color w:val="000000"/>
                <w:sz w:val="18"/>
                <w:szCs w:val="18"/>
              </w:rPr>
              <w:t>41.4</w:t>
            </w:r>
          </w:p>
        </w:tc>
        <w:tc>
          <w:tcPr>
            <w:tcW w:w="425" w:type="dxa"/>
            <w:tcBorders>
              <w:top w:val="nil"/>
              <w:left w:val="single" w:color="auto" w:sz="4" w:space="0"/>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shd w:val="clear" w:color="000000" w:fill="FFFFFF"/>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群众团体事务</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108.79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41.4</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29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01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行政运行</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108.79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67.39</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41.4</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社会保障和就业支出</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35.2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17</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行政事业单位养老支出</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35.2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18.2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17</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208</w:t>
            </w: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05</w:t>
            </w: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01</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行政单位离退休</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9.77</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9.77</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9.77</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机关事业单位基本养老保险缴费支出</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23.43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8.43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8.43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ind w:right="90"/>
              <w:jc w:val="right"/>
              <w:rPr>
                <w:rFonts w:ascii="仿宋_GB2312" w:eastAsia="仿宋_GB2312"/>
                <w:color w:val="000000"/>
                <w:sz w:val="18"/>
                <w:szCs w:val="18"/>
              </w:rPr>
            </w:pPr>
            <w:r>
              <w:rPr>
                <w:rFonts w:hint="eastAsia" w:ascii="仿宋_GB2312" w:eastAsia="仿宋_GB2312"/>
                <w:color w:val="000000"/>
                <w:sz w:val="18"/>
                <w:szCs w:val="18"/>
              </w:rPr>
              <w:t>15</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05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机关事业单位职业年金缴费支出</w:t>
            </w: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709" w:type="dxa"/>
            <w:tcBorders>
              <w:top w:val="nil"/>
              <w:left w:val="single" w:color="auto" w:sz="4" w:space="0"/>
              <w:bottom w:val="single" w:color="auto" w:sz="4" w:space="0"/>
              <w:right w:val="single" w:color="auto" w:sz="4" w:space="0"/>
            </w:tcBorders>
            <w:vAlign w:val="center"/>
          </w:tcPr>
          <w:p>
            <w:pPr>
              <w:ind w:right="200"/>
              <w:jc w:val="right"/>
              <w:rPr>
                <w:rFonts w:ascii="仿宋_GB2312" w:eastAsia="仿宋_GB2312"/>
                <w:sz w:val="20"/>
                <w:szCs w:val="20"/>
              </w:rPr>
            </w:pPr>
            <w:r>
              <w:rPr>
                <w:rFonts w:hint="eastAsia" w:ascii="仿宋_GB2312" w:eastAsia="仿宋_GB2312"/>
                <w:sz w:val="20"/>
                <w:szCs w:val="20"/>
              </w:rPr>
              <w:t>2</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卫生健康支出</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13.3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7.9</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行政事业单位医疗</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13.3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5.4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7.9</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01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行政单位医疗</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9.92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3.42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3.42</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6.5</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02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事业单位医疗</w:t>
            </w:r>
          </w:p>
        </w:tc>
        <w:tc>
          <w:tcPr>
            <w:tcW w:w="850" w:type="dxa"/>
            <w:tcBorders>
              <w:top w:val="nil"/>
              <w:left w:val="nil"/>
              <w:bottom w:val="single" w:color="auto" w:sz="4" w:space="0"/>
              <w:right w:val="single" w:color="auto" w:sz="4" w:space="0"/>
            </w:tcBorders>
            <w:vAlign w:val="center"/>
          </w:tcPr>
          <w:p>
            <w:pPr>
              <w:ind w:firstLine="90" w:firstLineChars="50"/>
              <w:jc w:val="left"/>
              <w:rPr>
                <w:rFonts w:ascii="仿宋_GB2312" w:eastAsia="仿宋_GB2312"/>
                <w:color w:val="000000"/>
                <w:sz w:val="18"/>
                <w:szCs w:val="18"/>
              </w:rPr>
            </w:pPr>
            <w:r>
              <w:rPr>
                <w:rFonts w:hint="eastAsia" w:ascii="仿宋_GB2312" w:eastAsia="仿宋_GB2312"/>
                <w:color w:val="000000"/>
                <w:sz w:val="18"/>
                <w:szCs w:val="18"/>
              </w:rPr>
              <w:t>0.79</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0.79</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0.79</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03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公务员医疗补助</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2.56</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1.16</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1.16</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1.4</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210　</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hAnsi="宋体" w:eastAsia="仿宋_GB2312" w:cs="宋体"/>
                <w:color w:val="000000"/>
                <w:sz w:val="18"/>
                <w:szCs w:val="18"/>
              </w:rPr>
              <w:t>11</w:t>
            </w:r>
          </w:p>
        </w:tc>
        <w:tc>
          <w:tcPr>
            <w:tcW w:w="567"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20"/>
                <w:szCs w:val="20"/>
              </w:rPr>
            </w:pPr>
            <w:r>
              <w:rPr>
                <w:rFonts w:hint="eastAsia" w:ascii="仿宋_GB2312" w:eastAsia="仿宋_GB2312"/>
                <w:color w:val="000000"/>
                <w:sz w:val="18"/>
                <w:szCs w:val="18"/>
              </w:rPr>
              <w:t>99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其他行政单位医疗支出</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0.03</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0.03</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0.03</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851"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ascii="仿宋_GB2312" w:hAnsi="宋体" w:eastAsia="仿宋_GB2312" w:cs="宋体"/>
                <w:color w:val="000000"/>
                <w:sz w:val="20"/>
                <w:szCs w:val="20"/>
              </w:rPr>
              <w:t>住房保障支出</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23.48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16.5</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02　</w:t>
            </w: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住房改革支出</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23.48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16.5</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221</w:t>
            </w: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02　</w:t>
            </w:r>
          </w:p>
        </w:tc>
        <w:tc>
          <w:tcPr>
            <w:tcW w:w="567"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01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ascii="仿宋_GB2312" w:hAnsi="宋体" w:eastAsia="仿宋_GB2312" w:cs="宋体"/>
                <w:color w:val="000000"/>
                <w:sz w:val="20"/>
                <w:szCs w:val="20"/>
              </w:rPr>
              <w:t>住房公积金</w:t>
            </w:r>
          </w:p>
        </w:tc>
        <w:tc>
          <w:tcPr>
            <w:tcW w:w="850"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23.48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6.98</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16.5</w:t>
            </w: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c>
          <w:tcPr>
            <w:tcW w:w="425"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56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51"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color w:val="000000"/>
                <w:sz w:val="18"/>
                <w:szCs w:val="18"/>
              </w:rPr>
              <w:t>180.77</w:t>
            </w:r>
            <w:r>
              <w:rPr>
                <w:rFonts w:hint="eastAsia" w:ascii="仿宋_GB2312" w:eastAsia="仿宋_GB2312"/>
                <w:sz w:val="20"/>
                <w:szCs w:val="20"/>
              </w:rPr>
              <w:t>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97.97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97.97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p>
        </w:tc>
        <w:tc>
          <w:tcPr>
            <w:tcW w:w="425"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　</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82.8</w:t>
            </w: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2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420" w:type="dxa"/>
        <w:tblInd w:w="-240" w:type="dxa"/>
        <w:tblLayout w:type="fixed"/>
        <w:tblCellMar>
          <w:top w:w="0" w:type="dxa"/>
          <w:left w:w="108" w:type="dxa"/>
          <w:bottom w:w="0" w:type="dxa"/>
          <w:right w:w="108" w:type="dxa"/>
        </w:tblCellMar>
      </w:tblPr>
      <w:tblGrid>
        <w:gridCol w:w="486"/>
        <w:gridCol w:w="416"/>
        <w:gridCol w:w="417"/>
        <w:gridCol w:w="2563"/>
        <w:gridCol w:w="1830"/>
        <w:gridCol w:w="1831"/>
        <w:gridCol w:w="1877"/>
      </w:tblGrid>
      <w:tr>
        <w:tblPrEx>
          <w:tblCellMar>
            <w:top w:w="0" w:type="dxa"/>
            <w:left w:w="108" w:type="dxa"/>
            <w:bottom w:w="0" w:type="dxa"/>
            <w:right w:w="108" w:type="dxa"/>
          </w:tblCellMar>
        </w:tblPrEx>
        <w:trPr>
          <w:trHeight w:val="328" w:hRule="atLeast"/>
        </w:trPr>
        <w:tc>
          <w:tcPr>
            <w:tcW w:w="3882"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38"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31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31"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7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3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31"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7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一般公共服务支出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29</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群众团体事务</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29</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行政运行</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108.79</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社会保障和就业支出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行政事业单位养老支出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35.2</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行政单位离退休</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9.77</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9.77</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机关事业单位基本养老保险缴费支出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23.43</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23.43</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208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05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06</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机关事业单位职业年金缴费支出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卫生健康支出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行政事业单位医疗</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13.3</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行政单位医疗</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9.92</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9.92</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事业单位医疗</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0.79</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0.79</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03</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公务员医疗补助</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2.56</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2.56</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210</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99</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rPr>
              <w:t>其他行政事业单位医疗支出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0.03</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0.03</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住房保障支出</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住房改革支出</w:t>
            </w:r>
          </w:p>
        </w:tc>
        <w:tc>
          <w:tcPr>
            <w:tcW w:w="1830" w:type="dxa"/>
            <w:tcBorders>
              <w:top w:val="nil"/>
              <w:left w:val="nil"/>
              <w:bottom w:val="single" w:color="auto" w:sz="4" w:space="0"/>
              <w:right w:val="single" w:color="auto" w:sz="4"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31" w:type="dxa"/>
            <w:tcBorders>
              <w:top w:val="nil"/>
              <w:left w:val="nil"/>
              <w:bottom w:val="single" w:color="auto" w:sz="4" w:space="0"/>
              <w:right w:val="single" w:color="auto" w:sz="4"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221</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01</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_GB2312" w:hAnsi="仿宋_GB2312" w:eastAsia="仿宋_GB2312" w:cs="仿宋_GB2312"/>
                <w:color w:val="000000"/>
                <w:kern w:val="0"/>
                <w:sz w:val="20"/>
                <w:szCs w:val="20"/>
              </w:rPr>
              <w:t>住房公积金</w:t>
            </w:r>
          </w:p>
        </w:tc>
        <w:tc>
          <w:tcPr>
            <w:tcW w:w="1830" w:type="dxa"/>
            <w:tcBorders>
              <w:top w:val="nil"/>
              <w:left w:val="nil"/>
              <w:bottom w:val="single" w:color="auto" w:sz="4" w:space="0"/>
              <w:right w:val="single" w:color="auto" w:sz="4"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31" w:type="dxa"/>
            <w:tcBorders>
              <w:top w:val="nil"/>
              <w:left w:val="nil"/>
              <w:bottom w:val="single" w:color="auto" w:sz="4" w:space="0"/>
              <w:right w:val="single" w:color="auto" w:sz="4" w:space="0"/>
            </w:tcBorders>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23.48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Cs/>
                <w:kern w:val="0"/>
                <w:sz w:val="18"/>
                <w:szCs w:val="18"/>
              </w:rPr>
            </w:pPr>
            <w:r>
              <w:rPr>
                <w:rFonts w:hint="eastAsia" w:ascii="宋体" w:hAnsi="宋体" w:cs="宋体"/>
                <w:bCs/>
                <w:kern w:val="0"/>
                <w:sz w:val="18"/>
                <w:szCs w:val="18"/>
              </w:rPr>
              <w:t>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tc>
        <w:tc>
          <w:tcPr>
            <w:tcW w:w="416"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2563" w:type="dxa"/>
            <w:tcBorders>
              <w:top w:val="nil"/>
              <w:left w:val="nil"/>
              <w:bottom w:val="single" w:color="auto" w:sz="4" w:space="0"/>
              <w:right w:val="single" w:color="auto" w:sz="4" w:space="0"/>
            </w:tcBorders>
            <w:vAlign w:val="center"/>
          </w:tcPr>
          <w:p/>
        </w:tc>
        <w:tc>
          <w:tcPr>
            <w:tcW w:w="1830" w:type="dxa"/>
            <w:tcBorders>
              <w:top w:val="nil"/>
              <w:left w:val="nil"/>
              <w:bottom w:val="single" w:color="auto" w:sz="4" w:space="0"/>
              <w:right w:val="single" w:color="auto" w:sz="4" w:space="0"/>
            </w:tcBorders>
            <w:vAlign w:val="center"/>
          </w:tcPr>
          <w:p>
            <w:pPr>
              <w:rPr>
                <w:sz w:val="18"/>
                <w:szCs w:val="18"/>
              </w:rPr>
            </w:pPr>
          </w:p>
        </w:tc>
        <w:tc>
          <w:tcPr>
            <w:tcW w:w="1831" w:type="dxa"/>
            <w:tcBorders>
              <w:top w:val="nil"/>
              <w:left w:val="nil"/>
              <w:bottom w:val="single" w:color="auto" w:sz="4" w:space="0"/>
              <w:right w:val="single" w:color="auto" w:sz="4" w:space="0"/>
            </w:tcBorders>
            <w:vAlign w:val="center"/>
          </w:tcPr>
          <w:p>
            <w:pPr>
              <w:rPr>
                <w:sz w:val="18"/>
                <w:szCs w:val="18"/>
              </w:rPr>
            </w:pPr>
          </w:p>
        </w:tc>
        <w:tc>
          <w:tcPr>
            <w:tcW w:w="1877" w:type="dxa"/>
            <w:tcBorders>
              <w:top w:val="nil"/>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56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3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180.77</w:t>
            </w:r>
          </w:p>
        </w:tc>
        <w:tc>
          <w:tcPr>
            <w:tcW w:w="183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18"/>
                <w:szCs w:val="18"/>
              </w:rPr>
            </w:pPr>
            <w:r>
              <w:rPr>
                <w:rFonts w:hint="eastAsia" w:ascii="宋体" w:hAnsi="宋体" w:cs="宋体"/>
                <w:kern w:val="0"/>
                <w:sz w:val="18"/>
                <w:szCs w:val="18"/>
              </w:rPr>
              <w:t>180.77</w:t>
            </w:r>
          </w:p>
        </w:tc>
        <w:tc>
          <w:tcPr>
            <w:tcW w:w="187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67.39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67.39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97.97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18.2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18.2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5.4</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5.4</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6.98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6.98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97.97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97.97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22"/>
                <w:szCs w:val="22"/>
              </w:rPr>
              <w:t>97.97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spacing w:line="320" w:lineRule="exact"/>
        <w:outlineLvl w:val="1"/>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5"/>
        <w:tblW w:w="9214" w:type="dxa"/>
        <w:tblInd w:w="-34" w:type="dxa"/>
        <w:tblLayout w:type="fixed"/>
        <w:tblCellMar>
          <w:top w:w="0" w:type="dxa"/>
          <w:left w:w="108" w:type="dxa"/>
          <w:bottom w:w="0" w:type="dxa"/>
          <w:right w:w="108" w:type="dxa"/>
        </w:tblCellMar>
      </w:tblPr>
      <w:tblGrid>
        <w:gridCol w:w="569"/>
        <w:gridCol w:w="499"/>
        <w:gridCol w:w="502"/>
        <w:gridCol w:w="2477"/>
        <w:gridCol w:w="653"/>
        <w:gridCol w:w="1011"/>
        <w:gridCol w:w="214"/>
        <w:gridCol w:w="1606"/>
        <w:gridCol w:w="168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047"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编制单位：呼图壁县总工会</w:t>
            </w:r>
          </w:p>
        </w:tc>
        <w:tc>
          <w:tcPr>
            <w:tcW w:w="653"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25"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289"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404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6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57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77"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6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2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8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569"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77"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6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2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8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201　</w:t>
            </w:r>
          </w:p>
        </w:tc>
        <w:tc>
          <w:tcPr>
            <w:tcW w:w="499"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　</w:t>
            </w:r>
          </w:p>
        </w:tc>
        <w:tc>
          <w:tcPr>
            <w:tcW w:w="502" w:type="dxa"/>
            <w:tcBorders>
              <w:top w:val="nil"/>
              <w:left w:val="nil"/>
              <w:bottom w:val="single" w:color="auto" w:sz="4" w:space="0"/>
              <w:right w:val="single" w:color="auto" w:sz="4" w:space="0"/>
            </w:tcBorders>
            <w:vAlign w:val="center"/>
          </w:tcPr>
          <w:p>
            <w:pPr>
              <w:jc w:val="left"/>
              <w:rPr>
                <w:rFonts w:ascii="仿宋_GB2312" w:hAnsi="宋体" w:eastAsia="仿宋_GB2312" w:cs="宋体"/>
                <w:b/>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一般公共服务支出</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67.39</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67.39</w:t>
            </w:r>
          </w:p>
        </w:tc>
        <w:tc>
          <w:tcPr>
            <w:tcW w:w="1683"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201</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29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群众团体事务</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67.39</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67.39</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201</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29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行政运行</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67.39</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67.39</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社会保障和就业支出</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18.2</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18.2</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行政事业单位养老支出</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18.2</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18.2</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2"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01</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行政单位离退休</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9.77</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9.77</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208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05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机关事业单位基本养老保险缴费支出</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8.43</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8.43</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卫生健康支出</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5.4</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5.4</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行政事业单位医疗</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5.4</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5.4</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行政单位医疗</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3.42</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3.42</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210</w:t>
            </w:r>
          </w:p>
        </w:tc>
        <w:tc>
          <w:tcPr>
            <w:tcW w:w="499" w:type="dxa"/>
            <w:tcBorders>
              <w:top w:val="nil"/>
              <w:left w:val="nil"/>
              <w:bottom w:val="single" w:color="auto" w:sz="4" w:space="0"/>
              <w:right w:val="single" w:color="auto" w:sz="4" w:space="0"/>
            </w:tcBorders>
            <w:vAlign w:val="center"/>
          </w:tcPr>
          <w:p>
            <w:pPr>
              <w:jc w:val="lef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pPr>
              <w:jc w:val="left"/>
              <w:rPr>
                <w:rFonts w:ascii="仿宋_GB2312" w:eastAsia="仿宋_GB2312"/>
                <w:color w:val="000000"/>
                <w:sz w:val="18"/>
                <w:szCs w:val="18"/>
              </w:rPr>
            </w:pPr>
            <w:r>
              <w:rPr>
                <w:rFonts w:hint="eastAsia" w:ascii="仿宋_GB2312" w:eastAsia="仿宋_GB2312"/>
                <w:color w:val="000000"/>
                <w:sz w:val="18"/>
                <w:szCs w:val="18"/>
              </w:rPr>
              <w:t>02</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事业单位医疗</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0.79</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0.79</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03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公务员医疗补助</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1.16</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1.16</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210　</w:t>
            </w:r>
          </w:p>
        </w:tc>
        <w:tc>
          <w:tcPr>
            <w:tcW w:w="499"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hAnsi="宋体" w:eastAsia="仿宋_GB2312" w:cs="宋体"/>
                <w:color w:val="000000"/>
                <w:sz w:val="18"/>
                <w:szCs w:val="18"/>
              </w:rPr>
              <w:t>11</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99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其他行政事业单位医疗支出</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0.03</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0.03</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499"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p>
        </w:tc>
        <w:tc>
          <w:tcPr>
            <w:tcW w:w="502"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住房保障支出</w:t>
            </w:r>
          </w:p>
        </w:tc>
        <w:tc>
          <w:tcPr>
            <w:tcW w:w="1664"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20"/>
                <w:szCs w:val="20"/>
              </w:rPr>
              <w:t>6.98</w:t>
            </w:r>
          </w:p>
        </w:tc>
        <w:tc>
          <w:tcPr>
            <w:tcW w:w="1820"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20"/>
                <w:szCs w:val="20"/>
              </w:rPr>
              <w:t>6.98</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499"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02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住房改革支出</w:t>
            </w:r>
          </w:p>
        </w:tc>
        <w:tc>
          <w:tcPr>
            <w:tcW w:w="1664"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20"/>
                <w:szCs w:val="20"/>
              </w:rPr>
              <w:t>6.98</w:t>
            </w:r>
          </w:p>
        </w:tc>
        <w:tc>
          <w:tcPr>
            <w:tcW w:w="1820"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20"/>
                <w:szCs w:val="20"/>
              </w:rPr>
              <w:t>6.98</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221</w:t>
            </w:r>
          </w:p>
        </w:tc>
        <w:tc>
          <w:tcPr>
            <w:tcW w:w="499" w:type="dxa"/>
            <w:tcBorders>
              <w:top w:val="nil"/>
              <w:left w:val="nil"/>
              <w:bottom w:val="single" w:color="auto" w:sz="4" w:space="0"/>
              <w:right w:val="single" w:color="auto" w:sz="4" w:space="0"/>
            </w:tcBorders>
            <w:vAlign w:val="center"/>
          </w:tcPr>
          <w:p>
            <w:pPr>
              <w:jc w:val="right"/>
              <w:rPr>
                <w:rFonts w:ascii="宋体" w:hAnsi="宋体" w:cs="宋体"/>
                <w:color w:val="000000"/>
                <w:kern w:val="0"/>
                <w:sz w:val="18"/>
                <w:szCs w:val="18"/>
              </w:rPr>
            </w:pPr>
            <w:r>
              <w:rPr>
                <w:rFonts w:hint="eastAsia" w:ascii="仿宋_GB2312" w:eastAsia="仿宋_GB2312"/>
                <w:color w:val="000000"/>
                <w:sz w:val="18"/>
                <w:szCs w:val="18"/>
              </w:rPr>
              <w:t>02　</w:t>
            </w:r>
          </w:p>
        </w:tc>
        <w:tc>
          <w:tcPr>
            <w:tcW w:w="502" w:type="dxa"/>
            <w:tcBorders>
              <w:top w:val="nil"/>
              <w:left w:val="nil"/>
              <w:bottom w:val="single" w:color="auto" w:sz="4" w:space="0"/>
              <w:right w:val="single" w:color="auto" w:sz="4" w:space="0"/>
            </w:tcBorders>
            <w:vAlign w:val="center"/>
          </w:tcPr>
          <w:p>
            <w:pPr>
              <w:jc w:val="left"/>
              <w:rPr>
                <w:rFonts w:ascii="宋体" w:hAnsi="宋体" w:cs="宋体"/>
                <w:color w:val="000000"/>
                <w:kern w:val="0"/>
                <w:sz w:val="18"/>
                <w:szCs w:val="18"/>
              </w:rPr>
            </w:pPr>
            <w:r>
              <w:rPr>
                <w:rFonts w:hint="eastAsia" w:ascii="仿宋_GB2312" w:eastAsia="仿宋_GB2312"/>
                <w:color w:val="000000"/>
                <w:sz w:val="18"/>
                <w:szCs w:val="18"/>
              </w:rPr>
              <w:t>01　</w:t>
            </w:r>
          </w:p>
        </w:tc>
        <w:tc>
          <w:tcPr>
            <w:tcW w:w="2477"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住房公积金</w:t>
            </w:r>
          </w:p>
        </w:tc>
        <w:tc>
          <w:tcPr>
            <w:tcW w:w="1664"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20"/>
                <w:szCs w:val="20"/>
              </w:rPr>
              <w:t>6.98</w:t>
            </w:r>
          </w:p>
        </w:tc>
        <w:tc>
          <w:tcPr>
            <w:tcW w:w="1820" w:type="dxa"/>
            <w:gridSpan w:val="2"/>
            <w:tcBorders>
              <w:top w:val="nil"/>
              <w:left w:val="nil"/>
              <w:bottom w:val="single" w:color="auto" w:sz="4" w:space="0"/>
              <w:right w:val="single" w:color="auto" w:sz="4" w:space="0"/>
            </w:tcBorders>
            <w:vAlign w:val="center"/>
          </w:tcPr>
          <w:p>
            <w:pPr>
              <w:jc w:val="center"/>
            </w:pPr>
            <w:r>
              <w:rPr>
                <w:rFonts w:hint="eastAsia" w:ascii="宋体" w:hAnsi="宋体" w:cs="宋体"/>
                <w:kern w:val="0"/>
                <w:sz w:val="20"/>
                <w:szCs w:val="20"/>
              </w:rPr>
              <w:t>6.98</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6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20"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4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6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20"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6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20"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69"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77"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97.97</w:t>
            </w:r>
          </w:p>
        </w:tc>
        <w:tc>
          <w:tcPr>
            <w:tcW w:w="1820"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97.97</w:t>
            </w:r>
          </w:p>
        </w:tc>
        <w:tc>
          <w:tcPr>
            <w:tcW w:w="1683"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编制单位：呼图壁县总工会</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79.21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79.21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21.66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21.66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17.54</w:t>
            </w:r>
          </w:p>
        </w:tc>
        <w:tc>
          <w:tcPr>
            <w:tcW w:w="1701" w:type="dxa"/>
            <w:gridSpan w:val="2"/>
            <w:tcBorders>
              <w:top w:val="nil"/>
              <w:left w:val="nil"/>
              <w:bottom w:val="single" w:color="auto" w:sz="4" w:space="0"/>
              <w:right w:val="single" w:color="auto" w:sz="4" w:space="0"/>
            </w:tcBorders>
            <w:vAlign w:val="center"/>
          </w:tcPr>
          <w:p>
            <w:pPr>
              <w:widowControl/>
              <w:ind w:right="147" w:rightChars="70"/>
              <w:jc w:val="center"/>
              <w:rPr>
                <w:rFonts w:ascii="宋体" w:hAnsi="宋体" w:cs="宋体"/>
                <w:kern w:val="0"/>
                <w:sz w:val="20"/>
                <w:szCs w:val="20"/>
              </w:rPr>
            </w:pPr>
            <w:r>
              <w:rPr>
                <w:rFonts w:hint="eastAsia" w:ascii="宋体" w:hAnsi="宋体" w:cs="宋体"/>
                <w:kern w:val="0"/>
                <w:sz w:val="20"/>
                <w:szCs w:val="20"/>
              </w:rPr>
              <w:t>17.54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16.51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16.51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2.43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2.43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8.43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8.43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城镇职工基本医疗保险缴费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4.21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4.21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公务员医疗保险缴费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1.16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1.16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0.29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6.98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8.98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8.98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邮电费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0.39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取暖费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5.37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1.02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对个人和家庭补助支出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9.78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9.78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9.12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9.12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0.64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0.64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18"/>
                <w:szCs w:val="18"/>
              </w:rPr>
            </w:pPr>
            <w:r>
              <w:rPr>
                <w:rFonts w:hint="eastAsia"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其他对个人和家庭补助支出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0.01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97.97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88.99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8.98</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110"/>
        <w:gridCol w:w="45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编制单位：呼图壁县总工会</w:t>
            </w:r>
          </w:p>
        </w:tc>
        <w:tc>
          <w:tcPr>
            <w:tcW w:w="981"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400"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3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1"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53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5"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40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3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1"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65"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417" w:type="dxa"/>
          </w:tcPr>
          <w:p>
            <w:pPr>
              <w:widowControl/>
              <w:jc w:val="left"/>
              <w:outlineLvl w:val="1"/>
              <w:rPr>
                <w:rFonts w:ascii="仿宋_GB2312" w:hAnsi="宋体" w:eastAsia="仿宋_GB2312"/>
                <w:kern w:val="0"/>
                <w:sz w:val="32"/>
                <w:szCs w:val="32"/>
              </w:rPr>
            </w:pPr>
          </w:p>
        </w:tc>
        <w:tc>
          <w:tcPr>
            <w:tcW w:w="828" w:type="dxa"/>
          </w:tcPr>
          <w:p>
            <w:pPr>
              <w:widowControl/>
              <w:jc w:val="left"/>
              <w:outlineLvl w:val="1"/>
              <w:rPr>
                <w:rFonts w:ascii="仿宋_GB2312" w:hAnsi="宋体" w:eastAsia="仿宋_GB2312"/>
                <w:kern w:val="0"/>
                <w:sz w:val="32"/>
                <w:szCs w:val="32"/>
              </w:rPr>
            </w:pPr>
          </w:p>
        </w:tc>
        <w:tc>
          <w:tcPr>
            <w:tcW w:w="1400" w:type="dxa"/>
          </w:tcPr>
          <w:p>
            <w:pPr>
              <w:widowControl/>
              <w:jc w:val="left"/>
              <w:outlineLvl w:val="1"/>
              <w:rPr>
                <w:rFonts w:ascii="仿宋_GB2312" w:hAnsi="宋体" w:eastAsia="仿宋_GB2312"/>
                <w:kern w:val="0"/>
                <w:sz w:val="32"/>
                <w:szCs w:val="32"/>
              </w:rPr>
            </w:pPr>
          </w:p>
        </w:tc>
        <w:tc>
          <w:tcPr>
            <w:tcW w:w="732" w:type="dxa"/>
          </w:tcPr>
          <w:p>
            <w:pPr>
              <w:widowControl/>
              <w:jc w:val="left"/>
              <w:outlineLvl w:val="1"/>
              <w:rPr>
                <w:rFonts w:ascii="仿宋_GB2312" w:hAnsi="宋体" w:eastAsia="仿宋_GB2312"/>
                <w:kern w:val="0"/>
                <w:sz w:val="32"/>
                <w:szCs w:val="32"/>
              </w:rPr>
            </w:pPr>
          </w:p>
        </w:tc>
        <w:tc>
          <w:tcPr>
            <w:tcW w:w="561" w:type="dxa"/>
            <w:gridSpan w:val="2"/>
          </w:tcPr>
          <w:p>
            <w:pPr>
              <w:widowControl/>
              <w:jc w:val="left"/>
              <w:outlineLvl w:val="1"/>
              <w:rPr>
                <w:rFonts w:ascii="仿宋_GB2312" w:hAnsi="宋体" w:eastAsia="仿宋_GB2312"/>
                <w:kern w:val="0"/>
                <w:sz w:val="32"/>
                <w:szCs w:val="32"/>
              </w:rPr>
            </w:pPr>
          </w:p>
        </w:tc>
        <w:tc>
          <w:tcPr>
            <w:tcW w:w="530" w:type="dxa"/>
          </w:tcPr>
          <w:p>
            <w:pPr>
              <w:widowControl/>
              <w:jc w:val="left"/>
              <w:outlineLvl w:val="1"/>
              <w:rPr>
                <w:rFonts w:ascii="仿宋_GB2312" w:hAnsi="宋体" w:eastAsia="仿宋_GB2312"/>
                <w:kern w:val="0"/>
                <w:sz w:val="32"/>
                <w:szCs w:val="32"/>
              </w:rPr>
            </w:pPr>
          </w:p>
        </w:tc>
        <w:tc>
          <w:tcPr>
            <w:tcW w:w="639" w:type="dxa"/>
          </w:tcPr>
          <w:p>
            <w:pPr>
              <w:widowControl/>
              <w:jc w:val="left"/>
              <w:outlineLvl w:val="1"/>
              <w:rPr>
                <w:rFonts w:ascii="仿宋_GB2312" w:hAnsi="宋体" w:eastAsia="仿宋_GB2312"/>
                <w:kern w:val="0"/>
                <w:sz w:val="32"/>
                <w:szCs w:val="32"/>
              </w:rPr>
            </w:pPr>
          </w:p>
        </w:tc>
        <w:tc>
          <w:tcPr>
            <w:tcW w:w="639" w:type="dxa"/>
          </w:tcPr>
          <w:p>
            <w:pPr>
              <w:widowControl/>
              <w:jc w:val="left"/>
              <w:outlineLvl w:val="1"/>
              <w:rPr>
                <w:rFonts w:ascii="仿宋_GB2312" w:hAnsi="宋体" w:eastAsia="仿宋_GB2312"/>
                <w:kern w:val="0"/>
                <w:sz w:val="32"/>
                <w:szCs w:val="32"/>
              </w:rPr>
            </w:pPr>
          </w:p>
        </w:tc>
        <w:tc>
          <w:tcPr>
            <w:tcW w:w="618" w:type="dxa"/>
            <w:gridSpan w:val="2"/>
          </w:tcPr>
          <w:p>
            <w:pPr>
              <w:widowControl/>
              <w:jc w:val="left"/>
              <w:outlineLvl w:val="1"/>
              <w:rPr>
                <w:rFonts w:ascii="仿宋_GB2312" w:hAnsi="宋体" w:eastAsia="仿宋_GB2312"/>
                <w:kern w:val="0"/>
                <w:sz w:val="32"/>
                <w:szCs w:val="32"/>
              </w:rPr>
            </w:pPr>
          </w:p>
        </w:tc>
        <w:tc>
          <w:tcPr>
            <w:tcW w:w="419" w:type="dxa"/>
          </w:tcPr>
          <w:p>
            <w:pPr>
              <w:widowControl/>
              <w:jc w:val="left"/>
              <w:outlineLvl w:val="1"/>
              <w:rPr>
                <w:rFonts w:ascii="仿宋_GB2312" w:hAnsi="宋体" w:eastAsia="仿宋_GB2312"/>
                <w:kern w:val="0"/>
                <w:sz w:val="32"/>
                <w:szCs w:val="32"/>
              </w:rPr>
            </w:pPr>
          </w:p>
        </w:tc>
        <w:tc>
          <w:tcPr>
            <w:tcW w:w="618" w:type="dxa"/>
          </w:tcPr>
          <w:p>
            <w:pPr>
              <w:widowControl/>
              <w:jc w:val="left"/>
              <w:outlineLvl w:val="1"/>
              <w:rPr>
                <w:rFonts w:ascii="仿宋_GB2312" w:hAnsi="宋体" w:eastAsia="仿宋_GB2312"/>
                <w:kern w:val="0"/>
                <w:sz w:val="32"/>
                <w:szCs w:val="32"/>
              </w:rPr>
            </w:pPr>
          </w:p>
        </w:tc>
        <w:tc>
          <w:tcPr>
            <w:tcW w:w="420" w:type="dxa"/>
          </w:tcPr>
          <w:p>
            <w:pPr>
              <w:widowControl/>
              <w:jc w:val="left"/>
              <w:outlineLvl w:val="1"/>
              <w:rPr>
                <w:rFonts w:ascii="仿宋_GB2312" w:hAnsi="宋体" w:eastAsia="仿宋_GB2312"/>
                <w:kern w:val="0"/>
                <w:sz w:val="32"/>
                <w:szCs w:val="32"/>
              </w:rPr>
            </w:pPr>
          </w:p>
        </w:tc>
        <w:tc>
          <w:tcPr>
            <w:tcW w:w="420" w:type="dxa"/>
          </w:tcPr>
          <w:p>
            <w:pPr>
              <w:widowControl/>
              <w:jc w:val="left"/>
              <w:outlineLvl w:val="1"/>
              <w:rPr>
                <w:rFonts w:ascii="仿宋_GB2312" w:hAnsi="宋体" w:eastAsia="仿宋_GB2312"/>
                <w:kern w:val="0"/>
                <w:sz w:val="32"/>
                <w:szCs w:val="32"/>
              </w:rPr>
            </w:pPr>
          </w:p>
        </w:tc>
        <w:tc>
          <w:tcPr>
            <w:tcW w:w="465" w:type="dxa"/>
            <w:gridSpan w:val="2"/>
          </w:tcPr>
          <w:p>
            <w:pPr>
              <w:widowControl/>
              <w:jc w:val="left"/>
              <w:outlineLvl w:val="1"/>
              <w:rPr>
                <w:rFonts w:ascii="仿宋_GB2312" w:hAnsi="宋体" w:eastAsia="仿宋_GB2312"/>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2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00"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32" w:type="dxa"/>
            <w:vAlign w:val="center"/>
          </w:tcPr>
          <w:p>
            <w:pPr>
              <w:widowControl/>
              <w:jc w:val="center"/>
              <w:outlineLvl w:val="1"/>
              <w:rPr>
                <w:rFonts w:ascii="仿宋_GB2312" w:hAnsi="宋体" w:eastAsia="仿宋_GB2312"/>
                <w:kern w:val="0"/>
                <w:szCs w:val="21"/>
              </w:rPr>
            </w:pPr>
          </w:p>
        </w:tc>
        <w:tc>
          <w:tcPr>
            <w:tcW w:w="561"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5"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textAlignment w:val="bottom"/>
        <w:rPr>
          <w:rFonts w:ascii="宋体" w:hAnsi="宋体" w:cs="宋体"/>
          <w:kern w:val="0"/>
          <w:sz w:val="20"/>
          <w:szCs w:val="20"/>
        </w:rPr>
      </w:pPr>
      <w:r>
        <w:rPr>
          <w:rFonts w:hint="eastAsia" w:ascii="仿宋_GB2312" w:hAnsi="宋体" w:eastAsia="仿宋_GB2312"/>
          <w:b/>
          <w:kern w:val="0"/>
          <w:sz w:val="28"/>
          <w:szCs w:val="32"/>
        </w:rPr>
        <w:t>备注：呼图壁县总工会2024年无项目支出，此表为空</w:t>
      </w: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r>
        <w:rPr>
          <w:rFonts w:hint="eastAsia" w:ascii="仿宋_GB2312" w:hAnsi="宋体" w:eastAsia="仿宋_GB2312"/>
          <w:b/>
          <w:kern w:val="0"/>
          <w:sz w:val="28"/>
          <w:szCs w:val="32"/>
        </w:rPr>
        <w:t>备注：呼图壁县总工会2024年无政府基金预算安排，此表为空</w:t>
      </w: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备注：呼图壁县总工会2024年无国有资本经营预算安排，此表为空。</w:t>
      </w:r>
    </w:p>
    <w:p>
      <w:pPr>
        <w:widowControl/>
        <w:spacing w:line="32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编制单位：呼图壁县总工会                                      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1.6</w:t>
            </w: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vAlign w:val="center"/>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1.6</w:t>
            </w: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1.6</w:t>
            </w: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widowControl/>
        <w:jc w:val="left"/>
        <w:textAlignment w:val="bottom"/>
        <w:rPr>
          <w:rFonts w:ascii="仿宋" w:hAnsi="仿宋" w:eastAsia="仿宋" w:cs="仿宋_GB2312"/>
          <w:bCs/>
          <w:kern w:val="0"/>
          <w:sz w:val="28"/>
          <w:szCs w:val="28"/>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jc w:val="center"/>
        <w:rPr>
          <w:rFonts w:ascii="仿宋_GB2312" w:hAnsi="宋体" w:eastAsia="仿宋_GB2312"/>
          <w:b/>
          <w:kern w:val="0"/>
          <w:sz w:val="32"/>
          <w:szCs w:val="32"/>
        </w:rPr>
      </w:pPr>
      <w:r>
        <w:rPr>
          <w:rFonts w:hint="eastAsia" w:ascii="仿宋_GB2312" w:hAnsi="宋体" w:eastAsia="仿宋_GB2312"/>
          <w:kern w:val="0"/>
          <w:sz w:val="24"/>
        </w:rPr>
        <w:t>编制单位：呼图壁县总工会                                      单位：万元</w:t>
      </w:r>
    </w:p>
    <w:tbl>
      <w:tblPr>
        <w:tblStyle w:val="6"/>
        <w:tblpPr w:leftFromText="180" w:rightFromText="180" w:vertAnchor="text" w:horzAnchor="page" w:tblpX="1244" w:tblpY="190"/>
        <w:tblOverlap w:val="never"/>
        <w:tblW w:w="9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895"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895"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895"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95"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95"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95"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95"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备注：呼图壁县总工会2024年无上年结转结余，此表为空。</w:t>
      </w:r>
    </w:p>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一、关于呼图壁县总工会2024年收支预算情况的总体说明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按照全口径预算的原则，呼图壁县总工会2024年所有收入和支出均纳入呼图壁县总工会预算管理。收支总预算    180.77万元。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收入预算包括：一般公共预算97.97万元、单位资金82.8万元。</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支出预算包括：一般公共服务支出108.79万元、社会保障和就业支出35.2万元、卫生健康支出13.3万元、住房保障支出23.48万元。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二、关于呼图壁县总工会2024年收入预算情况说明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呼图壁县总工会收入预算 180.77万元，其中：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一般公共预算108.79万元，占60.18%，比上年预算减少286.45万元，下降72.47%，主要原因是减少了非定额项目预算。 </w:t>
      </w:r>
    </w:p>
    <w:p>
      <w:pPr>
        <w:tabs>
          <w:tab w:val="left" w:pos="403"/>
        </w:tabs>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单位资金82.8万元，占 45.8%，比上年预算减少10.67万元，下降</w:t>
      </w:r>
      <w:r>
        <w:rPr>
          <w:rFonts w:hint="eastAsia" w:ascii="仿宋_GB2312" w:hAnsi="宋体" w:eastAsia="仿宋_GB2312" w:cs="宋体"/>
          <w:kern w:val="0"/>
          <w:sz w:val="32"/>
          <w:szCs w:val="32"/>
          <w:lang w:val="en-US" w:eastAsia="zh-CN"/>
        </w:rPr>
        <w:t>11.42</w:t>
      </w:r>
      <w:r>
        <w:rPr>
          <w:rFonts w:hint="eastAsia" w:ascii="仿宋_GB2312" w:hAnsi="宋体" w:eastAsia="仿宋_GB2312" w:cs="宋体"/>
          <w:kern w:val="0"/>
          <w:sz w:val="32"/>
          <w:szCs w:val="32"/>
        </w:rPr>
        <w:t>%，主要原因是在职人员减少一人，各项指标减少。</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三、关于呼图壁县总工会2024年支出预算情况说明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呼图壁县总工会2024年支出预算180.77万元，其中：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基本支出180.77万元，占100%，比上年预算减少25.94   万元，下降12.55%，主要原因是在职人员减少一人，各项指标减少。</w:t>
      </w:r>
    </w:p>
    <w:p>
      <w:pPr>
        <w:spacing w:line="60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项目支出</w:t>
      </w:r>
      <w:r>
        <w:rPr>
          <w:rFonts w:hint="eastAsia" w:ascii="仿宋_GB2312" w:hAnsi="宋体" w:eastAsia="仿宋_GB2312" w:cs="宋体"/>
          <w:kern w:val="0"/>
          <w:sz w:val="32"/>
          <w:szCs w:val="32"/>
          <w:lang w:val="en-US" w:eastAsia="zh-CN"/>
        </w:rPr>
        <w:t>0万元，比上年支出增加0万元，增长0%.主要原因是2023年及2024年均未安排项目支出。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四、关于呼图壁县总工会2024年财政拨款收支预算情况的总体说明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2024年财政拨款收支总预算97.97万元。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收入预算包括：一般公共预算拨款97.97万元。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67.39万元，主要用于人员工资支出和非定额预算项目支出；社会保障和就业支出18.2万元；主要用于机关养老保险缴费支出；卫生健康支出5.4；主要用于医疗保险缴费；住房保障支出6.98万元，主要用于缴纳人员住房公积金。</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关于呼图壁县总工会2024年一般公共预算当年拨款情况说明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宋体" w:eastAsia="仿宋_GB2312" w:cs="宋体"/>
          <w:b/>
          <w:kern w:val="0"/>
          <w:sz w:val="32"/>
          <w:szCs w:val="32"/>
        </w:rPr>
      </w:pPr>
      <w:r>
        <w:rPr>
          <w:rFonts w:hint="eastAsia" w:ascii="仿宋_GB2312" w:hAnsi="仿宋_GB2312" w:eastAsia="仿宋_GB2312" w:cs="仿宋_GB2312"/>
          <w:kern w:val="0"/>
          <w:sz w:val="32"/>
          <w:szCs w:val="32"/>
        </w:rPr>
        <w:t>呼图壁县总工会2024年一般公共预算拨款合计97.97万元，其中：基本支出97.97万元，比上年预算减少15.27万元，下降13.48 %。主要原因是：</w:t>
      </w:r>
      <w:r>
        <w:rPr>
          <w:rFonts w:hint="eastAsia" w:ascii="仿宋_GB2312" w:hAnsi="宋体" w:eastAsia="仿宋_GB2312" w:cs="宋体"/>
          <w:kern w:val="0"/>
          <w:sz w:val="32"/>
          <w:szCs w:val="32"/>
        </w:rPr>
        <w:t>在职人员减少一人，各项指标减少。</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1.一般公共服务（类）67.39</w:t>
      </w:r>
      <w:r>
        <w:rPr>
          <w:rFonts w:hint="eastAsia" w:ascii="仿宋_GB2312" w:hAnsi="仿宋_GB2312" w:eastAsia="仿宋_GB2312" w:cs="仿宋_GB2312"/>
          <w:kern w:val="0"/>
          <w:sz w:val="32"/>
          <w:szCs w:val="32"/>
        </w:rPr>
        <w:t>万元，占68.79%。</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2.社会保障和就业支出（类）18.2万元，占18.58%。</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3.卫生健康支出（类）5.4万元，占5.51%。</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4.住房保障支出（类）6.98万元，占7.12%。</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rPr>
        <w:t>一般公共服务（类）群众团体事务（款）行政运行（项）</w:t>
      </w:r>
      <w:r>
        <w:rPr>
          <w:rFonts w:hint="eastAsia" w:ascii="仿宋_GB2312" w:hAnsi="仿宋_GB2312" w:eastAsia="仿宋_GB2312" w:cs="仿宋_GB2312"/>
          <w:kern w:val="0"/>
          <w:sz w:val="32"/>
          <w:szCs w:val="32"/>
        </w:rPr>
        <w:t xml:space="preserve">:2024年预算数为67.39万元，比上年预算减少296.53万元，减少81.48%，主要原因是：2024年减少非定额项目预算。     </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社会保障和就业支出（类）行政事业单位养老支出（款）行政单位离退休（项）：2024年预算数为9.77万元，比上年预算增加9.77万元，增长100%，主要原因是：行政单位离退休指标细化。</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社会保障和就业支出（类）行政事业单位养老支出（款）机关事业单位基本养老保险缴费支出（项）：2024年预算数为8.43万元，比上年预算减少1.11万元，减少11.64%，主要原因是：在职人员减少一人导致费用减少。</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4.卫生健康支出（类）行政事业单位医疗（款）行政单位医疗（项）:2024年预算数为3.42万元，比上年预算减少7.58万元，减少68.91%，主要原因是退休人员医疗减少。</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 卫生健康支出（类）行政事业单位医疗（款）事业单位医疗（项）:2024年预算数为0.79万元，比上年预算增加0.79万元，增长100%，主要原因是：事业单位医疗指标细化。</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6.卫生健康支出（类）行政事业单位医疗（款）公务员医疗补助（项）:2024年预算数为1.16万元，比上年预算减少1.87万元，减少61.72%，主要原因是：在职人员减少及减少退休人员医疗补助。</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7.卫生健康支出（ 类）行政事业单位医疗（款）其他行政单位医疗支出（项）:2024年预算数为0.03万元，比上年预算减少0.03万元，减少50%，主要原因是：减少退休人员大病医疗。</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8.住房保障支出（类）住房改革支出（款）住房公积金（项）:2024年预算数为6.98万元，比上年预算减少0.71万元，减少9.23%，主要原因是：在职人员减少1人导致费用减少。</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关于呼图壁县总工会2024年一般公共预算基本支出情况说明</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呼图壁县总工会2024年一般公共预算基本支出97.97万元， 其中：</w:t>
      </w:r>
    </w:p>
    <w:p>
      <w:pPr>
        <w:pStyle w:val="4"/>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人员经费88.99万元，主要包括：基本工资、津贴补贴、奖金、绩效工资、机关事业单位基本养老保险缴费、职工基本医疗保险缴费、公务员医疗补助缴费、其他社会保障缴费、住房公积金、其他工资福利支出、退休费、医疗费补助、奖励金、其他对个人和家庭的补助。</w:t>
      </w:r>
    </w:p>
    <w:p>
      <w:pPr>
        <w:pStyle w:val="4"/>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公用经费8.98万元，主要包括：办公费、邮电费、取暖费、工会经费、公务用车运行维护费。</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关于呼图壁县总工会2024年一般公共预算项目支出情况说明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呼图壁县总工会2024年没有使用一般公共预算项目支出，一般公共预算项目支出情况表为空表。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八、关于呼图壁县总工会2024年政府性基金预算拨款情况说明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九、关于呼图壁县总工会2024年国有资本经营预算拨款情况说明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十、关于呼图壁县总工会2024年财政拨款“三公”经费预算情况说明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呼图壁县总工会2024年财政拨款“三公”经费数为    1.6万元，其中：因公出国（境）费0万元，公务用车购置费0万元，公务用车运行费1.6万元，公务接待费0万元。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减少0万元，增长0 %，其中：因公出国（境）费增加0万元，增长0%，主要原因是无因公出国（境）预算安排；公务用车购置费增加0万元，增长0 %，主要原因是无公务用车购置费预算安排；公务用车运行费增加0万元，增长0%，主要原因是和上年预算数一致；公务接待费增加0万元，增长0%，主要原因是无公务接待费预算安排。</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十一、关于呼图壁县总工会2024年上年结转结余预算情况说明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呼图壁县总工会2024年无上年结转结余预算的支出，结转结余预算支出情况表为空表。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呼图壁县总工会2024年的机关运行经费财政拨款预算8.98万元，比上年预算增加5.62万元，增长167.26%。主要原因是办公大楼暖气费增加。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2024年，呼图壁县总工会政府采购预算2.2万元，其中：政府采购货物预算0.6万元，政府采购服务预算1.6万元。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仿宋_GB2312" w:eastAsia="仿宋_GB2312" w:cs="仿宋_GB2312"/>
          <w:sz w:val="32"/>
        </w:rPr>
        <w:t>呼图壁县总工会面向中小企业预留政府采购项目预算金额2.2万元，小微企业预留政府采购项目预算金额 1.32万元。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截至2023年底，呼图壁县总工会及下属各预算单位占用使用国有资产总体情况为：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 平方米，价值0万元。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2.车辆1辆，价值 28.42万元；其中：一般公务用车1 辆，价值28.42万元；执法执勤用车0辆，价值0万元；其他车辆0辆，价值0万元。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3.办公家具价值10.5万元。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7.89万元。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 0 台（套），单位价值100万元以上大型设备0台（套）。</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2023年单位预算未安排购置车辆经费，安排购置50万元以上大型设备 0台（套），单位价值100万元以上大型设备 0 台（套）。</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2024年，本部门预算绩效管理整体预算绩效目标1个，涉及金额180.77万元；当年财政拨款项目0个，涉及预算金额0万元；当年非财政拨款项目0个，涉及预算金额0万元。具体情况见下表：</w:t>
      </w:r>
    </w:p>
    <w:p>
      <w:pPr>
        <w:spacing w:line="600" w:lineRule="exact"/>
        <w:ind w:firstLine="640" w:firstLineChars="200"/>
        <w:rPr>
          <w:rFonts w:ascii="仿宋_GB2312" w:hAnsi="仿宋_GB2312" w:eastAsia="仿宋_GB2312" w:cs="仿宋_GB2312"/>
          <w:color w:val="FF0000"/>
          <w:kern w:val="0"/>
          <w:sz w:val="32"/>
          <w:szCs w:val="32"/>
        </w:rPr>
      </w:pPr>
    </w:p>
    <w:tbl>
      <w:tblPr>
        <w:tblStyle w:val="5"/>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rPr>
              <w:t>呼图壁县总工会整体绩效目标表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（2024年）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呼图壁县总工会</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呼图壁县总工会联系人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苏海英</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r>
              <w:rPr>
                <w:rFonts w:hint="eastAsia" w:ascii="宋体" w:hAnsi="宋体" w:cs="宋体"/>
                <w:color w:val="000000"/>
                <w:sz w:val="20"/>
                <w:szCs w:val="20"/>
              </w:rPr>
              <w:t>13319052022</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创建州级“模范职工之家”，大力开展工会“四季送”活动；组织“大宣讲进企业”宣讲活动，积极构建和谐劳动关系，维护职工合法权益</w:t>
            </w:r>
          </w:p>
        </w:tc>
      </w:tr>
      <w:tr>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w:t>
            </w:r>
            <w:r>
              <w:rPr>
                <w:rFonts w:hint="eastAsia" w:ascii="宋体" w:hAnsi="宋体" w:cs="宋体"/>
                <w:color w:val="000000"/>
                <w:kern w:val="0"/>
                <w:sz w:val="20"/>
                <w:szCs w:val="20"/>
                <w:lang w:val="en-US" w:eastAsia="zh-CN"/>
              </w:rPr>
              <w:t>180.77</w:t>
            </w:r>
            <w:r>
              <w:rPr>
                <w:rFonts w:hint="eastAsia" w:ascii="宋体" w:hAnsi="宋体" w:cs="宋体"/>
                <w:color w:val="000000"/>
                <w:kern w:val="0"/>
                <w:sz w:val="20"/>
                <w:szCs w:val="20"/>
              </w:rPr>
              <w:t>万元）</w:t>
            </w:r>
          </w:p>
        </w:tc>
      </w:tr>
      <w:tr>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color w:val="000000"/>
                <w:sz w:val="20"/>
                <w:szCs w:val="20"/>
                <w:lang w:eastAsia="zh-CN"/>
              </w:rPr>
            </w:pPr>
            <w:r>
              <w:rPr>
                <w:rFonts w:hint="eastAsia" w:ascii="宋体" w:hAnsi="宋体" w:cs="宋体"/>
                <w:color w:val="000000"/>
                <w:sz w:val="20"/>
                <w:szCs w:val="20"/>
                <w:lang w:val="en-US" w:eastAsia="zh-CN"/>
              </w:rPr>
              <w:t>0</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97.97</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ascii="宋体" w:hAnsi="宋体" w:cs="宋体"/>
                <w:color w:val="000000"/>
                <w:sz w:val="20"/>
                <w:szCs w:val="20"/>
              </w:rPr>
            </w:pPr>
            <w:r>
              <w:rPr>
                <w:rFonts w:hint="eastAsia" w:ascii="宋体" w:hAnsi="宋体" w:cs="宋体"/>
                <w:color w:val="000000"/>
                <w:sz w:val="20"/>
                <w:szCs w:val="20"/>
              </w:rPr>
              <w:t>82.8</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auto"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000000" w:sz="4" w:space="0"/>
              <w:left w:val="single" w:color="000000" w:sz="4" w:space="0"/>
              <w:bottom w:val="single" w:color="auto"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161" w:hRule="atLeast"/>
        </w:trPr>
        <w:tc>
          <w:tcPr>
            <w:tcW w:w="1122"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tc>
        <w:tc>
          <w:tcPr>
            <w:tcW w:w="1367" w:type="dxa"/>
            <w:vMerge w:val="restart"/>
            <w:tcBorders>
              <w:top w:val="single" w:color="000000" w:sz="4" w:space="0"/>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开展送温暖慰问次数</w:t>
            </w:r>
          </w:p>
        </w:tc>
        <w:tc>
          <w:tcPr>
            <w:tcW w:w="1271"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&gt;=100人次</w:t>
            </w:r>
          </w:p>
        </w:tc>
        <w:tc>
          <w:tcPr>
            <w:tcW w:w="21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0"/>
                <w:szCs w:val="20"/>
              </w:rPr>
            </w:pPr>
            <w:r>
              <w:rPr>
                <w:rFonts w:hint="eastAsia" w:ascii="宋体" w:hAnsi="宋体" w:cs="宋体"/>
                <w:color w:val="000000"/>
                <w:sz w:val="20"/>
                <w:szCs w:val="20"/>
              </w:rPr>
              <w:t>35</w:t>
            </w:r>
          </w:p>
        </w:tc>
      </w:tr>
      <w:tr>
        <w:tblPrEx>
          <w:tblCellMar>
            <w:top w:w="0" w:type="dxa"/>
            <w:left w:w="108" w:type="dxa"/>
            <w:bottom w:w="0" w:type="dxa"/>
            <w:right w:w="108" w:type="dxa"/>
          </w:tblCellMar>
        </w:tblPrEx>
        <w:trPr>
          <w:trHeight w:val="600"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慰问各级劳模</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&gt;=5人次</w:t>
            </w:r>
          </w:p>
        </w:tc>
        <w:tc>
          <w:tcPr>
            <w:tcW w:w="211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ascii="宋体" w:hAnsi="宋体" w:cs="宋体"/>
                <w:color w:val="000000"/>
                <w:sz w:val="24"/>
              </w:rPr>
              <w:t>25</w:t>
            </w:r>
          </w:p>
        </w:tc>
      </w:tr>
      <w:tr>
        <w:tblPrEx>
          <w:tblCellMar>
            <w:top w:w="0" w:type="dxa"/>
            <w:left w:w="108" w:type="dxa"/>
            <w:bottom w:w="0" w:type="dxa"/>
            <w:right w:w="108" w:type="dxa"/>
          </w:tblCellMar>
        </w:tblPrEx>
        <w:trPr>
          <w:trHeight w:val="159" w:hRule="atLeast"/>
        </w:trPr>
        <w:tc>
          <w:tcPr>
            <w:tcW w:w="1122" w:type="dxa"/>
            <w:vMerge w:val="continue"/>
            <w:tcBorders>
              <w:left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举办职工文体竞赛活动次数</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&gt;=5人次</w:t>
            </w:r>
          </w:p>
        </w:tc>
        <w:tc>
          <w:tcPr>
            <w:tcW w:w="211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r>
        <w:tblPrEx>
          <w:tblCellMar>
            <w:top w:w="0" w:type="dxa"/>
            <w:left w:w="108" w:type="dxa"/>
            <w:bottom w:w="0" w:type="dxa"/>
            <w:right w:w="108" w:type="dxa"/>
          </w:tblCellMar>
        </w:tblPrEx>
        <w:trPr>
          <w:trHeight w:val="159" w:hRule="atLeast"/>
        </w:trPr>
        <w:tc>
          <w:tcPr>
            <w:tcW w:w="1122" w:type="dxa"/>
            <w:vMerge w:val="continue"/>
            <w:tcBorders>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kern w:val="0"/>
                <w:sz w:val="20"/>
                <w:szCs w:val="20"/>
              </w:rPr>
            </w:pPr>
          </w:p>
        </w:tc>
        <w:tc>
          <w:tcPr>
            <w:tcW w:w="1367" w:type="dxa"/>
            <w:vMerge w:val="continue"/>
            <w:tcBorders>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auto" w:sz="4" w:space="0"/>
            </w:tcBorders>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“四季”帮扶开展次数</w:t>
            </w:r>
          </w:p>
        </w:tc>
        <w:tc>
          <w:tcPr>
            <w:tcW w:w="1271"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&gt;=5人次</w:t>
            </w:r>
          </w:p>
        </w:tc>
        <w:tc>
          <w:tcPr>
            <w:tcW w:w="211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color w:val="000000"/>
                <w:sz w:val="20"/>
                <w:szCs w:val="20"/>
              </w:rPr>
              <w:t>2024年工会工作计划</w:t>
            </w:r>
          </w:p>
        </w:tc>
        <w:tc>
          <w:tcPr>
            <w:tcW w:w="180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rPr>
            </w:pPr>
            <w:r>
              <w:rPr>
                <w:rFonts w:hint="eastAsia" w:ascii="宋体" w:hAnsi="宋体" w:cs="宋体"/>
                <w:color w:val="000000"/>
                <w:sz w:val="24"/>
              </w:rPr>
              <w:t>15</w:t>
            </w:r>
          </w:p>
        </w:tc>
      </w:tr>
      <w:tr>
        <w:tblPrEx>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auto"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809" w:type="dxa"/>
            <w:tcBorders>
              <w:top w:val="single" w:color="auto"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r>
        <w:tblPrEx>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4"/>
              </w:rPr>
            </w:pP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rPr>
          <w:rFonts w:ascii="楷体_GB2312" w:hAnsi="宋体" w:eastAsia="楷体_GB2312" w:cs="宋体"/>
          <w:b/>
          <w:kern w:val="0"/>
          <w:sz w:val="32"/>
          <w:szCs w:val="32"/>
        </w:rPr>
      </w:pPr>
      <w:r>
        <w:rPr>
          <w:rFonts w:hint="eastAsia" w:ascii="仿宋_GB2312" w:hAnsi="仿宋_GB2312" w:eastAsia="仿宋_GB2312" w:cs="仿宋_GB2312"/>
          <w:kern w:val="0"/>
          <w:sz w:val="32"/>
          <w:szCs w:val="32"/>
        </w:rPr>
        <w:t>当年非财政拨款项目0个，涉及预算金额0万元。</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呼图壁县总工会</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28</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- 3 -</w:t>
                </w:r>
                <w:r>
                  <w:fldChar w:fldCharType="end"/>
                </w:r>
              </w:p>
            </w:txbxContent>
          </v:textbox>
        </v:shape>
      </w:pic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path/>
          <v:fill on="f" focussize="0,0"/>
          <v:stroke on="f" weight="0.5pt" joinstyle="miter"/>
          <v:imagedata o:title=""/>
          <o:lock v:ext="edit"/>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ZkNmE1Zjg0ZWVlNzM3NmZkODJmNDMzNmMwZThiMzUifQ=="/>
  </w:docVars>
  <w:rsids>
    <w:rsidRoot w:val="10587512"/>
    <w:rsid w:val="001F04AA"/>
    <w:rsid w:val="00220184"/>
    <w:rsid w:val="002933B0"/>
    <w:rsid w:val="002C2D0A"/>
    <w:rsid w:val="003351DB"/>
    <w:rsid w:val="0033576A"/>
    <w:rsid w:val="00352E30"/>
    <w:rsid w:val="00384EAD"/>
    <w:rsid w:val="003E6991"/>
    <w:rsid w:val="00430D99"/>
    <w:rsid w:val="00481D9A"/>
    <w:rsid w:val="00495374"/>
    <w:rsid w:val="00497829"/>
    <w:rsid w:val="005A77CC"/>
    <w:rsid w:val="005E28CF"/>
    <w:rsid w:val="005F317C"/>
    <w:rsid w:val="006974EF"/>
    <w:rsid w:val="006C6975"/>
    <w:rsid w:val="006F2BF4"/>
    <w:rsid w:val="007106B6"/>
    <w:rsid w:val="007127A4"/>
    <w:rsid w:val="00760171"/>
    <w:rsid w:val="00771C50"/>
    <w:rsid w:val="007C3EB2"/>
    <w:rsid w:val="007D0C28"/>
    <w:rsid w:val="008147FF"/>
    <w:rsid w:val="00850792"/>
    <w:rsid w:val="00877A5D"/>
    <w:rsid w:val="008E5EDB"/>
    <w:rsid w:val="009540BB"/>
    <w:rsid w:val="009E7390"/>
    <w:rsid w:val="00A5335C"/>
    <w:rsid w:val="00AE24FC"/>
    <w:rsid w:val="00B21D7F"/>
    <w:rsid w:val="00B27552"/>
    <w:rsid w:val="00B45468"/>
    <w:rsid w:val="00B86107"/>
    <w:rsid w:val="00D46885"/>
    <w:rsid w:val="00D61548"/>
    <w:rsid w:val="00D8154B"/>
    <w:rsid w:val="00DC0286"/>
    <w:rsid w:val="00E03BB6"/>
    <w:rsid w:val="00E72C79"/>
    <w:rsid w:val="00EE2224"/>
    <w:rsid w:val="00EE3F9F"/>
    <w:rsid w:val="04267B2D"/>
    <w:rsid w:val="05397FD9"/>
    <w:rsid w:val="070E6657"/>
    <w:rsid w:val="08450B28"/>
    <w:rsid w:val="0B247F12"/>
    <w:rsid w:val="0D6E5FD0"/>
    <w:rsid w:val="0E9208E7"/>
    <w:rsid w:val="10587512"/>
    <w:rsid w:val="10916BDA"/>
    <w:rsid w:val="12380A2C"/>
    <w:rsid w:val="1697741D"/>
    <w:rsid w:val="172C6C3B"/>
    <w:rsid w:val="1732414C"/>
    <w:rsid w:val="17BA1DC0"/>
    <w:rsid w:val="193261D5"/>
    <w:rsid w:val="1BEB54C3"/>
    <w:rsid w:val="1C3C6084"/>
    <w:rsid w:val="1C60574F"/>
    <w:rsid w:val="1CEB6DC6"/>
    <w:rsid w:val="1D3E1AFE"/>
    <w:rsid w:val="1EB61656"/>
    <w:rsid w:val="20DD55C0"/>
    <w:rsid w:val="22DB78DD"/>
    <w:rsid w:val="244D65B8"/>
    <w:rsid w:val="2492221D"/>
    <w:rsid w:val="24B93C4E"/>
    <w:rsid w:val="26B4291F"/>
    <w:rsid w:val="26E769FA"/>
    <w:rsid w:val="279938C3"/>
    <w:rsid w:val="293B2E83"/>
    <w:rsid w:val="2A012DF7"/>
    <w:rsid w:val="2AFC4894"/>
    <w:rsid w:val="2D480265"/>
    <w:rsid w:val="2D977453"/>
    <w:rsid w:val="2E7B3D22"/>
    <w:rsid w:val="2EF22236"/>
    <w:rsid w:val="2F8B61E7"/>
    <w:rsid w:val="31F237FB"/>
    <w:rsid w:val="3E300685"/>
    <w:rsid w:val="3FDF4D23"/>
    <w:rsid w:val="43C26223"/>
    <w:rsid w:val="43D8307E"/>
    <w:rsid w:val="46647A66"/>
    <w:rsid w:val="46CE3131"/>
    <w:rsid w:val="473C009B"/>
    <w:rsid w:val="494F7907"/>
    <w:rsid w:val="4C0055E5"/>
    <w:rsid w:val="4C3677AE"/>
    <w:rsid w:val="4C706B3A"/>
    <w:rsid w:val="4ECE1B2D"/>
    <w:rsid w:val="51C15CED"/>
    <w:rsid w:val="52285DEB"/>
    <w:rsid w:val="52AD62F0"/>
    <w:rsid w:val="546308FE"/>
    <w:rsid w:val="58AB5080"/>
    <w:rsid w:val="5D3513BC"/>
    <w:rsid w:val="5F2346ED"/>
    <w:rsid w:val="60B62814"/>
    <w:rsid w:val="61086613"/>
    <w:rsid w:val="63DF2082"/>
    <w:rsid w:val="6408782B"/>
    <w:rsid w:val="65322CBF"/>
    <w:rsid w:val="67987117"/>
    <w:rsid w:val="68CC52CB"/>
    <w:rsid w:val="68DE4FFE"/>
    <w:rsid w:val="694B58D7"/>
    <w:rsid w:val="69CE4E15"/>
    <w:rsid w:val="69D16911"/>
    <w:rsid w:val="6A8C42A6"/>
    <w:rsid w:val="6B7F3246"/>
    <w:rsid w:val="6EF07839"/>
    <w:rsid w:val="6F63000B"/>
    <w:rsid w:val="72B56DCF"/>
    <w:rsid w:val="75B570E6"/>
    <w:rsid w:val="780A1873"/>
    <w:rsid w:val="787D11B8"/>
    <w:rsid w:val="792C5912"/>
    <w:rsid w:val="7BA07EF1"/>
    <w:rsid w:val="7BB00E61"/>
    <w:rsid w:val="7E8B30DA"/>
    <w:rsid w:val="7FB9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3523</Words>
  <Characters>4574</Characters>
  <Lines>93</Lines>
  <Paragraphs>26</Paragraphs>
  <TotalTime>2</TotalTime>
  <ScaleCrop>false</ScaleCrop>
  <LinksUpToDate>false</LinksUpToDate>
  <CharactersWithSpaces>5349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2024-07-12T04:40:00Z</dcterms:created>
  <dc:creator>审核人</dc:creator>
  <cp:lastModifiedBy>htbczj</cp:lastModifiedBy>
  <dcterms:modified xsi:type="dcterms:W3CDTF">2025-11-12T02:44:00Z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