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autoSpaceDE w:val="0"/>
        <w:autoSpaceDN w:val="0"/>
        <w:adjustRightInd w:val="0"/>
        <w:jc w:val="center"/>
        <w:rPr>
          <w:rFonts w:ascii="方正小标宋_GBK" w:eastAsia="方正小标宋_GBK"/>
          <w:sz w:val="44"/>
          <w:szCs w:val="44"/>
        </w:rPr>
      </w:pPr>
      <w:r>
        <w:rPr>
          <w:rFonts w:hint="eastAsia" w:ascii="方正小标宋_GBK" w:eastAsia="方正小标宋_GBK"/>
          <w:sz w:val="44"/>
          <w:szCs w:val="44"/>
        </w:rPr>
        <w:t>中共呼图壁县委员会网络安全和信息化委员会办公室</w:t>
      </w:r>
      <w:r>
        <w:rPr>
          <w:rFonts w:hint="eastAsia" w:ascii="方正小标宋_GBK" w:eastAsia="方正小标宋_GBK"/>
          <w:sz w:val="44"/>
          <w:szCs w:val="44"/>
          <w:lang w:val="en-US" w:eastAsia="zh-CN"/>
        </w:rPr>
        <w:t>2024年单位</w:t>
      </w:r>
      <w:r>
        <w:rPr>
          <w:rFonts w:hint="eastAsia" w:ascii="方正小标宋_GBK" w:hAnsi="宋体" w:eastAsia="方正小标宋_GBK"/>
          <w:kern w:val="0"/>
          <w:sz w:val="44"/>
          <w:szCs w:val="44"/>
        </w:rPr>
        <w:t>预算公开</w:t>
      </w:r>
    </w:p>
    <w:p>
      <w:pPr>
        <w:widowControl/>
        <w:spacing w:line="440" w:lineRule="exact"/>
        <w:outlineLvl w:val="1"/>
        <w:rPr>
          <w:rFonts w:hint="eastAsia" w:ascii="黑体" w:hAnsi="黑体" w:eastAsia="黑体"/>
          <w:kern w:val="0"/>
          <w:sz w:val="36"/>
          <w:szCs w:val="32"/>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中共呼图壁县委员会网络安全和信息化委员会办公室</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一、关于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二、关于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三、关于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四、关于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五、</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六、</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七、</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八</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九、</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lang w:val="en-US" w:eastAsia="zh-Hans"/>
        </w:rPr>
      </w:pPr>
      <w:r>
        <w:rPr>
          <w:rFonts w:hint="eastAsia" w:ascii="仿宋_GB2312" w:hAnsi="仿宋_GB2312" w:eastAsia="仿宋_GB2312" w:cs="仿宋_GB2312"/>
          <w:b w:val="0"/>
          <w:bCs w:val="0"/>
          <w:color w:val="auto"/>
          <w:kern w:val="0"/>
          <w:sz w:val="32"/>
          <w:szCs w:val="32"/>
          <w:highlight w:val="none"/>
          <w:lang w:val="en-US" w:eastAsia="zh-Hans"/>
        </w:rPr>
        <w:t>十</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lang w:val="en-US" w:eastAsia="zh-Hans"/>
        </w:rPr>
        <w:t>财政拨款</w:t>
      </w:r>
      <w:r>
        <w:rPr>
          <w:rFonts w:hint="eastAsia" w:ascii="仿宋_GB2312" w:hAnsi="仿宋_GB2312" w:eastAsia="仿宋_GB2312" w:cs="仿宋_GB2312"/>
          <w:b w:val="0"/>
          <w:bCs w:val="0"/>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十</w:t>
      </w:r>
      <w:r>
        <w:rPr>
          <w:rFonts w:hint="eastAsia" w:ascii="仿宋_GB2312" w:hAnsi="仿宋_GB2312" w:eastAsia="仿宋_GB2312" w:cs="仿宋_GB2312"/>
          <w:b w:val="0"/>
          <w:bCs w:val="0"/>
          <w:color w:val="auto"/>
          <w:kern w:val="0"/>
          <w:sz w:val="32"/>
          <w:szCs w:val="32"/>
          <w:highlight w:val="none"/>
          <w:lang w:val="en-US" w:eastAsia="zh-Hans"/>
        </w:rPr>
        <w:t>一</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lang w:val="en-US" w:eastAsia="zh-CN"/>
        </w:rPr>
        <w:t>上年结转结余</w:t>
      </w:r>
      <w:r>
        <w:rPr>
          <w:rFonts w:hint="eastAsia" w:ascii="仿宋_GB2312" w:hAnsi="仿宋_GB2312" w:eastAsia="仿宋_GB2312" w:cs="仿宋_GB2312"/>
          <w:b w:val="0"/>
          <w:bCs w:val="0"/>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中共呼图壁县委员会网络安全和信息化委员会办公室</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kern w:val="0"/>
          <w:sz w:val="32"/>
          <w:szCs w:val="32"/>
        </w:rPr>
        <w:t xml:space="preserve">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rPr>
          <w:rFonts w:ascii="仿宋_GB2312" w:eastAsia="仿宋_GB2312"/>
          <w:sz w:val="32"/>
          <w:szCs w:val="32"/>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bCs/>
          <w:sz w:val="32"/>
          <w:szCs w:val="32"/>
        </w:rPr>
        <w:t>中共呼图壁县委员会网络安全和信息化委员会办公室</w:t>
      </w:r>
      <w:r>
        <w:rPr>
          <w:rFonts w:hint="eastAsia" w:ascii="仿宋_GB2312" w:hAnsi="黑体" w:eastAsia="仿宋_GB2312" w:cs="宋体"/>
          <w:bCs/>
          <w:sz w:val="32"/>
          <w:szCs w:val="32"/>
        </w:rPr>
        <w:t>无下属预算单位,</w:t>
      </w:r>
      <w:r>
        <w:rPr>
          <w:rFonts w:hint="eastAsia" w:ascii="仿宋_GB2312" w:eastAsia="仿宋_GB2312"/>
          <w:sz w:val="32"/>
          <w:szCs w:val="32"/>
          <w:lang w:eastAsia="zh-CN"/>
        </w:rPr>
        <w:t>下</w:t>
      </w:r>
      <w:r>
        <w:rPr>
          <w:rFonts w:hint="eastAsia" w:ascii="仿宋_GB2312" w:eastAsia="仿宋_GB2312"/>
          <w:sz w:val="32"/>
          <w:szCs w:val="32"/>
        </w:rPr>
        <w:t>设</w:t>
      </w:r>
      <w:r>
        <w:rPr>
          <w:rFonts w:hint="eastAsia" w:ascii="仿宋_GB2312" w:eastAsia="仿宋_GB2312"/>
          <w:sz w:val="32"/>
          <w:szCs w:val="32"/>
          <w:lang w:val="en-US" w:eastAsia="zh-CN"/>
        </w:rPr>
        <w:t>5个股室，分别是：</w:t>
      </w:r>
      <w:r>
        <w:rPr>
          <w:rFonts w:hint="eastAsia" w:ascii="仿宋_GB2312" w:eastAsia="仿宋_GB2312"/>
          <w:sz w:val="32"/>
          <w:szCs w:val="32"/>
        </w:rPr>
        <w:t>综合股、网络信息传播股、网络党建和社会工作股、网络安全协调和执法督查股、信息化发展股。</w:t>
      </w:r>
    </w:p>
    <w:p>
      <w:pPr>
        <w:spacing w:line="560" w:lineRule="exact"/>
        <w:ind w:firstLine="640"/>
        <w:jc w:val="left"/>
        <w:rPr>
          <w:rFonts w:ascii="仿宋_GB2312" w:hAnsi="宋体" w:eastAsia="仿宋_GB2312" w:cs="宋体"/>
          <w:sz w:val="32"/>
          <w:szCs w:val="32"/>
        </w:rPr>
      </w:pPr>
      <w:r>
        <w:rPr>
          <w:rFonts w:hint="eastAsia" w:ascii="仿宋_GB2312" w:hAnsi="宋体" w:eastAsia="仿宋_GB2312"/>
          <w:bCs/>
          <w:sz w:val="32"/>
          <w:szCs w:val="32"/>
        </w:rPr>
        <w:t>中共呼图壁县委员会网络安全和信息化委员会办公室</w:t>
      </w:r>
      <w:r>
        <w:rPr>
          <w:rFonts w:hint="eastAsia" w:ascii="仿宋_GB2312" w:eastAsia="仿宋_GB2312"/>
          <w:sz w:val="32"/>
          <w:szCs w:val="32"/>
        </w:rPr>
        <w:t>编制数20名，实有人数1</w:t>
      </w:r>
      <w:r>
        <w:rPr>
          <w:rFonts w:hint="eastAsia" w:ascii="仿宋_GB2312" w:eastAsia="仿宋_GB2312"/>
          <w:sz w:val="32"/>
          <w:szCs w:val="32"/>
          <w:lang w:val="en-US" w:eastAsia="zh-CN"/>
        </w:rPr>
        <w:t>7</w:t>
      </w:r>
      <w:r>
        <w:rPr>
          <w:rFonts w:hint="eastAsia" w:ascii="仿宋_GB2312" w:eastAsia="仿宋_GB2312"/>
          <w:sz w:val="32"/>
          <w:szCs w:val="32"/>
        </w:rPr>
        <w:t>人，</w:t>
      </w:r>
      <w:r>
        <w:rPr>
          <w:rFonts w:hint="eastAsia" w:ascii="仿宋_GB2312" w:hAnsi="宋体" w:eastAsia="仿宋_GB2312" w:cs="宋体"/>
          <w:sz w:val="32"/>
          <w:szCs w:val="32"/>
        </w:rPr>
        <w:t>其中：在职1</w:t>
      </w: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rPr>
        <w:t>人，增加</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人；退休0人，增加0人；离休0人，增加0人；</w:t>
      </w:r>
      <w:r>
        <w:rPr>
          <w:rFonts w:ascii="仿宋_GB2312" w:hAnsi="宋体" w:eastAsia="仿宋_GB2312" w:cs="宋体"/>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535.50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355.07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68.55</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42.95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209.57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209.57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68.93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535.50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535.50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323" w:type="dxa"/>
        <w:tblInd w:w="-450" w:type="dxa"/>
        <w:tblLayout w:type="fixed"/>
        <w:tblCellMar>
          <w:top w:w="0" w:type="dxa"/>
          <w:left w:w="108" w:type="dxa"/>
          <w:bottom w:w="0" w:type="dxa"/>
          <w:right w:w="108" w:type="dxa"/>
        </w:tblCellMar>
      </w:tblPr>
      <w:tblGrid>
        <w:gridCol w:w="473"/>
        <w:gridCol w:w="420"/>
        <w:gridCol w:w="420"/>
        <w:gridCol w:w="930"/>
        <w:gridCol w:w="690"/>
        <w:gridCol w:w="690"/>
        <w:gridCol w:w="705"/>
        <w:gridCol w:w="675"/>
        <w:gridCol w:w="330"/>
        <w:gridCol w:w="675"/>
        <w:gridCol w:w="585"/>
        <w:gridCol w:w="645"/>
        <w:gridCol w:w="630"/>
        <w:gridCol w:w="675"/>
        <w:gridCol w:w="345"/>
        <w:gridCol w:w="435"/>
      </w:tblGrid>
      <w:tr>
        <w:tblPrEx>
          <w:tblCellMar>
            <w:top w:w="0" w:type="dxa"/>
            <w:left w:w="108" w:type="dxa"/>
            <w:bottom w:w="0" w:type="dxa"/>
            <w:right w:w="108" w:type="dxa"/>
          </w:tblCellMar>
        </w:tblPrEx>
        <w:trPr>
          <w:trHeight w:val="697" w:hRule="atLeast"/>
        </w:trPr>
        <w:tc>
          <w:tcPr>
            <w:tcW w:w="13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7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一般公共服务支出</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355.07</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96.83</w:t>
            </w:r>
          </w:p>
        </w:tc>
        <w:tc>
          <w:tcPr>
            <w:tcW w:w="34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网信事务</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355.07</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96.83</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行政运行</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305.07</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96.83</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99</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其他网信事务支出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社会保障和就业支出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行政事业单位养老支出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机关事业单位基本养老保险缴费支出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4"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卫生健康支出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42.95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25.39</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1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行政事业单位医疗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42.95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25.39</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8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23.53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3.46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3.46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20.07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02</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事业单位医疗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03</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公务员医疗补助</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9.08</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5.32</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99</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其他行政事业单位医疗支出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0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住房保障支出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389"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住房改革支出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90" w:hRule="atLeast"/>
        </w:trPr>
        <w:tc>
          <w:tcPr>
            <w:tcW w:w="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15"/>
                <w:szCs w:val="15"/>
                <w:highlight w:val="none"/>
                <w:lang w:val="en-US" w:eastAsia="zh-CN"/>
              </w:rPr>
            </w:pPr>
            <w:r>
              <w:rPr>
                <w:rFonts w:hint="eastAsia" w:ascii="仿宋" w:hAnsi="仿宋" w:eastAsia="仿宋" w:cs="仿宋"/>
                <w:color w:val="auto"/>
                <w:sz w:val="15"/>
                <w:szCs w:val="15"/>
                <w:highlight w:val="none"/>
                <w:lang w:val="en-US" w:eastAsia="zh-CN"/>
              </w:rPr>
              <w:t>02</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15"/>
                <w:szCs w:val="15"/>
                <w:highlight w:val="none"/>
                <w:lang w:val="en-US" w:eastAsia="zh-CN"/>
              </w:rPr>
            </w:pPr>
            <w:r>
              <w:rPr>
                <w:rFonts w:hint="eastAsia" w:ascii="仿宋" w:hAnsi="仿宋" w:eastAsia="仿宋" w:cs="仿宋"/>
                <w:color w:val="auto"/>
                <w:sz w:val="15"/>
                <w:szCs w:val="15"/>
                <w:highlight w:val="none"/>
                <w:lang w:val="en-US" w:eastAsia="zh-CN"/>
              </w:rPr>
              <w:t>01</w:t>
            </w:r>
          </w:p>
        </w:tc>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住房公积金</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single" w:color="auto" w:sz="4" w:space="0"/>
              <w:left w:val="single" w:color="auto" w:sz="4" w:space="0"/>
              <w:bottom w:val="single" w:color="auto" w:sz="4" w:space="0"/>
              <w:right w:val="single" w:color="auto" w:sz="4" w:space="0"/>
            </w:tcBorders>
          </w:tcPr>
          <w:p>
            <w:pPr>
              <w:jc w:val="right"/>
              <w:rPr>
                <w:rFonts w:hint="eastAsia" w:ascii="仿宋" w:hAnsi="仿宋" w:eastAsia="仿宋" w:cs="仿宋"/>
                <w:color w:val="auto"/>
                <w:sz w:val="15"/>
                <w:szCs w:val="15"/>
                <w:highlight w:val="none"/>
              </w:rPr>
            </w:pPr>
          </w:p>
        </w:tc>
        <w:tc>
          <w:tcPr>
            <w:tcW w:w="435" w:type="dxa"/>
            <w:tcBorders>
              <w:top w:val="single" w:color="auto" w:sz="4" w:space="0"/>
              <w:left w:val="single" w:color="auto" w:sz="4" w:space="0"/>
              <w:bottom w:val="single" w:color="auto" w:sz="4" w:space="0"/>
              <w:right w:val="single" w:color="auto" w:sz="4" w:space="0"/>
            </w:tcBorders>
          </w:tcPr>
          <w:p>
            <w:pPr>
              <w:jc w:val="right"/>
              <w:rPr>
                <w:rFonts w:hint="eastAsia"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344"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合计</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535.50</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325.93</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325.93</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 w:hAnsi="仿宋" w:eastAsia="仿宋" w:cs="仿宋"/>
                <w:b/>
                <w:bCs/>
                <w:i w:val="0"/>
                <w:iCs w:val="0"/>
                <w:color w:val="000000"/>
                <w:kern w:val="0"/>
                <w:sz w:val="15"/>
                <w:szCs w:val="15"/>
                <w:u w:val="none"/>
                <w:lang w:val="en-US" w:eastAsia="zh-CN" w:bidi="ar"/>
              </w:rPr>
            </w:pPr>
            <w:r>
              <w:rPr>
                <w:rFonts w:hint="eastAsia" w:ascii="仿宋" w:hAnsi="仿宋" w:eastAsia="仿宋" w:cs="仿宋"/>
                <w:b/>
                <w:bCs/>
                <w:i w:val="0"/>
                <w:iCs w:val="0"/>
                <w:color w:val="000000"/>
                <w:kern w:val="0"/>
                <w:sz w:val="15"/>
                <w:szCs w:val="15"/>
                <w:u w:val="none"/>
                <w:lang w:val="en-US" w:eastAsia="zh-CN" w:bidi="ar"/>
              </w:rPr>
              <w:t>209.57</w:t>
            </w:r>
          </w:p>
        </w:tc>
        <w:tc>
          <w:tcPr>
            <w:tcW w:w="345"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hint="eastAsia" w:ascii="宋体" w:hAnsi="宋体" w:cs="宋体"/>
                <w:color w:val="auto"/>
                <w:kern w:val="0"/>
                <w:sz w:val="22"/>
                <w:szCs w:val="22"/>
                <w:highlight w:val="none"/>
              </w:rPr>
            </w:pPr>
          </w:p>
        </w:tc>
        <w:tc>
          <w:tcPr>
            <w:tcW w:w="435"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hint="eastAsia" w:ascii="宋体" w:hAnsi="宋体" w:cs="宋体"/>
                <w:color w:val="auto"/>
                <w:kern w:val="0"/>
                <w:sz w:val="22"/>
                <w:szCs w:val="2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56"/>
        <w:gridCol w:w="417"/>
        <w:gridCol w:w="417"/>
        <w:gridCol w:w="2572"/>
        <w:gridCol w:w="1836"/>
        <w:gridCol w:w="1837"/>
        <w:gridCol w:w="1885"/>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一般公共服务支出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355.07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网信事务</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355.07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行政运行</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99</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其他网信事务支出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c>
          <w:tcPr>
            <w:tcW w:w="18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6"/>
                <w:szCs w:val="16"/>
                <w:u w:val="none"/>
                <w:lang w:val="en-US" w:eastAsia="zh-CN" w:bidi="ar-SA"/>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社会保障和就业支出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行政事业单位养老支出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机关事业单位基本养老保险缴费支出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卫生健康支出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行政事业单位医疗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23.53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23.53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90"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事业单位医疗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10.23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10.23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03</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公务员医疗补助</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9.08</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9.08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99</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其他行政事业单位医疗支出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0.10</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0.10</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住房保障支出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住房改革支出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住房公积金</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72"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36"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3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85" w:type="dxa"/>
            <w:tcBorders>
              <w:top w:val="nil"/>
              <w:left w:val="nil"/>
              <w:bottom w:val="single" w:color="auto" w:sz="4" w:space="0"/>
              <w:right w:val="single" w:color="auto" w:sz="4" w:space="0"/>
            </w:tcBorders>
            <w:noWrap w:val="0"/>
            <w:vAlign w:val="center"/>
          </w:tcPr>
          <w:p>
            <w:pPr>
              <w:jc w:val="center"/>
              <w:rPr>
                <w:color w:val="auto"/>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合  计</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535.50</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485.50</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258.23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258.23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27.38</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27.38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17.56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17.56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22.76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22.76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325.93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325.93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325.93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776"/>
        <w:gridCol w:w="495"/>
        <w:gridCol w:w="498"/>
        <w:gridCol w:w="2382"/>
        <w:gridCol w:w="1643"/>
        <w:gridCol w:w="1786"/>
        <w:gridCol w:w="1634"/>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spacing w:before="120" w:beforeLines="50" w:line="280" w:lineRule="exact"/>
              <w:outlineLvl w:val="1"/>
              <w:rPr>
                <w:rFonts w:ascii="仿宋_GB2312" w:hAnsi="宋体" w:eastAsia="仿宋_GB2312" w:cs="宋体"/>
                <w:color w:val="auto"/>
                <w:kern w:val="0"/>
                <w:sz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5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6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76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4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8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3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4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8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一般公共服务支出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网信事务</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行政运行</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其他网信事务支出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c>
          <w:tcPr>
            <w:tcW w:w="178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社会保障和就业支出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行政事业单位养老支出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卫生健康支出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行政事业单位医疗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3.46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3.46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事业单位医疗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10.23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10.23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03</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公务员医疗补助</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0.10</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0.10</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住房保障支出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住房改革支出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住房公积金</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8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43"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325.93</w:t>
            </w:r>
          </w:p>
        </w:tc>
        <w:tc>
          <w:tcPr>
            <w:tcW w:w="1786"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275.93</w:t>
            </w:r>
          </w:p>
        </w:tc>
        <w:tc>
          <w:tcPr>
            <w:tcW w:w="1634"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74"/>
        <w:gridCol w:w="576"/>
        <w:gridCol w:w="2882"/>
        <w:gridCol w:w="1699"/>
        <w:gridCol w:w="1699"/>
        <w:gridCol w:w="1698"/>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96"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8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工资福利支出</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267.75</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267.75</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基本工资</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65.57</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65.57</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津贴补贴</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43.26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43.26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奖金</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55.48</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55.48</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07</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绩效工资</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34.42</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34.42</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08</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27.38</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27.38</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10</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职工基本医疗保险缴费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13.69</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13.69</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3.76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3.76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其他社会保障缴费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1.43</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1.43</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住房公积金</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22.76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22.76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商品和服务支出</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8.18</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8.18</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办公费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印刷费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0.17</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0.17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07</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邮电费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0.71</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0.71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差旅费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0.48</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0.48</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维修（护）费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28</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工会经费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3.31</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3.31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公务用车运行维护费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1.46</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1.46</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39</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其他交通费用</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0.25</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0.25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275.93</w:t>
            </w: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267.75</w:t>
            </w: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8.18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13"/>
        <w:gridCol w:w="505"/>
        <w:gridCol w:w="575"/>
        <w:gridCol w:w="417"/>
        <w:gridCol w:w="736"/>
        <w:gridCol w:w="1152"/>
        <w:gridCol w:w="756"/>
        <w:gridCol w:w="523"/>
        <w:gridCol w:w="756"/>
        <w:gridCol w:w="581"/>
        <w:gridCol w:w="581"/>
        <w:gridCol w:w="618"/>
        <w:gridCol w:w="418"/>
        <w:gridCol w:w="618"/>
        <w:gridCol w:w="419"/>
        <w:gridCol w:w="419"/>
        <w:gridCol w:w="384"/>
        <w:gridCol w:w="69"/>
      </w:tblGrid>
      <w:tr>
        <w:tblPrEx>
          <w:tblCellMar>
            <w:top w:w="0" w:type="dxa"/>
            <w:left w:w="108" w:type="dxa"/>
            <w:bottom w:w="0" w:type="dxa"/>
            <w:right w:w="108" w:type="dxa"/>
          </w:tblCellMar>
        </w:tblPrEx>
        <w:trPr>
          <w:gridBefore w:val="1"/>
          <w:gridAfter w:val="1"/>
          <w:wBefore w:w="13" w:type="dxa"/>
          <w:wAfter w:w="69" w:type="dxa"/>
          <w:trHeight w:val="375" w:hRule="atLeast"/>
        </w:trPr>
        <w:tc>
          <w:tcPr>
            <w:tcW w:w="9458"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69" w:type="dxa"/>
          <w:trHeight w:val="405" w:hRule="atLeast"/>
        </w:trPr>
        <w:tc>
          <w:tcPr>
            <w:tcW w:w="9458"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1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3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8"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7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3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5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rPr>
              <w:t>201</w:t>
            </w:r>
          </w:p>
        </w:tc>
        <w:tc>
          <w:tcPr>
            <w:tcW w:w="575" w:type="dxa"/>
            <w:noWrap w:val="0"/>
            <w:vAlign w:val="center"/>
          </w:tcPr>
          <w:p>
            <w:pPr>
              <w:spacing w:line="260" w:lineRule="exact"/>
              <w:jc w:val="center"/>
              <w:rPr>
                <w:rFonts w:hint="eastAsia" w:ascii="仿宋_GB2312" w:hAnsi="仿宋_GB2312" w:eastAsia="仿宋_GB2312" w:cs="仿宋_GB2312"/>
                <w:kern w:val="2"/>
                <w:sz w:val="20"/>
                <w:szCs w:val="20"/>
                <w:lang w:val="en-US" w:eastAsia="zh-Hans" w:bidi="ar-SA"/>
              </w:rPr>
            </w:pPr>
          </w:p>
        </w:tc>
        <w:tc>
          <w:tcPr>
            <w:tcW w:w="417" w:type="dxa"/>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p>
        </w:tc>
        <w:tc>
          <w:tcPr>
            <w:tcW w:w="736" w:type="dxa"/>
            <w:noWrap w:val="0"/>
            <w:vAlign w:val="center"/>
          </w:tcPr>
          <w:p>
            <w:pPr>
              <w:spacing w:line="260" w:lineRule="exact"/>
              <w:ind w:left="6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一般公共服务支出</w:t>
            </w:r>
          </w:p>
        </w:tc>
        <w:tc>
          <w:tcPr>
            <w:tcW w:w="1152"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50.00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center"/>
          </w:tcPr>
          <w:p>
            <w:pPr>
              <w:spacing w:line="195"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201</w:t>
            </w:r>
          </w:p>
        </w:tc>
        <w:tc>
          <w:tcPr>
            <w:tcW w:w="575" w:type="dxa"/>
            <w:noWrap w:val="0"/>
            <w:vAlign w:val="center"/>
          </w:tcPr>
          <w:p>
            <w:pPr>
              <w:spacing w:line="255"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37</w:t>
            </w:r>
          </w:p>
        </w:tc>
        <w:tc>
          <w:tcPr>
            <w:tcW w:w="417" w:type="dxa"/>
            <w:noWrap w:val="0"/>
            <w:vAlign w:val="center"/>
          </w:tcPr>
          <w:p>
            <w:pPr>
              <w:spacing w:line="240" w:lineRule="exact"/>
              <w:jc w:val="center"/>
              <w:rPr>
                <w:rFonts w:hint="eastAsia" w:ascii="仿宋_GB2312" w:hAnsi="仿宋_GB2312" w:eastAsia="仿宋_GB2312" w:cs="仿宋_GB2312"/>
                <w:color w:val="000000"/>
                <w:kern w:val="2"/>
                <w:sz w:val="20"/>
                <w:szCs w:val="20"/>
                <w:lang w:val="en-US" w:eastAsia="zh-CN" w:bidi="ar-SA"/>
              </w:rPr>
            </w:pPr>
          </w:p>
        </w:tc>
        <w:tc>
          <w:tcPr>
            <w:tcW w:w="736" w:type="dxa"/>
            <w:noWrap w:val="0"/>
            <w:vAlign w:val="center"/>
          </w:tcPr>
          <w:p>
            <w:pPr>
              <w:spacing w:line="240" w:lineRule="exact"/>
              <w:ind w:left="60" w:leftChars="0"/>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网信事务</w:t>
            </w:r>
          </w:p>
        </w:tc>
        <w:tc>
          <w:tcPr>
            <w:tcW w:w="1152" w:type="dxa"/>
            <w:noWrap w:val="0"/>
            <w:vAlign w:val="center"/>
          </w:tcPr>
          <w:p>
            <w:pPr>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center"/>
          </w:tcPr>
          <w:p>
            <w:pPr>
              <w:spacing w:line="19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201</w:t>
            </w:r>
          </w:p>
        </w:tc>
        <w:tc>
          <w:tcPr>
            <w:tcW w:w="575" w:type="dxa"/>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37</w:t>
            </w:r>
          </w:p>
        </w:tc>
        <w:tc>
          <w:tcPr>
            <w:tcW w:w="417" w:type="dxa"/>
            <w:noWrap w:val="0"/>
            <w:vAlign w:val="center"/>
          </w:tcPr>
          <w:p>
            <w:pPr>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99</w:t>
            </w:r>
          </w:p>
        </w:tc>
        <w:tc>
          <w:tcPr>
            <w:tcW w:w="736" w:type="dxa"/>
            <w:noWrap w:val="0"/>
            <w:vAlign w:val="center"/>
          </w:tcPr>
          <w:p>
            <w:pPr>
              <w:spacing w:line="240" w:lineRule="exact"/>
              <w:ind w:left="6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rPr>
              <w:t>其他网信事务支出</w:t>
            </w:r>
          </w:p>
        </w:tc>
        <w:tc>
          <w:tcPr>
            <w:tcW w:w="1152" w:type="dxa"/>
            <w:noWrap w:val="0"/>
            <w:vAlign w:val="center"/>
          </w:tcPr>
          <w:p>
            <w:pPr>
              <w:spacing w:line="240"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56" w:type="dxa"/>
            <w:noWrap w:val="0"/>
            <w:vAlign w:val="center"/>
          </w:tcPr>
          <w:p>
            <w:pPr>
              <w:widowControl/>
              <w:jc w:val="center"/>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50.00</w:t>
            </w:r>
          </w:p>
        </w:tc>
        <w:tc>
          <w:tcPr>
            <w:tcW w:w="523" w:type="dxa"/>
            <w:noWrap w:val="0"/>
            <w:vAlign w:val="top"/>
          </w:tcPr>
          <w:p>
            <w:pPr>
              <w:widowControl/>
              <w:jc w:val="center"/>
              <w:outlineLvl w:val="1"/>
              <w:rPr>
                <w:rFonts w:hint="eastAsia" w:ascii="仿宋_GB2312" w:hAnsi="宋体" w:eastAsia="仿宋_GB2312"/>
                <w:b/>
                <w:bCs/>
                <w:color w:val="auto"/>
                <w:kern w:val="0"/>
                <w:sz w:val="20"/>
                <w:szCs w:val="20"/>
                <w:highlight w:val="none"/>
              </w:rPr>
            </w:pPr>
          </w:p>
        </w:tc>
        <w:tc>
          <w:tcPr>
            <w:tcW w:w="756" w:type="dxa"/>
            <w:noWrap w:val="0"/>
            <w:vAlign w:val="top"/>
          </w:tcPr>
          <w:p>
            <w:pPr>
              <w:spacing w:line="195" w:lineRule="exact"/>
              <w:jc w:val="both"/>
              <w:rPr>
                <w:rFonts w:hint="default" w:ascii="仿宋_GB2312" w:hAnsi="仿宋_GB2312" w:eastAsia="仿宋_GB2312" w:cs="仿宋_GB2312"/>
                <w:color w:val="000000"/>
                <w:sz w:val="20"/>
                <w:szCs w:val="20"/>
                <w:lang w:val="en-US" w:eastAsia="zh-CN"/>
              </w:rPr>
            </w:pPr>
          </w:p>
          <w:p>
            <w:pPr>
              <w:spacing w:line="195"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b/>
                <w:bCs/>
                <w:color w:val="000000"/>
                <w:sz w:val="20"/>
                <w:szCs w:val="20"/>
                <w:lang w:val="en-US" w:eastAsia="zh-CN"/>
              </w:rPr>
              <w:t>50.00</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中共呼图壁县委员会网络安全和信息化委员会办公室2024年没有使用政府性基金预算拨款安排的支出，政府性基金预算支出情况表为空表。</w:t>
      </w: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 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3818" w:type="dxa"/>
            <w:noWrap w:val="0"/>
            <w:vAlign w:val="center"/>
          </w:tcPr>
          <w:p>
            <w:pPr>
              <w:widowControl/>
              <w:ind w:firstLine="281" w:firstLineChars="10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公务用车运行费</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 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中共呼图壁县委员会网络安全和信息化委员会办公室</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单位资金209.57</w:t>
      </w:r>
      <w:r>
        <w:rPr>
          <w:rFonts w:hint="eastAsia" w:ascii="仿宋_GB2312" w:hAnsi="宋体" w:eastAsia="仿宋_GB2312" w:cs="宋体"/>
          <w:kern w:val="0"/>
          <w:sz w:val="32"/>
          <w:szCs w:val="32"/>
        </w:rPr>
        <w:t>万元。</w:t>
      </w:r>
    </w:p>
    <w:p>
      <w:pPr>
        <w:spacing w:line="580" w:lineRule="exact"/>
        <w:ind w:firstLine="640"/>
        <w:jc w:val="left"/>
        <w:rPr>
          <w:rFonts w:ascii="仿宋_GB2312" w:hAnsi="宋体" w:eastAsia="仿宋_GB2312" w:cs="宋体"/>
          <w:sz w:val="32"/>
          <w:szCs w:val="32"/>
        </w:rPr>
      </w:pPr>
      <w:r>
        <w:rPr>
          <w:rFonts w:hint="eastAsia" w:ascii="仿宋_GB2312" w:hAnsi="宋体" w:eastAsia="仿宋_GB2312" w:cs="宋体"/>
          <w:kern w:val="0"/>
          <w:sz w:val="32"/>
          <w:szCs w:val="32"/>
        </w:rPr>
        <w:t>支出预算包括：</w:t>
      </w:r>
      <w:r>
        <w:rPr>
          <w:rFonts w:hint="eastAsia" w:ascii="仿宋_GB2312" w:hAnsi="宋体" w:eastAsia="仿宋_GB2312" w:cs="宋体"/>
          <w:sz w:val="32"/>
          <w:szCs w:val="32"/>
        </w:rPr>
        <w:t>一般公共服务支出</w:t>
      </w:r>
      <w:r>
        <w:rPr>
          <w:rFonts w:hint="eastAsia" w:ascii="仿宋_GB2312" w:hAnsi="宋体" w:eastAsia="仿宋_GB2312" w:cs="宋体"/>
          <w:sz w:val="32"/>
          <w:szCs w:val="32"/>
          <w:lang w:val="en-US" w:eastAsia="zh-CN"/>
        </w:rPr>
        <w:t>355.07</w:t>
      </w:r>
      <w:r>
        <w:rPr>
          <w:rFonts w:hint="eastAsia" w:ascii="仿宋_GB2312" w:hAnsi="宋体" w:eastAsia="仿宋_GB2312" w:cs="宋体"/>
          <w:sz w:val="32"/>
          <w:szCs w:val="32"/>
        </w:rPr>
        <w:t>万元、社会保障和就业支出</w:t>
      </w:r>
      <w:r>
        <w:rPr>
          <w:rFonts w:hint="eastAsia" w:ascii="仿宋_GB2312" w:hAnsi="宋体" w:eastAsia="仿宋_GB2312" w:cs="宋体"/>
          <w:sz w:val="32"/>
          <w:szCs w:val="32"/>
          <w:lang w:val="en-US" w:eastAsia="zh-CN"/>
        </w:rPr>
        <w:t>68.55</w:t>
      </w:r>
      <w:r>
        <w:rPr>
          <w:rFonts w:hint="eastAsia" w:ascii="仿宋_GB2312" w:hAnsi="宋体" w:eastAsia="仿宋_GB2312" w:cs="宋体"/>
          <w:sz w:val="32"/>
          <w:szCs w:val="32"/>
        </w:rPr>
        <w:t>万元、卫生健康支出</w:t>
      </w:r>
      <w:r>
        <w:rPr>
          <w:rFonts w:hint="eastAsia" w:ascii="仿宋_GB2312" w:hAnsi="宋体" w:eastAsia="仿宋_GB2312" w:cs="宋体"/>
          <w:sz w:val="32"/>
          <w:szCs w:val="32"/>
          <w:lang w:val="en-US" w:eastAsia="zh-CN"/>
        </w:rPr>
        <w:t>42.95</w:t>
      </w:r>
      <w:r>
        <w:rPr>
          <w:rFonts w:hint="eastAsia" w:ascii="仿宋_GB2312" w:hAnsi="宋体" w:eastAsia="仿宋_GB2312" w:cs="宋体"/>
          <w:sz w:val="32"/>
          <w:szCs w:val="32"/>
        </w:rPr>
        <w:t>万元、住房保障支出</w:t>
      </w:r>
      <w:r>
        <w:rPr>
          <w:rFonts w:hint="eastAsia" w:ascii="仿宋_GB2312" w:hAnsi="宋体" w:eastAsia="仿宋_GB2312" w:cs="宋体"/>
          <w:sz w:val="32"/>
          <w:szCs w:val="32"/>
          <w:lang w:val="en-US" w:eastAsia="zh-CN"/>
        </w:rPr>
        <w:t>68.93</w:t>
      </w:r>
      <w:r>
        <w:rPr>
          <w:rFonts w:hint="eastAsia" w:ascii="仿宋_GB2312" w:hAnsi="宋体" w:eastAsia="仿宋_GB2312" w:cs="宋体"/>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中共呼图壁县委员会网络安全和信息化委员会办公室收入预算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60.86</w:t>
      </w:r>
      <w:r>
        <w:rPr>
          <w:rFonts w:hint="eastAsia" w:ascii="仿宋_GB2312" w:hAnsi="宋体" w:eastAsia="仿宋_GB2312" w:cs="宋体"/>
          <w:kern w:val="0"/>
          <w:sz w:val="32"/>
          <w:szCs w:val="32"/>
        </w:rPr>
        <w:t>%，比上年预算减少</w:t>
      </w:r>
      <w:r>
        <w:rPr>
          <w:rFonts w:hint="eastAsia" w:ascii="仿宋_GB2312" w:hAnsi="宋体" w:eastAsia="仿宋_GB2312" w:cs="宋体"/>
          <w:kern w:val="0"/>
          <w:sz w:val="32"/>
          <w:szCs w:val="32"/>
          <w:lang w:val="en-US" w:eastAsia="zh-CN"/>
        </w:rPr>
        <w:t>8.55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下降2.56</w:t>
      </w:r>
      <w:r>
        <w:rPr>
          <w:rFonts w:hint="eastAsia" w:ascii="仿宋_GB2312" w:hAnsi="宋体" w:eastAsia="仿宋_GB2312" w:cs="宋体"/>
          <w:kern w:val="0"/>
          <w:sz w:val="32"/>
          <w:szCs w:val="32"/>
        </w:rPr>
        <w:t xml:space="preserve">%,主要原因是控制经费支出预算网信工作经费项目经费减少。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未安排。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 xml:space="preserve">未安排。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209.57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39.14</w:t>
      </w:r>
      <w:r>
        <w:rPr>
          <w:rFonts w:hint="eastAsia" w:ascii="仿宋_GB2312" w:hAnsi="宋体" w:eastAsia="仿宋_GB2312" w:cs="宋体"/>
          <w:kern w:val="0"/>
          <w:sz w:val="32"/>
          <w:szCs w:val="32"/>
        </w:rPr>
        <w:t xml:space="preserve"> %，比上年预算增加</w:t>
      </w:r>
      <w:r>
        <w:rPr>
          <w:rFonts w:hint="eastAsia" w:ascii="仿宋_GB2312" w:hAnsi="宋体" w:eastAsia="仿宋_GB2312" w:cs="宋体"/>
          <w:kern w:val="0"/>
          <w:sz w:val="32"/>
          <w:szCs w:val="32"/>
          <w:lang w:val="en-US" w:eastAsia="zh-CN"/>
        </w:rPr>
        <w:t>74.87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55.58</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本年度在编人员社保及公积金基数增长，同时增加了培训费款项支出</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485.50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90.66</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增加251.02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增长107.05</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本年度单位资金在基本支出及在编人员社保及公积金基数增长，同时增加了培训费款项支出。</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项目支出</w:t>
      </w:r>
      <w:r>
        <w:rPr>
          <w:rFonts w:hint="eastAsia" w:ascii="仿宋_GB2312" w:hAnsi="宋体" w:eastAsia="仿宋_GB2312" w:cs="宋体"/>
          <w:sz w:val="32"/>
          <w:szCs w:val="32"/>
          <w:lang w:val="en-US" w:eastAsia="zh-CN"/>
        </w:rPr>
        <w:t>50.00</w:t>
      </w:r>
      <w:r>
        <w:rPr>
          <w:rFonts w:hint="eastAsia" w:ascii="仿宋_GB2312" w:hAnsi="宋体" w:eastAsia="仿宋_GB2312" w:cs="宋体"/>
          <w:sz w:val="32"/>
          <w:szCs w:val="32"/>
        </w:rPr>
        <w:t>万元，比上年预算</w:t>
      </w:r>
      <w:r>
        <w:rPr>
          <w:rFonts w:hint="eastAsia" w:ascii="仿宋_GB2312" w:hAnsi="宋体" w:eastAsia="仿宋_GB2312" w:cs="宋体"/>
          <w:sz w:val="32"/>
          <w:szCs w:val="32"/>
          <w:lang w:val="en-US" w:eastAsia="zh-CN"/>
        </w:rPr>
        <w:t>减少184.7</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下降78.70</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根据单位内控制度要求</w:t>
      </w:r>
      <w:r>
        <w:rPr>
          <w:rFonts w:hint="eastAsia" w:ascii="仿宋_GB2312" w:hAnsi="宋体" w:eastAsia="仿宋_GB2312" w:cs="宋体"/>
          <w:kern w:val="0"/>
          <w:sz w:val="32"/>
          <w:szCs w:val="32"/>
          <w:lang w:eastAsia="zh-CN"/>
        </w:rPr>
        <w:t>缩减</w:t>
      </w:r>
      <w:r>
        <w:rPr>
          <w:rFonts w:hint="eastAsia" w:ascii="仿宋_GB2312" w:hAnsi="宋体" w:eastAsia="仿宋_GB2312" w:cs="宋体"/>
          <w:kern w:val="0"/>
          <w:sz w:val="32"/>
          <w:szCs w:val="32"/>
        </w:rPr>
        <w:t>经费支出</w:t>
      </w:r>
      <w:r>
        <w:rPr>
          <w:rFonts w:hint="eastAsia" w:ascii="仿宋_GB2312" w:hAnsi="宋体" w:eastAsia="仿宋_GB2312" w:cs="宋体"/>
          <w:kern w:val="0"/>
          <w:sz w:val="32"/>
          <w:szCs w:val="32"/>
          <w:lang w:eastAsia="zh-CN"/>
        </w:rPr>
        <w:t>年初</w:t>
      </w:r>
      <w:r>
        <w:rPr>
          <w:rFonts w:hint="eastAsia" w:ascii="仿宋_GB2312" w:hAnsi="宋体" w:eastAsia="仿宋_GB2312" w:cs="宋体"/>
          <w:kern w:val="0"/>
          <w:sz w:val="32"/>
          <w:szCs w:val="32"/>
        </w:rPr>
        <w:t>网信工作经费项目预算减少</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w:t>
      </w:r>
      <w:r>
        <w:rPr>
          <w:rFonts w:hint="eastAsia" w:ascii="仿宋_GB2312" w:hAnsi="宋体" w:eastAsia="仿宋_GB2312" w:cs="宋体"/>
          <w:kern w:val="0"/>
          <w:sz w:val="32"/>
          <w:szCs w:val="32"/>
          <w:lang w:eastAsia="zh-CN"/>
        </w:rPr>
        <w:t>上年度单位资金预算列入</w:t>
      </w:r>
      <w:r>
        <w:rPr>
          <w:rFonts w:hint="eastAsia" w:ascii="仿宋_GB2312" w:hAnsi="宋体" w:eastAsia="仿宋_GB2312" w:cs="宋体"/>
          <w:kern w:val="0"/>
          <w:sz w:val="32"/>
          <w:szCs w:val="32"/>
          <w:lang w:val="en-US" w:eastAsia="zh-CN"/>
        </w:rPr>
        <w:t>项目预算，本年度未列支。</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p>
    <w:p>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收入</w:t>
      </w:r>
      <w:r>
        <w:rPr>
          <w:rFonts w:hint="eastAsia" w:ascii="仿宋_GB2312" w:hAnsi="宋体" w:eastAsia="仿宋_GB2312" w:cs="宋体"/>
          <w:kern w:val="0"/>
          <w:sz w:val="32"/>
          <w:szCs w:val="32"/>
        </w:rPr>
        <w:t>预算包括：一般公共预算拨款</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258.23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人员工资福利支出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w:t>
      </w:r>
      <w:r>
        <w:rPr>
          <w:rFonts w:hint="eastAsia" w:ascii="仿宋_GB2312" w:hAnsi="宋体" w:eastAsia="仿宋_GB2312" w:cs="宋体"/>
          <w:kern w:val="0"/>
          <w:sz w:val="32"/>
          <w:szCs w:val="32"/>
          <w:lang w:val="en-US" w:eastAsia="zh-CN"/>
        </w:rPr>
        <w:t>障</w:t>
      </w:r>
      <w:r>
        <w:rPr>
          <w:rFonts w:hint="eastAsia" w:ascii="仿宋_GB2312" w:hAnsi="宋体" w:eastAsia="仿宋_GB2312" w:cs="宋体"/>
          <w:kern w:val="0"/>
          <w:sz w:val="32"/>
          <w:szCs w:val="32"/>
        </w:rPr>
        <w:t>和就业支出</w:t>
      </w:r>
      <w:r>
        <w:rPr>
          <w:rFonts w:hint="eastAsia" w:ascii="仿宋_GB2312" w:hAnsi="宋体" w:eastAsia="仿宋_GB2312" w:cs="宋体"/>
          <w:kern w:val="0"/>
          <w:sz w:val="32"/>
          <w:szCs w:val="32"/>
          <w:lang w:val="en-US" w:eastAsia="zh-CN"/>
        </w:rPr>
        <w:t>27.38</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缴纳职工养老保险</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17.56</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缴纳职工医疗保险</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22.76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缴纳职工住房公积金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年一般公共预算拨款合计</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万元，其中：基本支出</w:t>
      </w:r>
      <w:r>
        <w:rPr>
          <w:rFonts w:hint="eastAsia" w:ascii="仿宋_GB2312" w:hAnsi="宋体" w:eastAsia="仿宋_GB2312" w:cs="宋体"/>
          <w:kern w:val="0"/>
          <w:sz w:val="32"/>
          <w:szCs w:val="32"/>
          <w:lang w:val="en-US" w:eastAsia="zh-CN"/>
        </w:rPr>
        <w:t>275.93</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增加41.45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增长17.68</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在职人员工资有所增长，人员的各项支出都有所增加</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万元，比上年减少</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万元，减少50%.主要原因：控制经费支出，网信工作经费项目预算减少。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sz w:val="32"/>
          <w:szCs w:val="32"/>
          <w:lang w:val="en-US" w:eastAsia="zh-CN"/>
        </w:rPr>
        <w:t>208.23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63.89</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w:t>
      </w:r>
      <w:r>
        <w:rPr>
          <w:rFonts w:hint="eastAsia" w:ascii="仿宋_GB2312" w:hAnsi="仿宋_GB2312" w:eastAsia="仿宋_GB2312" w:cs="仿宋_GB2312"/>
          <w:sz w:val="32"/>
          <w:szCs w:val="32"/>
          <w:lang w:val="en-US" w:eastAsia="zh-CN"/>
        </w:rPr>
        <w:t>27.38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3.卫生健康支出（类）</w:t>
      </w:r>
      <w:r>
        <w:rPr>
          <w:rFonts w:hint="eastAsia" w:ascii="仿宋_GB2312" w:hAnsi="仿宋_GB2312" w:eastAsia="仿宋_GB2312" w:cs="仿宋_GB2312"/>
          <w:sz w:val="32"/>
          <w:szCs w:val="32"/>
          <w:lang w:val="en-US" w:eastAsia="zh-CN"/>
        </w:rPr>
        <w:t>17.56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4.住房保障支出（类）</w:t>
      </w:r>
      <w:r>
        <w:rPr>
          <w:rFonts w:hint="eastAsia" w:ascii="仿宋_GB2312" w:hAnsi="仿宋_GB2312" w:eastAsia="仿宋_GB2312" w:cs="仿宋_GB2312"/>
          <w:sz w:val="32"/>
          <w:szCs w:val="32"/>
          <w:lang w:val="en-US" w:eastAsia="zh-CN"/>
        </w:rPr>
        <w:t>22.76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6.98</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autoSpaceDE w:val="0"/>
        <w:autoSpaceDN w:val="0"/>
        <w:adjustRightInd w:val="0"/>
        <w:ind w:firstLine="640" w:firstLineChars="200"/>
        <w:jc w:val="left"/>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sz w:val="32"/>
          <w:szCs w:val="32"/>
        </w:rPr>
        <w:t>1.一般公共服务支出（类）网信事务（款）行政运行（</w:t>
      </w:r>
      <w:r>
        <w:rPr>
          <w:rFonts w:hint="eastAsia" w:ascii="仿宋_GB2312" w:hAnsi="宋体" w:eastAsia="仿宋_GB2312" w:cs="宋体"/>
          <w:sz w:val="32"/>
          <w:szCs w:val="32"/>
          <w:highlight w:val="none"/>
        </w:rPr>
        <w:t>项）：202</w:t>
      </w: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208.23</w:t>
      </w:r>
      <w:r>
        <w:rPr>
          <w:rFonts w:hint="eastAsia" w:ascii="仿宋_GB2312" w:hAnsi="宋体" w:eastAsia="仿宋_GB2312" w:cs="宋体"/>
          <w:sz w:val="32"/>
          <w:szCs w:val="32"/>
          <w:highlight w:val="none"/>
        </w:rPr>
        <w:t>万元，比上年预算数</w:t>
      </w:r>
      <w:r>
        <w:rPr>
          <w:rFonts w:hint="eastAsia" w:ascii="仿宋_GB2312" w:hAnsi="宋体" w:eastAsia="仿宋_GB2312" w:cs="宋体"/>
          <w:sz w:val="32"/>
          <w:szCs w:val="32"/>
          <w:highlight w:val="none"/>
          <w:lang w:val="en-US" w:eastAsia="zh-CN"/>
        </w:rPr>
        <w:t>增加29.84</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增长16.73</w:t>
      </w:r>
      <w:r>
        <w:rPr>
          <w:rFonts w:hint="eastAsia" w:ascii="仿宋_GB2312" w:hAnsi="宋体" w:eastAsia="仿宋_GB2312" w:cs="宋体"/>
          <w:sz w:val="32"/>
          <w:szCs w:val="32"/>
          <w:highlight w:val="none"/>
        </w:rPr>
        <w:t>%，主要原因是：</w:t>
      </w:r>
      <w:r>
        <w:rPr>
          <w:rFonts w:hint="eastAsia" w:ascii="仿宋_GB2312" w:hAnsi="宋体" w:eastAsia="仿宋_GB2312" w:cs="宋体"/>
          <w:kern w:val="0"/>
          <w:sz w:val="32"/>
          <w:szCs w:val="32"/>
          <w:lang w:val="en-US" w:eastAsia="zh-CN"/>
        </w:rPr>
        <w:t>在职人员工资有所增长，人员的各项支出都有所增加。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highlight w:val="none"/>
        </w:rPr>
        <w:t>2.</w:t>
      </w:r>
      <w:r>
        <w:rPr>
          <w:rFonts w:hint="eastAsia" w:ascii="仿宋_GB2312" w:hAnsi="宋体" w:eastAsia="仿宋_GB2312" w:cs="宋体"/>
          <w:sz w:val="32"/>
          <w:szCs w:val="32"/>
          <w:highlight w:val="none"/>
        </w:rPr>
        <w:t>一般公共服务支出（类）网信事务（款）其他网信事务支出（项）：202</w:t>
      </w: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50.00</w:t>
      </w:r>
      <w:r>
        <w:rPr>
          <w:rFonts w:hint="eastAsia" w:ascii="仿宋_GB2312" w:hAnsi="宋体" w:eastAsia="仿宋_GB2312" w:cs="宋体"/>
          <w:sz w:val="32"/>
          <w:szCs w:val="32"/>
          <w:highlight w:val="none"/>
        </w:rPr>
        <w:t>万元，比上年预算数减少</w:t>
      </w:r>
      <w:r>
        <w:rPr>
          <w:rFonts w:hint="eastAsia" w:ascii="仿宋_GB2312" w:hAnsi="宋体" w:eastAsia="仿宋_GB2312" w:cs="宋体"/>
          <w:sz w:val="32"/>
          <w:szCs w:val="32"/>
          <w:highlight w:val="none"/>
          <w:lang w:val="en-US" w:eastAsia="zh-CN"/>
        </w:rPr>
        <w:t>50.00</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w:t>
      </w:r>
      <w:r>
        <w:rPr>
          <w:rFonts w:hint="eastAsia" w:ascii="仿宋_GB2312" w:hAnsi="宋体" w:eastAsia="仿宋_GB2312" w:cs="宋体"/>
          <w:sz w:val="32"/>
          <w:szCs w:val="32"/>
          <w:highlight w:val="none"/>
        </w:rPr>
        <w:t>50%，主</w:t>
      </w:r>
      <w:r>
        <w:rPr>
          <w:rFonts w:hint="eastAsia" w:ascii="仿宋_GB2312" w:hAnsi="宋体" w:eastAsia="仿宋_GB2312" w:cs="宋体"/>
          <w:sz w:val="32"/>
          <w:szCs w:val="32"/>
        </w:rPr>
        <w:t>要原因是：</w:t>
      </w:r>
      <w:r>
        <w:rPr>
          <w:rFonts w:hint="eastAsia" w:ascii="仿宋_GB2312" w:hAnsi="宋体" w:eastAsia="仿宋_GB2312" w:cs="宋体"/>
          <w:kern w:val="0"/>
          <w:sz w:val="32"/>
          <w:szCs w:val="32"/>
        </w:rPr>
        <w:t>控制经费支出，网信工作经费项目预算减少。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sz w:val="32"/>
          <w:szCs w:val="32"/>
        </w:rPr>
        <w:t>3.社会保障和就业支出（类）行政事业单位养老支出（款）机关事业单位基本养老保险（项）：</w:t>
      </w:r>
      <w:r>
        <w:rPr>
          <w:rFonts w:hint="eastAsia" w:ascii="仿宋_GB2312" w:hAnsi="Arial" w:eastAsia="仿宋_GB2312" w:cs="Arial"/>
          <w:sz w:val="32"/>
          <w:szCs w:val="32"/>
        </w:rPr>
        <w:t>202</w:t>
      </w:r>
      <w:r>
        <w:rPr>
          <w:rFonts w:hint="eastAsia" w:ascii="仿宋_GB2312" w:hAnsi="Arial" w:eastAsia="仿宋_GB2312" w:cs="Arial"/>
          <w:sz w:val="32"/>
          <w:szCs w:val="32"/>
          <w:lang w:val="en-US" w:eastAsia="zh-CN"/>
        </w:rPr>
        <w:t>4</w:t>
      </w:r>
      <w:r>
        <w:rPr>
          <w:rFonts w:hint="eastAsia" w:ascii="仿宋_GB2312" w:hAnsi="Arial" w:eastAsia="仿宋_GB2312" w:cs="Arial"/>
          <w:sz w:val="32"/>
          <w:szCs w:val="32"/>
        </w:rPr>
        <w:t>年预算数为</w:t>
      </w:r>
      <w:r>
        <w:rPr>
          <w:rFonts w:hint="eastAsia" w:ascii="仿宋_GB2312" w:hAnsi="Arial" w:eastAsia="仿宋_GB2312" w:cs="Arial"/>
          <w:sz w:val="32"/>
          <w:szCs w:val="32"/>
          <w:lang w:val="en-US" w:eastAsia="zh-CN"/>
        </w:rPr>
        <w:t>27.38</w:t>
      </w:r>
      <w:r>
        <w:rPr>
          <w:rFonts w:hint="eastAsia" w:ascii="仿宋_GB2312" w:hAnsi="Arial" w:eastAsia="仿宋_GB2312" w:cs="Arial"/>
          <w:sz w:val="32"/>
          <w:szCs w:val="32"/>
        </w:rPr>
        <w:t>万元，比上年预算数增加</w:t>
      </w:r>
      <w:r>
        <w:rPr>
          <w:rFonts w:hint="eastAsia" w:ascii="仿宋_GB2312" w:hAnsi="Arial" w:eastAsia="仿宋_GB2312" w:cs="Arial"/>
          <w:sz w:val="32"/>
          <w:szCs w:val="32"/>
          <w:lang w:val="en-US" w:eastAsia="zh-CN"/>
        </w:rPr>
        <w:t>4.48</w:t>
      </w:r>
      <w:r>
        <w:rPr>
          <w:rFonts w:hint="eastAsia" w:ascii="仿宋_GB2312" w:hAnsi="Arial" w:eastAsia="仿宋_GB2312" w:cs="Arial"/>
          <w:sz w:val="32"/>
          <w:szCs w:val="32"/>
        </w:rPr>
        <w:t>万元，增长</w:t>
      </w:r>
      <w:r>
        <w:rPr>
          <w:rFonts w:hint="eastAsia" w:ascii="仿宋_GB2312" w:hAnsi="Arial" w:eastAsia="仿宋_GB2312" w:cs="Arial"/>
          <w:sz w:val="32"/>
          <w:szCs w:val="32"/>
          <w:lang w:val="en-US" w:eastAsia="zh-CN"/>
        </w:rPr>
        <w:t>19.56</w:t>
      </w:r>
      <w:r>
        <w:rPr>
          <w:rFonts w:hint="eastAsia" w:ascii="仿宋_GB2312" w:hAnsi="Arial" w:eastAsia="仿宋_GB2312" w:cs="Arial"/>
          <w:sz w:val="32"/>
          <w:szCs w:val="32"/>
        </w:rPr>
        <w:t>%，主要原因是：在编人员工资</w:t>
      </w:r>
      <w:r>
        <w:rPr>
          <w:rFonts w:hint="eastAsia" w:ascii="仿宋_GB2312" w:hAnsi="Arial" w:eastAsia="仿宋_GB2312" w:cs="Arial"/>
          <w:sz w:val="32"/>
          <w:szCs w:val="32"/>
          <w:lang w:eastAsia="zh-CN"/>
        </w:rPr>
        <w:t>增加，社保</w:t>
      </w:r>
      <w:r>
        <w:rPr>
          <w:rFonts w:hint="eastAsia" w:ascii="仿宋_GB2312" w:hAnsi="Arial" w:eastAsia="仿宋_GB2312" w:cs="Arial"/>
          <w:sz w:val="32"/>
          <w:szCs w:val="32"/>
        </w:rPr>
        <w:t>基数调整</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4.卫生健康支出（类）行政事业单位医疗（款）行政单位医疗（项）：202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7.98</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下降</w:t>
      </w:r>
      <w:r>
        <w:rPr>
          <w:rFonts w:hint="eastAsia" w:ascii="仿宋_GB2312" w:hAnsi="Arial" w:eastAsia="仿宋_GB2312" w:cs="Arial"/>
          <w:sz w:val="32"/>
          <w:szCs w:val="32"/>
          <w:lang w:val="en-US" w:eastAsia="zh-CN"/>
        </w:rPr>
        <w:t>69.76</w:t>
      </w:r>
      <w:r>
        <w:rPr>
          <w:rFonts w:hint="eastAsia" w:ascii="仿宋_GB2312" w:hAnsi="Arial" w:eastAsia="仿宋_GB2312" w:cs="Arial"/>
          <w:sz w:val="32"/>
          <w:szCs w:val="32"/>
        </w:rPr>
        <w:t>%，主要原因：</w:t>
      </w:r>
      <w:r>
        <w:rPr>
          <w:rFonts w:hint="eastAsia" w:ascii="仿宋_GB2312" w:hAnsi="Arial" w:eastAsia="仿宋_GB2312" w:cs="Arial"/>
          <w:sz w:val="32"/>
          <w:szCs w:val="32"/>
          <w:lang w:eastAsia="zh-CN"/>
        </w:rPr>
        <w:t>本年度剔除了退休人员行政医疗及事业单位医疗。</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10.23</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10.23万元</w:t>
      </w:r>
      <w:r>
        <w:rPr>
          <w:rFonts w:hint="eastAsia" w:ascii="仿宋_GB2312" w:hAnsi="Arial" w:eastAsia="仿宋_GB2312" w:cs="Arial"/>
          <w:sz w:val="32"/>
          <w:szCs w:val="32"/>
        </w:rPr>
        <w:t>，</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rPr>
        <w:t>%，主要原因：</w:t>
      </w:r>
      <w:r>
        <w:rPr>
          <w:rFonts w:hint="eastAsia" w:ascii="仿宋_GB2312" w:hAnsi="Arial" w:eastAsia="仿宋_GB2312" w:cs="Arial"/>
          <w:sz w:val="32"/>
          <w:szCs w:val="32"/>
          <w:lang w:eastAsia="zh-CN"/>
        </w:rPr>
        <w:t>事业单位医疗是本年新增款项。</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Arial" w:eastAsia="仿宋_GB2312" w:cs="Arial"/>
          <w:sz w:val="32"/>
          <w:szCs w:val="32"/>
          <w:lang w:val="en-US" w:eastAsia="zh-CN"/>
        </w:rPr>
        <w:t>6</w:t>
      </w:r>
      <w:r>
        <w:rPr>
          <w:rFonts w:hint="eastAsia" w:ascii="仿宋_GB2312" w:hAnsi="Arial" w:eastAsia="仿宋_GB2312" w:cs="Arial"/>
          <w:sz w:val="32"/>
          <w:szCs w:val="32"/>
        </w:rPr>
        <w:t>.</w:t>
      </w:r>
      <w:r>
        <w:rPr>
          <w:rFonts w:hint="eastAsia" w:ascii="仿宋_GB2312" w:hAnsi="宋体" w:eastAsia="仿宋_GB2312" w:cs="宋体"/>
          <w:kern w:val="0"/>
          <w:sz w:val="32"/>
          <w:szCs w:val="32"/>
        </w:rPr>
        <w:t>卫生健康支出（类）行政事业单位医疗（款）公务员医疗补助（项）：202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3.76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0.61</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19.37</w:t>
      </w:r>
      <w:r>
        <w:rPr>
          <w:rFonts w:hint="eastAsia" w:ascii="仿宋_GB2312" w:hAnsi="Arial" w:eastAsia="仿宋_GB2312" w:cs="Arial"/>
          <w:sz w:val="32"/>
          <w:szCs w:val="32"/>
        </w:rPr>
        <w:t>%，主要原因：在编人员工资</w:t>
      </w:r>
      <w:r>
        <w:rPr>
          <w:rFonts w:hint="eastAsia" w:ascii="仿宋_GB2312" w:hAnsi="Arial" w:eastAsia="仿宋_GB2312" w:cs="Arial"/>
          <w:sz w:val="32"/>
          <w:szCs w:val="32"/>
          <w:lang w:eastAsia="zh-CN"/>
        </w:rPr>
        <w:t>增加，社保</w:t>
      </w:r>
      <w:r>
        <w:rPr>
          <w:rFonts w:hint="eastAsia" w:ascii="仿宋_GB2312" w:hAnsi="Arial" w:eastAsia="仿宋_GB2312" w:cs="Arial"/>
          <w:sz w:val="32"/>
          <w:szCs w:val="32"/>
        </w:rPr>
        <w:t>基数调整</w:t>
      </w:r>
      <w:r>
        <w:rPr>
          <w:rFonts w:hint="eastAsia" w:ascii="仿宋_GB2312" w:hAnsi="Arial" w:eastAsia="仿宋_GB2312" w:cs="Arial"/>
          <w:sz w:val="32"/>
          <w:szCs w:val="32"/>
          <w:lang w:eastAsia="zh-CN"/>
        </w:rPr>
        <w:t>。</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Arial" w:eastAsia="仿宋_GB2312" w:cs="Arial"/>
          <w:sz w:val="32"/>
          <w:szCs w:val="32"/>
          <w:lang w:val="en-US" w:eastAsia="zh-CN"/>
        </w:rPr>
        <w:t>7</w:t>
      </w:r>
      <w:r>
        <w:rPr>
          <w:rFonts w:hint="eastAsia" w:ascii="仿宋_GB2312" w:hAnsi="Arial" w:eastAsia="仿宋_GB2312" w:cs="Arial"/>
          <w:sz w:val="32"/>
          <w:szCs w:val="32"/>
        </w:rPr>
        <w:t>.</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其他行政事业单位医疗支出</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0.10</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0.10</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rPr>
        <w:t>%，主要原因：</w:t>
      </w:r>
      <w:r>
        <w:rPr>
          <w:rFonts w:hint="eastAsia" w:ascii="仿宋_GB2312" w:hAnsi="宋体" w:eastAsia="仿宋_GB2312" w:cs="宋体"/>
          <w:kern w:val="0"/>
          <w:sz w:val="32"/>
          <w:szCs w:val="32"/>
          <w:lang w:eastAsia="zh-CN"/>
        </w:rPr>
        <w:t>其他行政事业单位医疗支出</w:t>
      </w:r>
      <w:r>
        <w:rPr>
          <w:rFonts w:hint="eastAsia" w:ascii="仿宋_GB2312" w:hAnsi="Arial" w:eastAsia="仿宋_GB2312" w:cs="Arial"/>
          <w:sz w:val="32"/>
          <w:szCs w:val="32"/>
          <w:lang w:eastAsia="zh-CN"/>
        </w:rPr>
        <w:t>是本年新增款项。</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Arial" w:eastAsia="仿宋_GB2312" w:cs="Arial"/>
          <w:sz w:val="32"/>
          <w:szCs w:val="32"/>
          <w:lang w:val="en-US" w:eastAsia="zh-CN"/>
        </w:rPr>
        <w:t>8</w:t>
      </w:r>
      <w:r>
        <w:rPr>
          <w:rFonts w:hint="eastAsia" w:ascii="仿宋_GB2312" w:hAnsi="Arial" w:eastAsia="仿宋_GB2312" w:cs="Arial"/>
          <w:sz w:val="32"/>
          <w:szCs w:val="32"/>
        </w:rPr>
        <w:t>.住房保障支出（类）住房改革支出（款）住房公积金（项）：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22.76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4.16</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22.37</w:t>
      </w:r>
      <w:r>
        <w:rPr>
          <w:rFonts w:hint="eastAsia" w:ascii="仿宋_GB2312" w:hAnsi="Arial" w:eastAsia="仿宋_GB2312" w:cs="Arial"/>
          <w:sz w:val="32"/>
          <w:szCs w:val="32"/>
        </w:rPr>
        <w:t>%，主要原因：在编人员工资</w:t>
      </w:r>
      <w:r>
        <w:rPr>
          <w:rFonts w:hint="eastAsia" w:ascii="仿宋_GB2312" w:hAnsi="Arial" w:eastAsia="仿宋_GB2312" w:cs="Arial"/>
          <w:sz w:val="32"/>
          <w:szCs w:val="32"/>
          <w:lang w:eastAsia="zh-CN"/>
        </w:rPr>
        <w:t>增加，住房公积金</w:t>
      </w:r>
      <w:r>
        <w:rPr>
          <w:rFonts w:hint="eastAsia" w:ascii="仿宋_GB2312" w:hAnsi="Arial" w:eastAsia="仿宋_GB2312" w:cs="Arial"/>
          <w:sz w:val="32"/>
          <w:szCs w:val="32"/>
        </w:rPr>
        <w:t>基数调整</w:t>
      </w:r>
      <w:r>
        <w:rPr>
          <w:rFonts w:hint="eastAsia" w:ascii="仿宋_GB2312" w:hAnsi="Arial" w:eastAsia="仿宋_GB2312" w:cs="Arial"/>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年一般公共预算基本支出</w:t>
      </w:r>
      <w:r>
        <w:rPr>
          <w:rFonts w:hint="eastAsia" w:ascii="仿宋_GB2312" w:hAnsi="宋体" w:eastAsia="仿宋_GB2312" w:cs="宋体"/>
          <w:kern w:val="0"/>
          <w:sz w:val="32"/>
          <w:szCs w:val="32"/>
          <w:lang w:val="en-US" w:eastAsia="zh-CN"/>
        </w:rPr>
        <w:t>275.93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其中：</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267.75</w:t>
      </w:r>
      <w:r>
        <w:rPr>
          <w:rFonts w:hint="eastAsia" w:ascii="仿宋_GB2312" w:hAnsi="宋体" w:eastAsia="仿宋_GB2312" w:cs="宋体"/>
          <w:kern w:val="0"/>
          <w:sz w:val="32"/>
          <w:szCs w:val="32"/>
          <w:highlight w:val="none"/>
        </w:rPr>
        <w:t>万元，主要包括：基本工资、津贴补贴、奖金、绩效工资、机关事业单位基本</w:t>
      </w:r>
      <w:r>
        <w:rPr>
          <w:rFonts w:hint="eastAsia" w:ascii="仿宋_GB2312" w:hAnsi="宋体" w:eastAsia="仿宋_GB2312" w:cs="宋体"/>
          <w:kern w:val="0"/>
          <w:sz w:val="32"/>
          <w:szCs w:val="32"/>
        </w:rPr>
        <w:t>养老保险缴费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职工基本医疗保险缴费、公务员医疗补助缴费、其他社会保障缴费、住房公积金</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8.18</w:t>
      </w:r>
      <w:r>
        <w:rPr>
          <w:rFonts w:hint="eastAsia" w:ascii="仿宋_GB2312" w:hAnsi="宋体" w:eastAsia="仿宋_GB2312" w:cs="宋体"/>
          <w:kern w:val="0"/>
          <w:sz w:val="32"/>
          <w:szCs w:val="32"/>
        </w:rPr>
        <w:t>万元，主要包括：办公费、</w:t>
      </w:r>
      <w:r>
        <w:rPr>
          <w:rFonts w:hint="eastAsia" w:ascii="仿宋_GB2312" w:hAnsi="宋体" w:eastAsia="仿宋_GB2312" w:cs="宋体"/>
          <w:kern w:val="0"/>
          <w:sz w:val="32"/>
          <w:szCs w:val="32"/>
          <w:lang w:eastAsia="zh-CN"/>
        </w:rPr>
        <w:t>印刷费、邮电费、差旅费、维修（护）费、</w:t>
      </w:r>
      <w:r>
        <w:rPr>
          <w:rFonts w:hint="eastAsia" w:ascii="仿宋_GB2312" w:hAnsi="宋体" w:eastAsia="仿宋_GB2312" w:cs="宋体"/>
          <w:kern w:val="0"/>
          <w:sz w:val="32"/>
          <w:szCs w:val="32"/>
        </w:rPr>
        <w:t>工会经费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公务用车运行维护费</w:t>
      </w:r>
      <w:r>
        <w:rPr>
          <w:rFonts w:hint="eastAsia" w:ascii="仿宋_GB2312" w:hAnsi="宋体" w:eastAsia="仿宋_GB2312" w:cs="宋体"/>
          <w:kern w:val="0"/>
          <w:sz w:val="32"/>
          <w:szCs w:val="32"/>
          <w:lang w:eastAsia="zh-CN"/>
        </w:rPr>
        <w:t>、其它交通费用。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网信工作经费</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呼财字（2024）11号</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中共呼图壁县委员会网络安全和信息化委员会办公室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研究拟订全县网络安全和信息化发展规划和年度计划并负责组织实施；网络舆情管控费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30万，</w:t>
      </w:r>
      <w:r>
        <w:rPr>
          <w:rFonts w:hint="eastAsia" w:ascii="仿宋_GB2312" w:hAnsi="宋体" w:eastAsia="仿宋_GB2312" w:cs="宋体"/>
          <w:kern w:val="0"/>
          <w:sz w:val="32"/>
          <w:szCs w:val="32"/>
          <w:lang w:eastAsia="zh-CN"/>
        </w:rPr>
        <w:t>网络舆情宣传费用≤</w:t>
      </w:r>
      <w:r>
        <w:rPr>
          <w:rFonts w:hint="eastAsia" w:ascii="仿宋_GB2312" w:hAnsi="宋体" w:eastAsia="仿宋_GB2312" w:cs="宋体"/>
          <w:kern w:val="0"/>
          <w:sz w:val="32"/>
          <w:szCs w:val="32"/>
          <w:lang w:val="en-US" w:eastAsia="zh-CN"/>
        </w:rPr>
        <w:t>20万。</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eastAsia="zh-CN"/>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年一般公共预算“三公”经费数为1.</w:t>
      </w:r>
      <w:r>
        <w:rPr>
          <w:rFonts w:hint="eastAsia" w:ascii="仿宋_GB2312" w:hAnsi="宋体" w:eastAsia="仿宋_GB2312" w:cs="宋体"/>
          <w:kern w:val="0"/>
          <w:sz w:val="32"/>
          <w:szCs w:val="32"/>
          <w:lang w:val="en-US" w:eastAsia="zh-CN"/>
        </w:rPr>
        <w:t>46</w:t>
      </w:r>
      <w:r>
        <w:rPr>
          <w:rFonts w:hint="eastAsia" w:ascii="仿宋_GB2312" w:hAnsi="宋体" w:eastAsia="仿宋_GB2312" w:cs="宋体"/>
          <w:kern w:val="0"/>
          <w:sz w:val="32"/>
          <w:szCs w:val="32"/>
        </w:rPr>
        <w:t>万元，其中：因公出国（境）费0万元，公务用车购置0万元，公务用车运行费1.</w:t>
      </w:r>
      <w:r>
        <w:rPr>
          <w:rFonts w:hint="eastAsia" w:ascii="仿宋_GB2312" w:hAnsi="宋体" w:eastAsia="仿宋_GB2312" w:cs="宋体"/>
          <w:kern w:val="0"/>
          <w:sz w:val="32"/>
          <w:szCs w:val="32"/>
          <w:lang w:val="en-US" w:eastAsia="zh-CN"/>
        </w:rPr>
        <w:t>46</w:t>
      </w:r>
      <w:r>
        <w:rPr>
          <w:rFonts w:hint="eastAsia" w:ascii="仿宋_GB2312" w:hAnsi="宋体" w:eastAsia="仿宋_GB2312" w:cs="宋体"/>
          <w:kern w:val="0"/>
          <w:sz w:val="32"/>
          <w:szCs w:val="32"/>
        </w:rPr>
        <w:t>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年一般公共预算“三公”经费比上年减少</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8.75</w:t>
      </w:r>
      <w:r>
        <w:rPr>
          <w:rFonts w:hint="eastAsia" w:ascii="仿宋_GB2312" w:hAnsi="宋体" w:eastAsia="仿宋_GB2312" w:cs="宋体"/>
          <w:kern w:val="0"/>
          <w:sz w:val="32"/>
          <w:szCs w:val="32"/>
        </w:rPr>
        <w:t>%。其中：因公出国（境）费增加0万元，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未安排预算；公务用车购置增加0万元，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未安排预算；公务用车运行费</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8.75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根据单位内控制度要求，减少三公经费支出预算</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中共呼图壁县委员会网络安全和信息化委员会办公室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年，中共呼图壁县委员会网络安全和信息化委员会办公室本级及下属0家行政单位和0家事业单位。机关运行经费财政拨款预算</w:t>
      </w:r>
      <w:r>
        <w:rPr>
          <w:rFonts w:hint="eastAsia" w:ascii="仿宋_GB2312" w:hAnsi="宋体" w:eastAsia="仿宋_GB2312" w:cs="宋体"/>
          <w:kern w:val="0"/>
          <w:sz w:val="32"/>
          <w:szCs w:val="32"/>
          <w:lang w:val="en-US" w:eastAsia="zh-CN"/>
        </w:rPr>
        <w:t>8.18</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3.72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83.41</w:t>
      </w:r>
      <w:r>
        <w:rPr>
          <w:rFonts w:hint="eastAsia" w:ascii="仿宋_GB2312" w:hAnsi="宋体" w:eastAsia="仿宋_GB2312" w:cs="宋体"/>
          <w:kern w:val="0"/>
          <w:sz w:val="32"/>
          <w:szCs w:val="32"/>
        </w:rPr>
        <w:t>%。主要原因是新增在编人员</w:t>
      </w:r>
      <w:r>
        <w:rPr>
          <w:rFonts w:hint="eastAsia" w:ascii="仿宋_GB2312" w:hAnsi="宋体" w:eastAsia="仿宋_GB2312" w:cs="宋体"/>
          <w:kern w:val="0"/>
          <w:sz w:val="32"/>
          <w:szCs w:val="32"/>
          <w:lang w:eastAsia="zh-CN"/>
        </w:rPr>
        <w:t>，单位运行经费增加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66.75</w:t>
      </w:r>
      <w:r>
        <w:rPr>
          <w:rFonts w:hint="eastAsia" w:ascii="仿宋_GB2312" w:hAnsi="仿宋_GB2312" w:eastAsia="仿宋_GB2312" w:cs="仿宋_GB2312"/>
          <w:kern w:val="0"/>
          <w:sz w:val="32"/>
          <w:szCs w:val="32"/>
        </w:rPr>
        <w:t xml:space="preserve">万元，其中：政府采购货物预算     </w:t>
      </w:r>
      <w:r>
        <w:rPr>
          <w:rFonts w:hint="eastAsia" w:ascii="仿宋_GB2312" w:hAnsi="仿宋_GB2312" w:eastAsia="仿宋_GB2312" w:cs="仿宋_GB2312"/>
          <w:kern w:val="0"/>
          <w:sz w:val="32"/>
          <w:szCs w:val="32"/>
          <w:lang w:val="en-US" w:eastAsia="zh-CN"/>
        </w:rPr>
        <w:t>12.39</w:t>
      </w:r>
      <w:r>
        <w:rPr>
          <w:rFonts w:hint="eastAsia" w:ascii="仿宋_GB2312" w:hAnsi="仿宋_GB2312" w:eastAsia="仿宋_GB2312" w:cs="仿宋_GB2312"/>
          <w:kern w:val="0"/>
          <w:sz w:val="32"/>
          <w:szCs w:val="32"/>
        </w:rPr>
        <w:t xml:space="preserve">万元，政府采购工程预算 </w:t>
      </w:r>
      <w:r>
        <w:rPr>
          <w:rFonts w:hint="eastAsia" w:ascii="仿宋_GB2312" w:hAnsi="仿宋_GB2312" w:eastAsia="仿宋_GB2312" w:cs="仿宋_GB2312"/>
          <w:kern w:val="0"/>
          <w:sz w:val="32"/>
          <w:szCs w:val="32"/>
          <w:lang w:val="en-US" w:eastAsia="zh-CN"/>
        </w:rPr>
        <w:t>2.73</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51.63</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年度本单位面向中小企业预留政府采购项目预算金额 </w:t>
      </w:r>
      <w:r>
        <w:rPr>
          <w:rFonts w:hint="eastAsia" w:ascii="仿宋_GB2312" w:hAnsi="仿宋_GB2312" w:eastAsia="仿宋_GB2312" w:cs="仿宋_GB2312"/>
          <w:sz w:val="32"/>
          <w:lang w:val="en-US" w:eastAsia="zh-CN"/>
        </w:rPr>
        <w:t>66.75</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66.75</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 平方米，价值 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 0辆，价值 0万元；其中：一般公务用车 0 辆，价值0万元；执法执勤用车0 辆，价值 0  万元；其他车辆 0 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12.87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127.18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0台（套），单位价值100万元以上大型设备 0 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预算未安排购置车辆经费，安排购置50万元以上大型设备 0 台（套），单位价值100万元以上大型设备 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整体预算绩效目标1个，涉及金额325.93万元；当年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SM</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中共呼图壁县委员会网络安全和信息化委员会办公室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杨丽萍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19909949005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w:t>
            </w:r>
            <w:r>
              <w:rPr>
                <w:rFonts w:hint="eastAsia" w:ascii="宋体" w:hAnsi="宋体" w:cs="宋体"/>
                <w:i w:val="0"/>
                <w:iCs w:val="0"/>
                <w:color w:val="000000"/>
                <w:sz w:val="20"/>
                <w:szCs w:val="20"/>
                <w:u w:val="none"/>
                <w:lang w:eastAsia="zh-CN"/>
              </w:rPr>
              <w:t>我</w:t>
            </w:r>
            <w:r>
              <w:rPr>
                <w:rFonts w:hint="eastAsia" w:ascii="宋体" w:hAnsi="宋体" w:eastAsia="宋体" w:cs="宋体"/>
                <w:i w:val="0"/>
                <w:iCs w:val="0"/>
                <w:color w:val="000000"/>
                <w:sz w:val="20"/>
                <w:szCs w:val="20"/>
                <w:u w:val="none"/>
              </w:rPr>
              <w:t>单位1</w:t>
            </w:r>
            <w:r>
              <w:rPr>
                <w:rFonts w:hint="eastAsia" w:ascii="宋体" w:hAnsi="宋体" w:cs="宋体"/>
                <w:i w:val="0"/>
                <w:iCs w:val="0"/>
                <w:color w:val="000000"/>
                <w:sz w:val="20"/>
                <w:szCs w:val="20"/>
                <w:u w:val="none"/>
                <w:lang w:val="en-US" w:eastAsia="zh-CN"/>
              </w:rPr>
              <w:t>7</w:t>
            </w:r>
            <w:r>
              <w:rPr>
                <w:rFonts w:hint="eastAsia" w:ascii="宋体" w:hAnsi="宋体" w:eastAsia="宋体" w:cs="宋体"/>
                <w:i w:val="0"/>
                <w:iCs w:val="0"/>
                <w:color w:val="000000"/>
                <w:sz w:val="20"/>
                <w:szCs w:val="20"/>
                <w:u w:val="none"/>
              </w:rPr>
              <w:t>人的工资、津贴、奖金、社保、住房公积金按时发放，1辆公务用车的正常运行。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w:t>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325.93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367" w:type="dxa"/>
            <w:vMerge w:val="restart"/>
            <w:tcBorders>
              <w:top w:val="single" w:color="auto" w:sz="4" w:space="0"/>
              <w:left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保障人员人数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auto"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保障工资福利支出</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&gt;=267.75万元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全年开展网络安全宣传次数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&gt;=50场次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保障发放覆盖率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质量指标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人员考核合格率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b w:val="0"/>
          <w:bCs/>
          <w:kern w:val="0"/>
          <w:sz w:val="32"/>
          <w:szCs w:val="32"/>
          <w:highlight w:val="none"/>
          <w:lang w:val="en-US" w:eastAsia="zh-CN"/>
        </w:rPr>
      </w:pPr>
      <w:r>
        <w:rPr>
          <w:rFonts w:hint="eastAsia" w:ascii="仿宋" w:hAnsi="仿宋" w:eastAsia="仿宋" w:cs="仿宋"/>
          <w:b w:val="0"/>
          <w:bCs/>
          <w:kern w:val="0"/>
          <w:sz w:val="32"/>
          <w:szCs w:val="32"/>
          <w:highlight w:val="none"/>
          <w:lang w:val="en-US" w:eastAsia="zh-CN"/>
        </w:rPr>
        <w:t>本单位2024年SM项目1个，涉及预算金额50万元，绩效目标表完全不予公开。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b w:val="0"/>
          <w:bCs/>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96" w:firstLineChars="200"/>
        <w:jc w:val="center"/>
        <w:textAlignment w:val="auto"/>
        <w:outlineLvl w:val="9"/>
        <w:rPr>
          <w:rFonts w:hint="eastAsia" w:ascii="仿宋_GB2312" w:hAnsi="宋体" w:eastAsia="仿宋_GB2312" w:cs="宋体"/>
          <w:kern w:val="0"/>
          <w:sz w:val="32"/>
          <w:szCs w:val="32"/>
          <w:highlight w:val="none"/>
        </w:rPr>
      </w:pPr>
      <w:r>
        <w:rPr>
          <w:rFonts w:hint="eastAsia" w:ascii="仿宋_GB2312" w:eastAsia="仿宋_GB2312" w:cs="Times New Roman"/>
          <w:spacing w:val="-11"/>
          <w:sz w:val="32"/>
          <w:szCs w:val="32"/>
          <w:lang w:val="en-US" w:eastAsia="zh-CN"/>
        </w:rPr>
        <w:t xml:space="preserve">      </w:t>
      </w:r>
      <w:r>
        <w:rPr>
          <w:rFonts w:hint="eastAsia" w:ascii="仿宋_GB2312" w:eastAsia="仿宋_GB2312" w:cs="Times New Roman"/>
          <w:spacing w:val="-11"/>
          <w:sz w:val="32"/>
          <w:szCs w:val="32"/>
        </w:rPr>
        <w:t>中共呼图壁县委员会网络安全和信息化委员会办公室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6F5610"/>
    <w:rsid w:val="00EE2224"/>
    <w:rsid w:val="04267B2D"/>
    <w:rsid w:val="05397FD9"/>
    <w:rsid w:val="070E6657"/>
    <w:rsid w:val="08450B28"/>
    <w:rsid w:val="0B247F12"/>
    <w:rsid w:val="0D6E5FD0"/>
    <w:rsid w:val="0E9208E7"/>
    <w:rsid w:val="10415DF5"/>
    <w:rsid w:val="10587512"/>
    <w:rsid w:val="10916BDA"/>
    <w:rsid w:val="13AF3476"/>
    <w:rsid w:val="13FC0E80"/>
    <w:rsid w:val="1697741D"/>
    <w:rsid w:val="16F90D8C"/>
    <w:rsid w:val="1732414C"/>
    <w:rsid w:val="1BEB54C3"/>
    <w:rsid w:val="1C0B75EA"/>
    <w:rsid w:val="1C3C6084"/>
    <w:rsid w:val="1CEB6DC6"/>
    <w:rsid w:val="1D3E1AFE"/>
    <w:rsid w:val="1EB61656"/>
    <w:rsid w:val="1F02735B"/>
    <w:rsid w:val="20DD55C0"/>
    <w:rsid w:val="22936813"/>
    <w:rsid w:val="22DB78DD"/>
    <w:rsid w:val="23CA66DA"/>
    <w:rsid w:val="23DC6182"/>
    <w:rsid w:val="244D65B8"/>
    <w:rsid w:val="2492221D"/>
    <w:rsid w:val="26B4291F"/>
    <w:rsid w:val="26E769FA"/>
    <w:rsid w:val="28945AA3"/>
    <w:rsid w:val="293B2E83"/>
    <w:rsid w:val="2A012DF7"/>
    <w:rsid w:val="2AFC4894"/>
    <w:rsid w:val="2D480265"/>
    <w:rsid w:val="2D977453"/>
    <w:rsid w:val="2EF22236"/>
    <w:rsid w:val="32C03E77"/>
    <w:rsid w:val="369F2C20"/>
    <w:rsid w:val="3B1E086C"/>
    <w:rsid w:val="3FDF4D23"/>
    <w:rsid w:val="3FEA7260"/>
    <w:rsid w:val="43C26223"/>
    <w:rsid w:val="43D8307E"/>
    <w:rsid w:val="46CE3131"/>
    <w:rsid w:val="494F7907"/>
    <w:rsid w:val="4C0055E5"/>
    <w:rsid w:val="4C3677AE"/>
    <w:rsid w:val="4C706B3A"/>
    <w:rsid w:val="51C15CED"/>
    <w:rsid w:val="522019E7"/>
    <w:rsid w:val="52285DEB"/>
    <w:rsid w:val="52AD62F0"/>
    <w:rsid w:val="546308FE"/>
    <w:rsid w:val="57597FD2"/>
    <w:rsid w:val="599D70AA"/>
    <w:rsid w:val="5F2346ED"/>
    <w:rsid w:val="5FF35866"/>
    <w:rsid w:val="61086613"/>
    <w:rsid w:val="6408782B"/>
    <w:rsid w:val="646211A3"/>
    <w:rsid w:val="65322CBF"/>
    <w:rsid w:val="68CC52CB"/>
    <w:rsid w:val="68DE4FFE"/>
    <w:rsid w:val="694B58D7"/>
    <w:rsid w:val="69CE4E15"/>
    <w:rsid w:val="69FE72CD"/>
    <w:rsid w:val="6B7F3246"/>
    <w:rsid w:val="6EF07839"/>
    <w:rsid w:val="6F63000B"/>
    <w:rsid w:val="714704EC"/>
    <w:rsid w:val="72B56DCF"/>
    <w:rsid w:val="73733766"/>
    <w:rsid w:val="75B570E6"/>
    <w:rsid w:val="76286741"/>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