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highlight w:val="none"/>
        </w:rPr>
      </w:pPr>
      <w:bookmarkStart w:id="0" w:name="_GoBack"/>
      <w:r>
        <w:rPr>
          <w:rFonts w:hint="eastAsia" w:ascii="黑体" w:hAnsi="黑体" w:eastAsia="黑体"/>
          <w:sz w:val="32"/>
          <w:szCs w:val="32"/>
          <w:highlight w:val="none"/>
        </w:rPr>
        <w:t>附件</w:t>
      </w:r>
      <w:r>
        <w:rPr>
          <w:rFonts w:ascii="黑体" w:hAnsi="黑体" w:eastAsia="黑体"/>
          <w:sz w:val="32"/>
          <w:szCs w:val="32"/>
          <w:highlight w:val="none"/>
        </w:rPr>
        <w:t>3</w:t>
      </w:r>
      <w:r>
        <w:rPr>
          <w:rFonts w:hint="eastAsia" w:ascii="黑体" w:hAnsi="黑体" w:eastAsia="黑体"/>
          <w:sz w:val="32"/>
          <w:szCs w:val="32"/>
          <w:highlight w:val="none"/>
        </w:rPr>
        <w:t>：</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highlight w:val="none"/>
        </w:rPr>
      </w:pPr>
    </w:p>
    <w:p>
      <w:pPr>
        <w:widowControl/>
        <w:ind w:firstLine="430" w:firstLineChars="100"/>
        <w:jc w:val="center"/>
        <w:rPr>
          <w:rFonts w:ascii="微软雅黑" w:hAnsi="微软雅黑" w:eastAsia="微软雅黑" w:cs="微软雅黑"/>
          <w:color w:val="000000"/>
          <w:kern w:val="0"/>
          <w:sz w:val="43"/>
          <w:szCs w:val="43"/>
          <w:highlight w:val="none"/>
        </w:rPr>
      </w:pPr>
      <w:r>
        <w:rPr>
          <w:rFonts w:ascii="微软雅黑" w:hAnsi="微软雅黑" w:eastAsia="微软雅黑" w:cs="微软雅黑"/>
          <w:color w:val="000000"/>
          <w:kern w:val="0"/>
          <w:sz w:val="43"/>
          <w:szCs w:val="43"/>
          <w:highlight w:val="none"/>
        </w:rPr>
        <w:t>昌吉回族自治州生态环境局</w:t>
      </w:r>
      <w:r>
        <w:rPr>
          <w:rFonts w:hint="eastAsia" w:ascii="微软雅黑" w:hAnsi="微软雅黑" w:eastAsia="微软雅黑" w:cs="微软雅黑"/>
          <w:color w:val="000000"/>
          <w:kern w:val="0"/>
          <w:sz w:val="43"/>
          <w:szCs w:val="43"/>
          <w:highlight w:val="none"/>
        </w:rPr>
        <w:t>呼图壁县分局</w:t>
      </w:r>
    </w:p>
    <w:p>
      <w:pPr>
        <w:widowControl/>
        <w:ind w:firstLine="430" w:firstLineChars="100"/>
        <w:jc w:val="center"/>
        <w:rPr>
          <w:highlight w:val="none"/>
        </w:rPr>
      </w:pPr>
      <w:r>
        <w:rPr>
          <w:rFonts w:hint="eastAsia" w:ascii="微软雅黑" w:hAnsi="微软雅黑" w:eastAsia="微软雅黑" w:cs="微软雅黑"/>
          <w:color w:val="000000"/>
          <w:kern w:val="0"/>
          <w:sz w:val="43"/>
          <w:szCs w:val="43"/>
          <w:highlight w:val="none"/>
        </w:rPr>
        <w:t>2024年预算公开</w:t>
      </w:r>
    </w:p>
    <w:p>
      <w:pPr>
        <w:widowControl/>
        <w:spacing w:line="440" w:lineRule="exact"/>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widowControl/>
        <w:spacing w:line="440" w:lineRule="exact"/>
        <w:jc w:val="center"/>
        <w:outlineLvl w:val="1"/>
        <w:rPr>
          <w:rFonts w:ascii="黑体" w:hAnsi="黑体" w:eastAsia="黑体"/>
          <w:kern w:val="0"/>
          <w:sz w:val="36"/>
          <w:szCs w:val="32"/>
          <w:highlight w:val="none"/>
        </w:rPr>
      </w:pPr>
    </w:p>
    <w:p>
      <w:pPr>
        <w:pStyle w:val="2"/>
        <w:rPr>
          <w:highlight w:val="none"/>
        </w:rPr>
      </w:pPr>
    </w:p>
    <w:p>
      <w:pPr>
        <w:widowControl/>
        <w:spacing w:line="440" w:lineRule="exact"/>
        <w:outlineLvl w:val="1"/>
        <w:rPr>
          <w:rFonts w:ascii="黑体" w:hAnsi="黑体" w:eastAsia="黑体"/>
          <w:kern w:val="0"/>
          <w:sz w:val="36"/>
          <w:szCs w:val="32"/>
          <w:highlight w:val="none"/>
        </w:rPr>
      </w:pPr>
    </w:p>
    <w:p>
      <w:pPr>
        <w:widowControl/>
        <w:spacing w:line="440" w:lineRule="exact"/>
        <w:outlineLvl w:val="1"/>
        <w:rPr>
          <w:rFonts w:ascii="黑体" w:hAnsi="黑体" w:eastAsia="黑体"/>
          <w:kern w:val="0"/>
          <w:sz w:val="36"/>
          <w:szCs w:val="32"/>
          <w:highlight w:val="none"/>
        </w:rPr>
      </w:pPr>
    </w:p>
    <w:p>
      <w:pPr>
        <w:spacing w:line="600" w:lineRule="exact"/>
        <w:jc w:val="center"/>
        <w:rPr>
          <w:rFonts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pPr>
        <w:spacing w:line="600" w:lineRule="exact"/>
        <w:ind w:firstLine="643" w:firstLineChars="200"/>
        <w:rPr>
          <w:rFonts w:ascii="仿宋_GB2312" w:hAnsi="仿宋_GB2312" w:eastAsia="仿宋_GB2312" w:cs="仿宋_GB2312"/>
          <w:b/>
          <w:kern w:val="0"/>
          <w:sz w:val="32"/>
          <w:szCs w:val="32"/>
          <w:highlight w:val="none"/>
        </w:rPr>
      </w:pPr>
    </w:p>
    <w:p>
      <w:pPr>
        <w:spacing w:line="600" w:lineRule="exact"/>
        <w:ind w:left="2026" w:leftChars="200" w:hanging="1606" w:hangingChars="5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第一部分  2024年昌吉回族自治州生态环境局呼图壁县分局概况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一、主要职能</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二、机构设置及人员情况</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第二部分  2024年单位预算公开表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一、单位收支总体情况表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二、单位收入总体情况表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三、单位支出总体情况表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七、一般公共预算</w:t>
      </w:r>
      <w:r>
        <w:rPr>
          <w:rFonts w:hint="eastAsia" w:ascii="仿宋_GB2312" w:hAnsi="仿宋_GB2312" w:eastAsia="仿宋_GB2312" w:cs="仿宋_GB2312"/>
          <w:bCs/>
          <w:kern w:val="0"/>
          <w:sz w:val="32"/>
          <w:szCs w:val="32"/>
          <w:highlight w:val="none"/>
        </w:rPr>
        <w:t>项目支出情况表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八、政府性基金预算支出情况表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九、国有资本经营预算支出情况表</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十、财政拨款“三公”经费支出情况表</w:t>
      </w:r>
    </w:p>
    <w:p>
      <w:pPr>
        <w:spacing w:line="600" w:lineRule="exact"/>
        <w:ind w:firstLine="640" w:firstLineChars="200"/>
        <w:rPr>
          <w:highlight w:val="none"/>
        </w:rPr>
      </w:pPr>
      <w:r>
        <w:rPr>
          <w:rFonts w:hint="eastAsia" w:ascii="仿宋_GB2312" w:hAnsi="仿宋_GB2312" w:eastAsia="仿宋_GB2312" w:cs="仿宋_GB2312"/>
          <w:kern w:val="0"/>
          <w:sz w:val="32"/>
          <w:szCs w:val="32"/>
          <w:highlight w:val="none"/>
        </w:rPr>
        <w:t>十一、上年结转结余情况明细表</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第三部分  2024年单位预算情况说明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一、关于昌吉回族自治州生态环境局呼图壁县分局2024年收支预算情况的总体说明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二、关于昌吉回族自治州生态环境局呼图壁县分局2024年收入预算情况说明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三、关于昌吉回族自治州生态环境局呼图壁县分局2024年支出预算情况说明</w:t>
      </w:r>
    </w:p>
    <w:p>
      <w:pPr>
        <w:spacing w:line="600" w:lineRule="exact"/>
        <w:ind w:firstLine="640" w:firstLineChars="20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四、关于</w:t>
      </w:r>
      <w:r>
        <w:rPr>
          <w:rFonts w:hint="eastAsia" w:ascii="仿宋_GB2312" w:hAnsi="仿宋_GB2312" w:eastAsia="仿宋_GB2312" w:cs="仿宋_GB2312"/>
          <w:kern w:val="0"/>
          <w:sz w:val="32"/>
          <w:szCs w:val="32"/>
          <w:highlight w:val="none"/>
        </w:rPr>
        <w:t>昌吉回族自治州生态环境局呼图壁县分局2024</w:t>
      </w:r>
      <w:r>
        <w:rPr>
          <w:rFonts w:hint="eastAsia" w:ascii="仿宋_GB2312" w:hAnsi="仿宋_GB2312" w:eastAsia="仿宋_GB2312" w:cs="仿宋_GB2312"/>
          <w:bCs/>
          <w:kern w:val="0"/>
          <w:sz w:val="32"/>
          <w:szCs w:val="32"/>
          <w:highlight w:val="none"/>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五、</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昌吉回族自治州生态环境局呼图壁县分局2024</w:t>
      </w:r>
      <w:r>
        <w:rPr>
          <w:rFonts w:hint="eastAsia" w:ascii="仿宋_GB2312" w:hAnsi="仿宋_GB2312" w:eastAsia="仿宋_GB2312" w:cs="仿宋_GB2312"/>
          <w:spacing w:val="-6"/>
          <w:kern w:val="0"/>
          <w:sz w:val="32"/>
          <w:szCs w:val="32"/>
          <w:highlight w:val="none"/>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六、</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昌吉回族自治州生态环境局呼图壁县分局2024</w:t>
      </w:r>
      <w:r>
        <w:rPr>
          <w:rFonts w:hint="eastAsia" w:ascii="仿宋_GB2312" w:hAnsi="仿宋_GB2312" w:eastAsia="仿宋_GB2312" w:cs="仿宋_GB2312"/>
          <w:spacing w:val="-6"/>
          <w:kern w:val="0"/>
          <w:sz w:val="32"/>
          <w:szCs w:val="32"/>
          <w:highlight w:val="none"/>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kern w:val="0"/>
          <w:sz w:val="32"/>
          <w:szCs w:val="32"/>
          <w:highlight w:val="none"/>
        </w:rPr>
        <w:t>七、</w:t>
      </w:r>
      <w:r>
        <w:rPr>
          <w:rFonts w:hint="eastAsia" w:ascii="仿宋_GB2312" w:hAnsi="仿宋_GB2312" w:eastAsia="仿宋_GB2312" w:cs="仿宋_GB2312"/>
          <w:spacing w:val="-6"/>
          <w:kern w:val="0"/>
          <w:sz w:val="32"/>
          <w:szCs w:val="32"/>
          <w:highlight w:val="none"/>
        </w:rPr>
        <w:t>关于</w:t>
      </w:r>
      <w:r>
        <w:rPr>
          <w:rFonts w:hint="eastAsia" w:ascii="仿宋_GB2312" w:hAnsi="仿宋_GB2312" w:eastAsia="仿宋_GB2312" w:cs="仿宋_GB2312"/>
          <w:kern w:val="0"/>
          <w:sz w:val="32"/>
          <w:szCs w:val="32"/>
          <w:highlight w:val="none"/>
        </w:rPr>
        <w:t>昌吉回族自治州生态环境局呼图壁县分局2024</w:t>
      </w:r>
      <w:r>
        <w:rPr>
          <w:rFonts w:hint="eastAsia" w:ascii="仿宋_GB2312" w:hAnsi="仿宋_GB2312" w:eastAsia="仿宋_GB2312" w:cs="仿宋_GB2312"/>
          <w:spacing w:val="-6"/>
          <w:kern w:val="0"/>
          <w:sz w:val="32"/>
          <w:szCs w:val="32"/>
          <w:highlight w:val="none"/>
        </w:rPr>
        <w:t>年一般公共预算项目支出情况说明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八、关于昌吉回族自治州生态环境局呼图壁县分局2024年政府性基金预算拨款情况说明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九、关于昌吉回族自治州生态环境局呼图壁县分局2024年国有资本经营预算拨款情况说明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十、关于昌吉回族自治州生态环境局呼图壁县分局2024年财政拨款“三公”经费预算情况说明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十一、关于昌吉回族自治州生态环境局呼图壁县分局2024年上年结转结余预算情况说明</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十二、其他重要事项的情况说明</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第四部分名词解释</w:t>
      </w:r>
    </w:p>
    <w:p>
      <w:pPr>
        <w:spacing w:line="600" w:lineRule="exact"/>
        <w:ind w:firstLine="640" w:firstLineChars="200"/>
        <w:rPr>
          <w:rFonts w:ascii="仿宋_GB2312" w:hAnsi="仿宋_GB2312" w:eastAsia="仿宋_GB2312" w:cs="仿宋_GB2312"/>
          <w:kern w:val="0"/>
          <w:sz w:val="32"/>
          <w:szCs w:val="32"/>
          <w:highlight w:val="none"/>
        </w:rPr>
        <w:sectPr>
          <w:footerReference r:id="rId3" w:type="default"/>
          <w:pgSz w:w="11906" w:h="16838"/>
          <w:pgMar w:top="1814" w:right="1247" w:bottom="1928" w:left="1417"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第一部分   昌吉回族自治州生态环境局呼图壁县分局概况</w:t>
      </w:r>
    </w:p>
    <w:p>
      <w:pPr>
        <w:widowControl/>
        <w:spacing w:line="540" w:lineRule="exact"/>
        <w:jc w:val="center"/>
        <w:outlineLvl w:val="1"/>
        <w:rPr>
          <w:rFonts w:ascii="宋体" w:hAnsi="宋体"/>
          <w:b/>
          <w:kern w:val="0"/>
          <w:sz w:val="32"/>
          <w:szCs w:val="32"/>
          <w:highlight w:val="none"/>
        </w:rPr>
      </w:pP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一、主要职能</w:t>
      </w:r>
    </w:p>
    <w:p>
      <w:pPr>
        <w:widowControl/>
        <w:spacing w:line="540" w:lineRule="exact"/>
        <w:ind w:firstLine="640" w:firstLineChars="200"/>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昌吉回族自治州生态环境局呼图壁县分局是主管国家环境</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保护基本制度；负责重大环境问题的统筹协调和监督管理；承担</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落实自治州和县减排目标的责任；承担从源头上预防、控制环境</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污染和环境破坏的责任；负责环境污染防治的监督管理；指导、</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协调、监督生态保护工作；负责核安全和辐射安全的监督管理；</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负责环境监测和信息发布；开展环境保护科技工作；组织、指导</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和协调环境保护宣传教育工作；指导县环境保护队伍建设；规划</w:t>
      </w:r>
    </w:p>
    <w:p>
      <w:pPr>
        <w:widowControl/>
        <w:spacing w:line="540" w:lineRule="exact"/>
        <w:jc w:val="left"/>
        <w:rPr>
          <w:rFonts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和组织全县环保系统在职人员岗位培训；承担县人民政府交办的</w:t>
      </w:r>
    </w:p>
    <w:p>
      <w:pPr>
        <w:widowControl/>
        <w:spacing w:line="540" w:lineRule="exact"/>
        <w:jc w:val="left"/>
        <w:rPr>
          <w:rFonts w:ascii="仿宋_GB2312" w:hAnsi="宋体" w:eastAsia="仿宋" w:cs="宋体"/>
          <w:bCs/>
          <w:kern w:val="0"/>
          <w:sz w:val="32"/>
          <w:szCs w:val="32"/>
          <w:highlight w:val="none"/>
        </w:rPr>
      </w:pPr>
      <w:r>
        <w:rPr>
          <w:rFonts w:hint="eastAsia" w:ascii="仿宋_GB2312" w:hAnsi="黑体" w:eastAsia="仿宋_GB2312" w:cs="宋体"/>
          <w:bCs/>
          <w:kern w:val="0"/>
          <w:sz w:val="32"/>
          <w:szCs w:val="32"/>
          <w:highlight w:val="none"/>
        </w:rPr>
        <w:t>其他事项</w:t>
      </w:r>
      <w:r>
        <w:rPr>
          <w:rFonts w:hint="eastAsia" w:ascii="仿宋" w:hAnsi="仿宋" w:eastAsia="仿宋" w:cs="仿宋"/>
          <w:color w:val="000000"/>
          <w:kern w:val="0"/>
          <w:sz w:val="31"/>
          <w:szCs w:val="31"/>
          <w:highlight w:val="none"/>
        </w:rPr>
        <w:t>。</w:t>
      </w:r>
    </w:p>
    <w:p>
      <w:pPr>
        <w:widowControl/>
        <w:spacing w:line="540" w:lineRule="exact"/>
        <w:ind w:firstLine="643" w:firstLineChars="200"/>
        <w:jc w:val="left"/>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昌吉回族自治州生态环境局呼图壁县分局无下属预算单位，</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下设5个处室，分别是：呼图壁县环境监察大队、大气环境办公室、水与土壤生态环境办公室、行政办、财务室。</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昌吉回族自治州生态环境局呼图壁县分局编制数12，实有人数</w:t>
      </w:r>
      <w:r>
        <w:rPr>
          <w:rFonts w:hint="eastAsia" w:ascii="仿宋_GB2312" w:hAnsi="宋体" w:eastAsia="仿宋_GB2312" w:cs="宋体"/>
          <w:kern w:val="0"/>
          <w:sz w:val="32"/>
          <w:szCs w:val="32"/>
          <w:highlight w:val="none"/>
          <w:lang w:val="en-US" w:eastAsia="zh-CN"/>
        </w:rPr>
        <w:t>14</w:t>
      </w:r>
      <w:r>
        <w:rPr>
          <w:rFonts w:hint="eastAsia" w:ascii="仿宋_GB2312" w:hAnsi="宋体" w:eastAsia="仿宋_GB2312" w:cs="宋体"/>
          <w:kern w:val="0"/>
          <w:sz w:val="32"/>
          <w:szCs w:val="32"/>
          <w:highlight w:val="none"/>
        </w:rPr>
        <w:t>人，其中：在职9人，增加1人；退休5人，增加0人；离休0人，增加0人。</w:t>
      </w:r>
    </w:p>
    <w:p>
      <w:pPr>
        <w:widowControl/>
        <w:spacing w:line="540" w:lineRule="exact"/>
        <w:ind w:firstLine="640"/>
        <w:jc w:val="left"/>
        <w:rPr>
          <w:rFonts w:ascii="仿宋_GB2312" w:hAnsi="宋体" w:eastAsia="仿宋_GB2312" w:cs="宋体"/>
          <w:kern w:val="0"/>
          <w:sz w:val="32"/>
          <w:szCs w:val="32"/>
          <w:highlight w:val="none"/>
        </w:rPr>
      </w:pPr>
    </w:p>
    <w:p>
      <w:pPr>
        <w:pStyle w:val="2"/>
        <w:ind w:firstLine="640"/>
        <w:rPr>
          <w:rFonts w:ascii="仿宋_GB2312" w:hAnsi="宋体" w:eastAsia="仿宋_GB2312" w:cs="宋体"/>
          <w:kern w:val="0"/>
          <w:sz w:val="32"/>
          <w:szCs w:val="32"/>
          <w:highlight w:val="none"/>
        </w:rPr>
      </w:pPr>
    </w:p>
    <w:p>
      <w:pPr>
        <w:pStyle w:val="2"/>
        <w:ind w:firstLine="640"/>
        <w:rPr>
          <w:rFonts w:ascii="仿宋_GB2312" w:hAnsi="宋体" w:eastAsia="仿宋_GB2312" w:cs="宋体"/>
          <w:kern w:val="0"/>
          <w:sz w:val="32"/>
          <w:szCs w:val="32"/>
          <w:highlight w:val="none"/>
        </w:rPr>
      </w:pPr>
    </w:p>
    <w:p>
      <w:pPr>
        <w:pStyle w:val="2"/>
        <w:ind w:firstLine="640"/>
        <w:rPr>
          <w:rFonts w:ascii="仿宋_GB2312" w:hAnsi="宋体" w:eastAsia="仿宋_GB2312" w:cs="宋体"/>
          <w:kern w:val="0"/>
          <w:sz w:val="32"/>
          <w:szCs w:val="32"/>
          <w:highlight w:val="none"/>
        </w:rPr>
      </w:pPr>
    </w:p>
    <w:p>
      <w:pPr>
        <w:pStyle w:val="2"/>
        <w:ind w:firstLine="640"/>
        <w:rPr>
          <w:rFonts w:ascii="仿宋_GB2312" w:hAnsi="宋体" w:eastAsia="仿宋_GB2312" w:cs="宋体"/>
          <w:kern w:val="0"/>
          <w:sz w:val="32"/>
          <w:szCs w:val="32"/>
          <w:highlight w:val="none"/>
        </w:rPr>
      </w:pPr>
    </w:p>
    <w:p>
      <w:pPr>
        <w:pStyle w:val="2"/>
        <w:ind w:firstLine="640"/>
        <w:rPr>
          <w:rFonts w:ascii="仿宋_GB2312" w:hAnsi="宋体" w:eastAsia="仿宋_GB2312" w:cs="宋体"/>
          <w:kern w:val="0"/>
          <w:sz w:val="32"/>
          <w:szCs w:val="32"/>
          <w:highlight w:val="none"/>
        </w:rPr>
      </w:pPr>
    </w:p>
    <w:p>
      <w:pPr>
        <w:widowControl/>
        <w:spacing w:line="440" w:lineRule="exact"/>
        <w:jc w:val="center"/>
        <w:outlineLvl w:val="1"/>
        <w:rPr>
          <w:rFonts w:ascii="黑体" w:hAnsi="黑体" w:eastAsia="黑体"/>
          <w:kern w:val="0"/>
          <w:sz w:val="32"/>
          <w:szCs w:val="32"/>
          <w:highlight w:val="none"/>
        </w:rPr>
      </w:pPr>
      <w:r>
        <w:rPr>
          <w:rFonts w:hint="eastAsia" w:ascii="黑体" w:hAnsi="黑体" w:eastAsia="黑体"/>
          <w:kern w:val="0"/>
          <w:sz w:val="32"/>
          <w:szCs w:val="32"/>
          <w:highlight w:val="none"/>
        </w:rPr>
        <w:t>第二部分  2024年单位预算公开表</w:t>
      </w:r>
    </w:p>
    <w:p>
      <w:pPr>
        <w:widowControl/>
        <w:spacing w:line="240" w:lineRule="exact"/>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表1</w:t>
      </w:r>
    </w:p>
    <w:p>
      <w:pPr>
        <w:widowControl/>
        <w:spacing w:line="360" w:lineRule="exact"/>
        <w:jc w:val="center"/>
        <w:outlineLvl w:val="1"/>
        <w:rPr>
          <w:rFonts w:ascii="黑体" w:hAnsi="黑体" w:eastAsia="黑体"/>
          <w:kern w:val="0"/>
          <w:sz w:val="32"/>
          <w:szCs w:val="32"/>
          <w:highlight w:val="none"/>
        </w:rPr>
      </w:pPr>
      <w:r>
        <w:rPr>
          <w:rFonts w:hint="eastAsia" w:ascii="仿宋_GB2312" w:hAnsi="宋体" w:eastAsia="仿宋_GB2312"/>
          <w:b/>
          <w:kern w:val="0"/>
          <w:sz w:val="32"/>
          <w:szCs w:val="32"/>
          <w:highlight w:val="none"/>
        </w:rPr>
        <w:t>单位收支总体情况表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编制部门：昌吉回族自治州生态环境局呼图壁县分局       单位：万元</w:t>
      </w:r>
    </w:p>
    <w:tbl>
      <w:tblPr>
        <w:tblStyle w:val="7"/>
        <w:tblW w:w="8662" w:type="dxa"/>
        <w:tblInd w:w="93" w:type="dxa"/>
        <w:tblLayout w:type="fixed"/>
        <w:tblCellMar>
          <w:top w:w="0" w:type="dxa"/>
          <w:left w:w="108" w:type="dxa"/>
          <w:bottom w:w="0" w:type="dxa"/>
          <w:right w:w="108" w:type="dxa"/>
        </w:tblCellMar>
      </w:tblPr>
      <w:tblGrid>
        <w:gridCol w:w="3082"/>
        <w:gridCol w:w="1276"/>
        <w:gridCol w:w="2617"/>
        <w:gridCol w:w="1687"/>
      </w:tblGrid>
      <w:tr>
        <w:tblPrEx>
          <w:tblCellMar>
            <w:top w:w="0" w:type="dxa"/>
            <w:left w:w="108" w:type="dxa"/>
            <w:bottom w:w="0" w:type="dxa"/>
            <w:right w:w="108" w:type="dxa"/>
          </w:tblCellMar>
        </w:tblPrEx>
        <w:trPr>
          <w:trHeight w:val="360" w:hRule="atLeast"/>
        </w:trPr>
        <w:tc>
          <w:tcPr>
            <w:tcW w:w="435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30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r>
              <w:rPr>
                <w:rFonts w:hint="eastAsia" w:ascii="仿宋_GB2312" w:hAnsi="宋体" w:eastAsia="仿宋_GB2312" w:cs="宋体"/>
                <w:b/>
                <w:kern w:val="0"/>
                <w:sz w:val="20"/>
                <w:szCs w:val="20"/>
                <w:highlight w:val="none"/>
              </w:rPr>
              <w:t>项目</w:t>
            </w:r>
          </w:p>
        </w:tc>
        <w:tc>
          <w:tcPr>
            <w:tcW w:w="127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一、本年收入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224.16</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201一般公共服务支出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1.一般公共预算拨款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152.97</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202外交支出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152.97</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203国防支出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75"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ascii="仿宋_GB2312" w:hAnsi="宋体" w:eastAsia="仿宋_GB2312" w:cs="宋体"/>
                <w:kern w:val="0"/>
                <w:sz w:val="18"/>
                <w:szCs w:val="18"/>
                <w:highlight w:val="none"/>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204公共安全支出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2.基金预算拨款</w:t>
            </w:r>
            <w:r>
              <w:rPr>
                <w:rFonts w:hint="eastAsia" w:ascii="仿宋_GB2312" w:hAnsi="宋体" w:eastAsia="仿宋_GB2312" w:cs="宋体"/>
                <w:kern w:val="0"/>
                <w:sz w:val="18"/>
                <w:szCs w:val="18"/>
                <w:highlight w:val="none"/>
              </w:rPr>
              <w:tab/>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ascii="仿宋_GB2312" w:hAnsi="宋体" w:eastAsia="仿宋_GB2312" w:cs="宋体"/>
                <w:kern w:val="0"/>
                <w:sz w:val="18"/>
                <w:szCs w:val="18"/>
                <w:highlight w:val="none"/>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205教育支出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ascii="仿宋_GB2312" w:hAnsi="宋体" w:eastAsia="仿宋_GB2312" w:cs="宋体"/>
                <w:kern w:val="0"/>
                <w:sz w:val="18"/>
                <w:szCs w:val="18"/>
                <w:highlight w:val="none"/>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206科学技术支出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ascii="仿宋_GB2312" w:hAnsi="宋体" w:eastAsia="仿宋_GB2312" w:cs="宋体"/>
                <w:kern w:val="0"/>
                <w:sz w:val="18"/>
                <w:szCs w:val="18"/>
                <w:highlight w:val="none"/>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207文化旅游体育与传媒支出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3.国有资本经营预算拨款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ascii="仿宋_GB2312" w:hAnsi="宋体" w:eastAsia="仿宋_GB2312" w:cs="宋体"/>
                <w:kern w:val="0"/>
                <w:sz w:val="18"/>
                <w:szCs w:val="18"/>
                <w:highlight w:val="none"/>
              </w:rPr>
              <w:t>0</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208社会保障和就业支出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43.23</w:t>
            </w:r>
          </w:p>
        </w:tc>
      </w:tr>
      <w:tr>
        <w:tblPrEx>
          <w:tblCellMar>
            <w:top w:w="0" w:type="dxa"/>
            <w:left w:w="108" w:type="dxa"/>
            <w:bottom w:w="0" w:type="dxa"/>
            <w:right w:w="108" w:type="dxa"/>
          </w:tblCellMar>
        </w:tblPrEx>
        <w:trPr>
          <w:trHeight w:val="315"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209社会保险基金支出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4"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20.04</w:t>
            </w: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4.财政专户核拨</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211节能环保支出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138.05</w:t>
            </w: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5.单位资金</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71.19</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212城乡社区支出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其中：事业收入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213农林水支出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上级补助收入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214交通运输支出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215资源勘探工业信息等支出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216商业服务业等支出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其他收入</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71.19</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217金融支出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二、上年结转结余</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219援助其他地区支出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1.财政拨款结转</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220自然资源海洋气象等支出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221住房保障支出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22.84</w:t>
            </w: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基金预算拨款</w:t>
            </w:r>
          </w:p>
        </w:tc>
        <w:tc>
          <w:tcPr>
            <w:tcW w:w="1276" w:type="dxa"/>
            <w:tcBorders>
              <w:top w:val="nil"/>
              <w:left w:val="nil"/>
              <w:bottom w:val="single" w:color="auto" w:sz="4" w:space="0"/>
              <w:right w:val="single" w:color="auto" w:sz="4" w:space="0"/>
            </w:tcBorders>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222粮油物资储备支出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223国有资本经营预算支出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2.非财政拨款结转结余</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227预备费</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kern w:val="0"/>
                <w:sz w:val="18"/>
                <w:szCs w:val="18"/>
                <w:highlight w:val="none"/>
              </w:rPr>
              <w:t>单位资金</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229其他支出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highlight w:val="none"/>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231债务还本支出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232债务付息支出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127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261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233债务发行费用支出</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highlight w:val="none"/>
              </w:rPr>
            </w:pP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261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234抗疫特别国债安排的支出</w:t>
            </w:r>
          </w:p>
        </w:tc>
        <w:tc>
          <w:tcPr>
            <w:tcW w:w="16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r>
      <w:tr>
        <w:tblPrEx>
          <w:tblCellMar>
            <w:top w:w="0" w:type="dxa"/>
            <w:left w:w="108" w:type="dxa"/>
            <w:bottom w:w="0" w:type="dxa"/>
            <w:right w:w="108" w:type="dxa"/>
          </w:tblCellMar>
        </w:tblPrEx>
        <w:trPr>
          <w:trHeight w:val="312" w:hRule="exact"/>
        </w:trPr>
        <w:tc>
          <w:tcPr>
            <w:tcW w:w="3082"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highlight w:val="none"/>
              </w:rPr>
            </w:pP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0"/>
                <w:szCs w:val="20"/>
                <w:highlight w:val="none"/>
              </w:rPr>
            </w:pPr>
          </w:p>
        </w:tc>
        <w:tc>
          <w:tcPr>
            <w:tcW w:w="2617"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highlight w:val="none"/>
              </w:rPr>
            </w:pPr>
          </w:p>
        </w:tc>
        <w:tc>
          <w:tcPr>
            <w:tcW w:w="168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0"/>
                <w:szCs w:val="20"/>
                <w:highlight w:val="none"/>
              </w:rPr>
            </w:pPr>
          </w:p>
        </w:tc>
      </w:tr>
      <w:tr>
        <w:tblPrEx>
          <w:tblCellMar>
            <w:top w:w="0" w:type="dxa"/>
            <w:left w:w="108" w:type="dxa"/>
            <w:bottom w:w="0" w:type="dxa"/>
            <w:right w:w="108" w:type="dxa"/>
          </w:tblCellMar>
        </w:tblPrEx>
        <w:trPr>
          <w:trHeight w:val="365" w:hRule="atLeast"/>
        </w:trPr>
        <w:tc>
          <w:tcPr>
            <w:tcW w:w="3082"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收入总计</w:t>
            </w:r>
          </w:p>
        </w:tc>
        <w:tc>
          <w:tcPr>
            <w:tcW w:w="12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224.16</w:t>
            </w:r>
          </w:p>
        </w:tc>
        <w:tc>
          <w:tcPr>
            <w:tcW w:w="2617"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支出总计</w:t>
            </w:r>
          </w:p>
        </w:tc>
        <w:tc>
          <w:tcPr>
            <w:tcW w:w="168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224.16</w:t>
            </w:r>
          </w:p>
        </w:tc>
      </w:tr>
    </w:tbl>
    <w:p>
      <w:pPr>
        <w:widowControl/>
        <w:jc w:val="left"/>
        <w:textAlignment w:val="bottom"/>
        <w:rPr>
          <w:rFonts w:ascii="宋体" w:hAnsi="宋体" w:cs="宋体"/>
          <w:color w:val="000000"/>
          <w:kern w:val="0"/>
          <w:sz w:val="20"/>
          <w:szCs w:val="20"/>
          <w:highlight w:val="none"/>
        </w:rPr>
      </w:pPr>
    </w:p>
    <w:p>
      <w:pPr>
        <w:pStyle w:val="2"/>
        <w:rPr>
          <w:highlight w:val="none"/>
        </w:rPr>
      </w:pPr>
    </w:p>
    <w:p>
      <w:pPr>
        <w:widowControl/>
        <w:jc w:val="left"/>
        <w:textAlignment w:val="bottom"/>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表2</w:t>
      </w:r>
    </w:p>
    <w:p>
      <w:pPr>
        <w:widowControl/>
        <w:spacing w:line="440" w:lineRule="exact"/>
        <w:jc w:val="center"/>
        <w:outlineLvl w:val="1"/>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单位收入总体情况表</w:t>
      </w:r>
    </w:p>
    <w:p>
      <w:pPr>
        <w:widowControl/>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编制部门：昌吉回族自治州生态环境局呼图壁县分局          单位：万元</w:t>
      </w:r>
    </w:p>
    <w:tbl>
      <w:tblPr>
        <w:tblStyle w:val="7"/>
        <w:tblW w:w="11070" w:type="dxa"/>
        <w:tblInd w:w="-840" w:type="dxa"/>
        <w:tblLayout w:type="fixed"/>
        <w:tblCellMar>
          <w:top w:w="0" w:type="dxa"/>
          <w:left w:w="108" w:type="dxa"/>
          <w:bottom w:w="0" w:type="dxa"/>
          <w:right w:w="108" w:type="dxa"/>
        </w:tblCellMar>
      </w:tblPr>
      <w:tblGrid>
        <w:gridCol w:w="630"/>
        <w:gridCol w:w="495"/>
        <w:gridCol w:w="480"/>
        <w:gridCol w:w="1605"/>
        <w:gridCol w:w="915"/>
        <w:gridCol w:w="942"/>
        <w:gridCol w:w="873"/>
        <w:gridCol w:w="645"/>
        <w:gridCol w:w="435"/>
        <w:gridCol w:w="645"/>
        <w:gridCol w:w="495"/>
        <w:gridCol w:w="750"/>
        <w:gridCol w:w="390"/>
        <w:gridCol w:w="750"/>
        <w:gridCol w:w="435"/>
        <w:gridCol w:w="585"/>
      </w:tblGrid>
      <w:tr>
        <w:tblPrEx>
          <w:tblCellMar>
            <w:top w:w="0" w:type="dxa"/>
            <w:left w:w="108" w:type="dxa"/>
            <w:bottom w:w="0" w:type="dxa"/>
            <w:right w:w="108" w:type="dxa"/>
          </w:tblCellMar>
        </w:tblPrEx>
        <w:trPr>
          <w:trHeight w:val="518" w:hRule="atLeast"/>
        </w:trPr>
        <w:tc>
          <w:tcPr>
            <w:tcW w:w="16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6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91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478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sz w:val="24"/>
                <w:highlight w:val="none"/>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w:t>
            </w:r>
            <w:r>
              <w:rPr>
                <w:rFonts w:hint="eastAsia" w:ascii="仿宋_GB2312" w:eastAsia="仿宋_GB2312"/>
                <w:b/>
                <w:sz w:val="20"/>
                <w:szCs w:val="20"/>
                <w:highlight w:val="none"/>
              </w:rPr>
              <w:t>专户（教育收费）</w:t>
            </w:r>
          </w:p>
        </w:tc>
        <w:tc>
          <w:tcPr>
            <w:tcW w:w="7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5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CellMar>
            <w:top w:w="0" w:type="dxa"/>
            <w:left w:w="108" w:type="dxa"/>
            <w:bottom w:w="0" w:type="dxa"/>
            <w:right w:w="108" w:type="dxa"/>
          </w:tblCellMar>
        </w:tblPrEx>
        <w:trPr>
          <w:trHeight w:val="2226" w:hRule="atLeast"/>
        </w:trPr>
        <w:tc>
          <w:tcPr>
            <w:tcW w:w="630" w:type="dxa"/>
            <w:tcBorders>
              <w:left w:val="single" w:color="auto" w:sz="4" w:space="0"/>
              <w:bottom w:val="single" w:color="auto" w:sz="4" w:space="0"/>
              <w:right w:val="single" w:color="auto" w:sz="4" w:space="0"/>
            </w:tcBorders>
            <w:vAlign w:val="center"/>
          </w:tcPr>
          <w:p>
            <w:pPr>
              <w:jc w:val="right"/>
              <w:rPr>
                <w:rFonts w:ascii="仿宋_GB2312" w:eastAsia="仿宋_GB2312"/>
                <w:b/>
                <w:color w:val="000000"/>
                <w:sz w:val="20"/>
                <w:szCs w:val="20"/>
                <w:highlight w:val="none"/>
              </w:rPr>
            </w:pPr>
            <w:r>
              <w:rPr>
                <w:rFonts w:hint="eastAsia" w:ascii="仿宋_GB2312" w:eastAsia="仿宋_GB2312"/>
                <w:b/>
                <w:color w:val="000000"/>
                <w:sz w:val="20"/>
                <w:szCs w:val="20"/>
                <w:highlight w:val="none"/>
              </w:rPr>
              <w:t>类</w:t>
            </w:r>
          </w:p>
        </w:tc>
        <w:tc>
          <w:tcPr>
            <w:tcW w:w="495" w:type="dxa"/>
            <w:tcBorders>
              <w:left w:val="nil"/>
              <w:bottom w:val="single" w:color="auto" w:sz="4" w:space="0"/>
              <w:right w:val="single" w:color="auto" w:sz="4" w:space="0"/>
            </w:tcBorders>
            <w:vAlign w:val="center"/>
          </w:tcPr>
          <w:p>
            <w:pPr>
              <w:jc w:val="right"/>
              <w:rPr>
                <w:rFonts w:ascii="仿宋_GB2312" w:eastAsia="仿宋_GB2312"/>
                <w:b/>
                <w:color w:val="000000"/>
                <w:sz w:val="20"/>
                <w:szCs w:val="20"/>
                <w:highlight w:val="none"/>
              </w:rPr>
            </w:pPr>
            <w:r>
              <w:rPr>
                <w:rFonts w:hint="eastAsia" w:ascii="仿宋_GB2312" w:eastAsia="仿宋_GB2312"/>
                <w:b/>
                <w:color w:val="000000"/>
                <w:sz w:val="20"/>
                <w:szCs w:val="20"/>
                <w:highlight w:val="none"/>
              </w:rPr>
              <w:t>款</w:t>
            </w:r>
          </w:p>
        </w:tc>
        <w:tc>
          <w:tcPr>
            <w:tcW w:w="480" w:type="dxa"/>
            <w:tcBorders>
              <w:left w:val="nil"/>
              <w:bottom w:val="single" w:color="auto" w:sz="4" w:space="0"/>
              <w:right w:val="single" w:color="auto" w:sz="4" w:space="0"/>
            </w:tcBorders>
            <w:vAlign w:val="center"/>
          </w:tcPr>
          <w:p>
            <w:pPr>
              <w:jc w:val="right"/>
              <w:rPr>
                <w:rFonts w:ascii="仿宋_GB2312" w:eastAsia="仿宋_GB2312"/>
                <w:b/>
                <w:color w:val="000000"/>
                <w:sz w:val="20"/>
                <w:szCs w:val="20"/>
                <w:highlight w:val="none"/>
              </w:rPr>
            </w:pPr>
            <w:r>
              <w:rPr>
                <w:rFonts w:hint="eastAsia" w:ascii="仿宋_GB2312" w:eastAsia="仿宋_GB2312"/>
                <w:b/>
                <w:color w:val="000000"/>
                <w:sz w:val="20"/>
                <w:szCs w:val="20"/>
                <w:highlight w:val="none"/>
              </w:rPr>
              <w:t>项</w:t>
            </w:r>
          </w:p>
        </w:tc>
        <w:tc>
          <w:tcPr>
            <w:tcW w:w="160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c>
          <w:tcPr>
            <w:tcW w:w="91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c>
          <w:tcPr>
            <w:tcW w:w="94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87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4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39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c>
          <w:tcPr>
            <w:tcW w:w="7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c>
          <w:tcPr>
            <w:tcW w:w="4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c>
          <w:tcPr>
            <w:tcW w:w="58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highlight w:val="none"/>
              </w:rPr>
            </w:pPr>
          </w:p>
        </w:tc>
      </w:tr>
      <w:tr>
        <w:tblPrEx>
          <w:tblCellMar>
            <w:top w:w="0" w:type="dxa"/>
            <w:left w:w="108" w:type="dxa"/>
            <w:bottom w:w="0" w:type="dxa"/>
            <w:right w:w="108" w:type="dxa"/>
          </w:tblCellMar>
        </w:tblPrEx>
        <w:trPr>
          <w:trHeight w:val="50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社会保障和就业支出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43.23</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19.13</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19.13</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24.10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1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行政事业单位养老支出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43.23</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19.13</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19.13</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24.10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590"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行政单位离退休</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4.51</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4.51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4.51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539"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05</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机关事业单位基本养老保险缴费支出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35.27</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14.62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14.62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20.65</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760"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208</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05</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06</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机关事业单位职业年金缴费支出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3.45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3.45</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3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卫生健康支出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20.04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9.37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9.37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10.67</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0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行政事业单位医疗</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20.04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9.37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9.37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10.67</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6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行政单位医疗</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15.92</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7.31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7.31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8.61</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61"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03</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公务员医疗补助</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3.91</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2.01</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2.01</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1.90</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210</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99</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其他行政事业单位医疗支出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0.22</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0.06</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0.06</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0.16</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节能环保支出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环境保护管理事务</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211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行政运行</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138.05</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112.32</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25.73</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住房保障支出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02</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住房改革支出</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76" w:hRule="atLeast"/>
        </w:trPr>
        <w:tc>
          <w:tcPr>
            <w:tcW w:w="63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221</w:t>
            </w: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02</w:t>
            </w:r>
          </w:p>
        </w:tc>
        <w:tc>
          <w:tcPr>
            <w:tcW w:w="4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01</w:t>
            </w:r>
          </w:p>
        </w:tc>
        <w:tc>
          <w:tcPr>
            <w:tcW w:w="160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住房公积金</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22.84</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12.15</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r>
              <w:rPr>
                <w:rFonts w:hint="eastAsia" w:ascii="仿宋_GB2312" w:eastAsia="仿宋_GB2312"/>
                <w:color w:val="000000"/>
                <w:szCs w:val="21"/>
                <w:highlight w:val="none"/>
              </w:rPr>
              <w:t>10.69</w:t>
            </w:r>
          </w:p>
        </w:tc>
        <w:tc>
          <w:tcPr>
            <w:tcW w:w="43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c>
          <w:tcPr>
            <w:tcW w:w="585" w:type="dxa"/>
            <w:tcBorders>
              <w:top w:val="nil"/>
              <w:left w:val="single" w:color="auto" w:sz="4" w:space="0"/>
              <w:bottom w:val="single" w:color="auto" w:sz="4" w:space="0"/>
              <w:right w:val="single" w:color="auto" w:sz="4" w:space="0"/>
            </w:tcBorders>
            <w:vAlign w:val="center"/>
          </w:tcPr>
          <w:p>
            <w:pPr>
              <w:jc w:val="center"/>
              <w:rPr>
                <w:rFonts w:ascii="仿宋_GB2312" w:eastAsia="仿宋_GB2312"/>
                <w:color w:val="000000"/>
                <w:szCs w:val="21"/>
                <w:highlight w:val="none"/>
              </w:rPr>
            </w:pPr>
          </w:p>
        </w:tc>
      </w:tr>
      <w:tr>
        <w:tblPrEx>
          <w:tblCellMar>
            <w:top w:w="0" w:type="dxa"/>
            <w:left w:w="108" w:type="dxa"/>
            <w:bottom w:w="0" w:type="dxa"/>
            <w:right w:w="108" w:type="dxa"/>
          </w:tblCellMar>
        </w:tblPrEx>
        <w:trPr>
          <w:trHeight w:val="486" w:hRule="atLeast"/>
        </w:trPr>
        <w:tc>
          <w:tcPr>
            <w:tcW w:w="630" w:type="dxa"/>
            <w:tcBorders>
              <w:top w:val="nil"/>
              <w:left w:val="single" w:color="auto" w:sz="4" w:space="0"/>
              <w:bottom w:val="nil"/>
              <w:right w:val="single" w:color="auto" w:sz="4" w:space="0"/>
            </w:tcBorders>
            <w:vAlign w:val="center"/>
          </w:tcPr>
          <w:p>
            <w:pPr>
              <w:jc w:val="right"/>
              <w:rPr>
                <w:rFonts w:ascii="仿宋_GB2312" w:hAnsi="宋体" w:eastAsia="仿宋_GB2312" w:cs="宋体"/>
                <w:color w:val="000000"/>
                <w:szCs w:val="21"/>
                <w:highlight w:val="none"/>
              </w:rPr>
            </w:pPr>
            <w:r>
              <w:rPr>
                <w:rFonts w:hint="eastAsia" w:ascii="仿宋_GB2312" w:eastAsia="仿宋_GB2312"/>
                <w:color w:val="000000"/>
                <w:szCs w:val="21"/>
                <w:highlight w:val="none"/>
              </w:rPr>
              <w:t>　</w:t>
            </w:r>
          </w:p>
        </w:tc>
        <w:tc>
          <w:tcPr>
            <w:tcW w:w="495" w:type="dxa"/>
            <w:tcBorders>
              <w:top w:val="nil"/>
              <w:left w:val="nil"/>
              <w:bottom w:val="nil"/>
              <w:right w:val="single" w:color="auto" w:sz="4" w:space="0"/>
            </w:tcBorders>
            <w:vAlign w:val="center"/>
          </w:tcPr>
          <w:p>
            <w:pPr>
              <w:jc w:val="right"/>
              <w:rPr>
                <w:rFonts w:ascii="仿宋_GB2312" w:hAnsi="宋体" w:eastAsia="仿宋_GB2312" w:cs="宋体"/>
                <w:color w:val="000000"/>
                <w:szCs w:val="21"/>
                <w:highlight w:val="none"/>
              </w:rPr>
            </w:pPr>
            <w:r>
              <w:rPr>
                <w:rFonts w:hint="eastAsia" w:ascii="仿宋_GB2312" w:eastAsia="仿宋_GB2312"/>
                <w:color w:val="000000"/>
                <w:szCs w:val="21"/>
                <w:highlight w:val="none"/>
              </w:rPr>
              <w:t>　</w:t>
            </w:r>
          </w:p>
        </w:tc>
        <w:tc>
          <w:tcPr>
            <w:tcW w:w="480" w:type="dxa"/>
            <w:tcBorders>
              <w:top w:val="nil"/>
              <w:left w:val="nil"/>
              <w:bottom w:val="nil"/>
              <w:right w:val="single" w:color="auto" w:sz="4" w:space="0"/>
            </w:tcBorders>
            <w:vAlign w:val="center"/>
          </w:tcPr>
          <w:p>
            <w:pPr>
              <w:jc w:val="right"/>
              <w:rPr>
                <w:rFonts w:ascii="仿宋_GB2312" w:hAnsi="宋体" w:eastAsia="仿宋_GB2312" w:cs="宋体"/>
                <w:color w:val="000000"/>
                <w:szCs w:val="21"/>
                <w:highlight w:val="none"/>
              </w:rPr>
            </w:pPr>
            <w:r>
              <w:rPr>
                <w:rFonts w:hint="eastAsia" w:ascii="仿宋_GB2312" w:eastAsia="仿宋_GB2312"/>
                <w:color w:val="000000"/>
                <w:szCs w:val="21"/>
                <w:highlight w:val="none"/>
              </w:rPr>
              <w:t>　</w:t>
            </w:r>
          </w:p>
        </w:tc>
        <w:tc>
          <w:tcPr>
            <w:tcW w:w="1605" w:type="dxa"/>
            <w:tcBorders>
              <w:top w:val="nil"/>
              <w:left w:val="nil"/>
              <w:bottom w:val="nil"/>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eastAsia="仿宋_GB2312"/>
                <w:b/>
                <w:bCs/>
                <w:color w:val="000000"/>
                <w:szCs w:val="21"/>
                <w:highlight w:val="none"/>
              </w:rPr>
              <w:t>合计</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224.16</w:t>
            </w:r>
          </w:p>
        </w:tc>
        <w:tc>
          <w:tcPr>
            <w:tcW w:w="94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152.97</w:t>
            </w:r>
          </w:p>
        </w:tc>
        <w:tc>
          <w:tcPr>
            <w:tcW w:w="87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r>
              <w:rPr>
                <w:rFonts w:hint="eastAsia" w:ascii="仿宋_GB2312" w:hAnsi="宋体" w:eastAsia="仿宋_GB2312" w:cs="宋体"/>
                <w:color w:val="000000"/>
                <w:szCs w:val="21"/>
                <w:highlight w:val="none"/>
              </w:rPr>
              <w:t>152.97</w:t>
            </w: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3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6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49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7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Cs w:val="21"/>
                <w:highlight w:val="none"/>
              </w:rPr>
            </w:pPr>
          </w:p>
        </w:tc>
        <w:tc>
          <w:tcPr>
            <w:tcW w:w="390"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Cs w:val="21"/>
                <w:highlight w:val="none"/>
              </w:rPr>
            </w:pPr>
          </w:p>
        </w:tc>
        <w:tc>
          <w:tcPr>
            <w:tcW w:w="750"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Cs w:val="21"/>
                <w:highlight w:val="none"/>
              </w:rPr>
            </w:pPr>
            <w:r>
              <w:rPr>
                <w:rFonts w:hint="eastAsia" w:ascii="仿宋_GB2312" w:eastAsia="仿宋_GB2312"/>
                <w:color w:val="000000"/>
                <w:szCs w:val="21"/>
                <w:highlight w:val="none"/>
              </w:rPr>
              <w:t>71.19</w:t>
            </w:r>
          </w:p>
        </w:tc>
        <w:tc>
          <w:tcPr>
            <w:tcW w:w="435" w:type="dxa"/>
            <w:tcBorders>
              <w:top w:val="nil"/>
              <w:left w:val="single" w:color="auto" w:sz="4" w:space="0"/>
              <w:bottom w:val="nil"/>
              <w:right w:val="single" w:color="auto" w:sz="4" w:space="0"/>
            </w:tcBorders>
            <w:vAlign w:val="center"/>
          </w:tcPr>
          <w:p>
            <w:pPr>
              <w:jc w:val="right"/>
              <w:rPr>
                <w:rFonts w:ascii="仿宋_GB2312" w:eastAsia="仿宋_GB2312"/>
                <w:color w:val="000000"/>
                <w:szCs w:val="21"/>
                <w:highlight w:val="none"/>
              </w:rPr>
            </w:pPr>
          </w:p>
        </w:tc>
        <w:tc>
          <w:tcPr>
            <w:tcW w:w="585" w:type="dxa"/>
            <w:tcBorders>
              <w:top w:val="nil"/>
              <w:left w:val="single" w:color="auto" w:sz="4" w:space="0"/>
              <w:bottom w:val="nil"/>
              <w:right w:val="single" w:color="auto" w:sz="4" w:space="0"/>
            </w:tcBorders>
            <w:vAlign w:val="center"/>
          </w:tcPr>
          <w:p>
            <w:pPr>
              <w:jc w:val="right"/>
              <w:rPr>
                <w:rFonts w:ascii="仿宋_GB2312" w:eastAsia="仿宋_GB2312"/>
                <w:color w:val="000000"/>
                <w:szCs w:val="21"/>
                <w:highlight w:val="none"/>
              </w:rPr>
            </w:pPr>
          </w:p>
        </w:tc>
      </w:tr>
    </w:tbl>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表3</w:t>
      </w:r>
    </w:p>
    <w:p>
      <w:pPr>
        <w:widowControl/>
        <w:spacing w:line="36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单位支出总体情况表</w:t>
      </w:r>
    </w:p>
    <w:p>
      <w:pPr>
        <w:widowControl/>
        <w:spacing w:line="280" w:lineRule="exact"/>
        <w:jc w:val="center"/>
        <w:outlineLvl w:val="1"/>
        <w:rPr>
          <w:rFonts w:ascii="仿宋_GB2312" w:hAnsi="宋体" w:eastAsia="仿宋_GB2312"/>
          <w:b/>
          <w:kern w:val="0"/>
          <w:sz w:val="32"/>
          <w:szCs w:val="32"/>
          <w:highlight w:val="none"/>
        </w:rPr>
      </w:pPr>
    </w:p>
    <w:p>
      <w:pPr>
        <w:widowControl/>
        <w:spacing w:line="280" w:lineRule="exact"/>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 xml:space="preserve">编制部门：昌吉回族自治州生态环境局呼图壁县分局       </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单位：万元</w:t>
      </w:r>
    </w:p>
    <w:tbl>
      <w:tblPr>
        <w:tblStyle w:val="7"/>
        <w:tblW w:w="8835" w:type="dxa"/>
        <w:tblInd w:w="69" w:type="dxa"/>
        <w:tblLayout w:type="fixed"/>
        <w:tblCellMar>
          <w:top w:w="0" w:type="dxa"/>
          <w:left w:w="108" w:type="dxa"/>
          <w:bottom w:w="0" w:type="dxa"/>
          <w:right w:w="108" w:type="dxa"/>
        </w:tblCellMar>
      </w:tblPr>
      <w:tblGrid>
        <w:gridCol w:w="555"/>
        <w:gridCol w:w="534"/>
        <w:gridCol w:w="427"/>
        <w:gridCol w:w="2400"/>
        <w:gridCol w:w="1364"/>
        <w:gridCol w:w="1964"/>
        <w:gridCol w:w="1591"/>
      </w:tblGrid>
      <w:tr>
        <w:tblPrEx>
          <w:tblCellMar>
            <w:top w:w="0" w:type="dxa"/>
            <w:left w:w="108" w:type="dxa"/>
            <w:bottom w:w="0" w:type="dxa"/>
            <w:right w:w="108" w:type="dxa"/>
          </w:tblCellMar>
        </w:tblPrEx>
        <w:trPr>
          <w:trHeight w:val="345" w:hRule="atLeast"/>
        </w:trPr>
        <w:tc>
          <w:tcPr>
            <w:tcW w:w="391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项目</w:t>
            </w:r>
          </w:p>
        </w:tc>
        <w:tc>
          <w:tcPr>
            <w:tcW w:w="4919"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tblPrEx>
          <w:tblCellMar>
            <w:top w:w="0" w:type="dxa"/>
            <w:left w:w="108" w:type="dxa"/>
            <w:bottom w:w="0" w:type="dxa"/>
            <w:right w:w="108" w:type="dxa"/>
          </w:tblCellMar>
        </w:tblPrEx>
        <w:trPr>
          <w:trHeight w:val="480" w:hRule="atLeast"/>
        </w:trPr>
        <w:tc>
          <w:tcPr>
            <w:tcW w:w="151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40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3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96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59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40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3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96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c>
          <w:tcPr>
            <w:tcW w:w="159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社会保障和就业支出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43.23</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43.23</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行政事业单位养老支出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43.23</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43.23</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行政单位离退休</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4.51</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4.51</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05</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机关事业单位基本养老保险缴费支出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35.27</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35.27</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208</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05</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06</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机关事业单位职业年金缴费支出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3.45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3.45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卫生健康支出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20.04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20.04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行政事业单位医疗</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20.04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20.04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行政单位医疗</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15.92</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15.92</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03</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公务员医疗补助</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3.91</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3.91</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210</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99</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其他行政事业单位医疗支出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0.22</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0.22</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节能环保支出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环境保护管理事务</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211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行政运行</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138.05</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住房保障支出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02</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住房改革支出</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221</w:t>
            </w:r>
          </w:p>
        </w:tc>
        <w:tc>
          <w:tcPr>
            <w:tcW w:w="53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02</w:t>
            </w:r>
          </w:p>
        </w:tc>
        <w:tc>
          <w:tcPr>
            <w:tcW w:w="427"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01</w:t>
            </w:r>
          </w:p>
        </w:tc>
        <w:tc>
          <w:tcPr>
            <w:tcW w:w="2400"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住房公积金</w:t>
            </w:r>
          </w:p>
        </w:tc>
        <w:tc>
          <w:tcPr>
            <w:tcW w:w="13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964" w:type="dxa"/>
            <w:tcBorders>
              <w:top w:val="nil"/>
              <w:left w:val="nil"/>
              <w:bottom w:val="single" w:color="auto" w:sz="4" w:space="0"/>
              <w:right w:val="single" w:color="auto" w:sz="4" w:space="0"/>
            </w:tcBorders>
            <w:vAlign w:val="center"/>
          </w:tcPr>
          <w:p>
            <w:pPr>
              <w:jc w:val="center"/>
              <w:rPr>
                <w:rFonts w:ascii="宋体" w:hAnsi="宋体" w:cs="宋体"/>
                <w:color w:val="000000"/>
                <w:kern w:val="0"/>
                <w:sz w:val="20"/>
                <w:szCs w:val="20"/>
                <w:highlight w:val="none"/>
              </w:rPr>
            </w:pPr>
            <w:r>
              <w:rPr>
                <w:rFonts w:hint="eastAsia" w:ascii="仿宋_GB2312" w:hAnsi="宋体" w:eastAsia="仿宋_GB2312" w:cs="宋体"/>
                <w:color w:val="000000"/>
                <w:szCs w:val="21"/>
                <w:highlight w:val="none"/>
              </w:rPr>
              <w:t>22.84</w:t>
            </w:r>
          </w:p>
        </w:tc>
        <w:tc>
          <w:tcPr>
            <w:tcW w:w="15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42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8"/>
                <w:szCs w:val="28"/>
                <w:highlight w:val="none"/>
              </w:rPr>
            </w:pPr>
            <w:r>
              <w:rPr>
                <w:rFonts w:hint="eastAsia" w:ascii="宋体" w:hAnsi="宋体" w:cs="宋体"/>
                <w:b/>
                <w:bCs/>
                <w:color w:val="000000"/>
                <w:kern w:val="0"/>
                <w:sz w:val="28"/>
                <w:szCs w:val="28"/>
                <w:highlight w:val="none"/>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44"/>
                <w:szCs w:val="44"/>
                <w:highlight w:val="none"/>
              </w:rPr>
            </w:pPr>
          </w:p>
        </w:tc>
        <w:tc>
          <w:tcPr>
            <w:tcW w:w="13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c>
          <w:tcPr>
            <w:tcW w:w="196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c>
          <w:tcPr>
            <w:tcW w:w="159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　</w:t>
            </w: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rPr>
                <w:rFonts w:ascii="宋体" w:hAnsi="宋体"/>
                <w:sz w:val="28"/>
                <w:szCs w:val="28"/>
                <w:highlight w:val="none"/>
              </w:rPr>
            </w:pPr>
          </w:p>
        </w:tc>
        <w:tc>
          <w:tcPr>
            <w:tcW w:w="534" w:type="dxa"/>
            <w:tcBorders>
              <w:top w:val="nil"/>
              <w:left w:val="nil"/>
              <w:bottom w:val="single" w:color="auto" w:sz="4" w:space="0"/>
              <w:right w:val="single" w:color="auto" w:sz="4" w:space="0"/>
            </w:tcBorders>
            <w:vAlign w:val="center"/>
          </w:tcPr>
          <w:p>
            <w:pPr>
              <w:rPr>
                <w:rFonts w:ascii="宋体" w:hAnsi="宋体"/>
                <w:sz w:val="28"/>
                <w:szCs w:val="28"/>
                <w:highlight w:val="none"/>
              </w:rPr>
            </w:pPr>
          </w:p>
        </w:tc>
        <w:tc>
          <w:tcPr>
            <w:tcW w:w="427" w:type="dxa"/>
            <w:tcBorders>
              <w:top w:val="nil"/>
              <w:left w:val="nil"/>
              <w:bottom w:val="single" w:color="auto" w:sz="4" w:space="0"/>
              <w:right w:val="single" w:color="auto" w:sz="4" w:space="0"/>
            </w:tcBorders>
            <w:vAlign w:val="center"/>
          </w:tcPr>
          <w:p>
            <w:pPr>
              <w:rPr>
                <w:rFonts w:ascii="宋体" w:hAnsi="宋体"/>
                <w:sz w:val="28"/>
                <w:szCs w:val="28"/>
                <w:highlight w:val="none"/>
              </w:rPr>
            </w:pPr>
          </w:p>
        </w:tc>
        <w:tc>
          <w:tcPr>
            <w:tcW w:w="2400" w:type="dxa"/>
            <w:tcBorders>
              <w:top w:val="nil"/>
              <w:left w:val="nil"/>
              <w:bottom w:val="single" w:color="auto" w:sz="4" w:space="0"/>
              <w:right w:val="single" w:color="auto" w:sz="4" w:space="0"/>
            </w:tcBorders>
            <w:vAlign w:val="center"/>
          </w:tcPr>
          <w:p>
            <w:pPr>
              <w:jc w:val="center"/>
              <w:rPr>
                <w:sz w:val="40"/>
                <w:szCs w:val="48"/>
                <w:highlight w:val="none"/>
              </w:rPr>
            </w:pPr>
          </w:p>
        </w:tc>
        <w:tc>
          <w:tcPr>
            <w:tcW w:w="1364" w:type="dxa"/>
            <w:tcBorders>
              <w:top w:val="nil"/>
              <w:left w:val="nil"/>
              <w:bottom w:val="single" w:color="auto" w:sz="4" w:space="0"/>
              <w:right w:val="single" w:color="auto" w:sz="4" w:space="0"/>
            </w:tcBorders>
            <w:vAlign w:val="center"/>
          </w:tcPr>
          <w:p>
            <w:pPr>
              <w:jc w:val="right"/>
              <w:rPr>
                <w:sz w:val="40"/>
                <w:szCs w:val="48"/>
                <w:highlight w:val="none"/>
              </w:rPr>
            </w:pPr>
          </w:p>
        </w:tc>
        <w:tc>
          <w:tcPr>
            <w:tcW w:w="1964" w:type="dxa"/>
            <w:tcBorders>
              <w:top w:val="nil"/>
              <w:left w:val="nil"/>
              <w:bottom w:val="single" w:color="auto" w:sz="4" w:space="0"/>
              <w:right w:val="single" w:color="auto" w:sz="4" w:space="0"/>
            </w:tcBorders>
            <w:vAlign w:val="center"/>
          </w:tcPr>
          <w:p>
            <w:pPr>
              <w:jc w:val="right"/>
              <w:rPr>
                <w:sz w:val="40"/>
                <w:szCs w:val="48"/>
                <w:highlight w:val="none"/>
              </w:rPr>
            </w:pPr>
          </w:p>
        </w:tc>
        <w:tc>
          <w:tcPr>
            <w:tcW w:w="1591" w:type="dxa"/>
            <w:tcBorders>
              <w:top w:val="nil"/>
              <w:left w:val="nil"/>
              <w:bottom w:val="single" w:color="auto" w:sz="4" w:space="0"/>
              <w:right w:val="single" w:color="auto" w:sz="4" w:space="0"/>
            </w:tcBorders>
            <w:vAlign w:val="center"/>
          </w:tcPr>
          <w:p>
            <w:pPr>
              <w:jc w:val="right"/>
              <w:rPr>
                <w:sz w:val="40"/>
                <w:szCs w:val="48"/>
                <w:highlight w:val="none"/>
              </w:rPr>
            </w:pPr>
          </w:p>
        </w:tc>
      </w:tr>
      <w:tr>
        <w:tblPrEx>
          <w:tblCellMar>
            <w:top w:w="0" w:type="dxa"/>
            <w:left w:w="108" w:type="dxa"/>
            <w:bottom w:w="0" w:type="dxa"/>
            <w:right w:w="108" w:type="dxa"/>
          </w:tblCellMar>
        </w:tblPrEx>
        <w:trPr>
          <w:trHeight w:val="405" w:hRule="atLeast"/>
        </w:trPr>
        <w:tc>
          <w:tcPr>
            <w:tcW w:w="55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53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42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24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szCs w:val="22"/>
                <w:highlight w:val="none"/>
              </w:rPr>
            </w:pPr>
            <w:r>
              <w:rPr>
                <w:rFonts w:hint="eastAsia" w:ascii="仿宋_GB2312" w:hAnsi="仿宋_GB2312" w:eastAsia="仿宋_GB2312" w:cs="仿宋_GB2312"/>
                <w:b/>
                <w:bCs/>
                <w:color w:val="000000"/>
                <w:kern w:val="0"/>
                <w:sz w:val="20"/>
                <w:szCs w:val="20"/>
                <w:highlight w:val="none"/>
              </w:rPr>
              <w:t>合计</w:t>
            </w:r>
          </w:p>
        </w:tc>
        <w:tc>
          <w:tcPr>
            <w:tcW w:w="13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224.16　</w:t>
            </w:r>
          </w:p>
        </w:tc>
        <w:tc>
          <w:tcPr>
            <w:tcW w:w="196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224.16　　</w:t>
            </w:r>
          </w:p>
        </w:tc>
        <w:tc>
          <w:tcPr>
            <w:tcW w:w="15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r>
    </w:tbl>
    <w:p>
      <w:pPr>
        <w:widowControl/>
        <w:jc w:val="left"/>
        <w:textAlignment w:val="bottom"/>
        <w:rPr>
          <w:rFonts w:ascii="宋体" w:hAnsi="宋体" w:cs="宋体"/>
          <w:color w:val="000000"/>
          <w:kern w:val="0"/>
          <w:sz w:val="20"/>
          <w:szCs w:val="20"/>
          <w:highlight w:val="none"/>
        </w:rPr>
      </w:pPr>
    </w:p>
    <w:p>
      <w:pPr>
        <w:widowControl/>
        <w:jc w:val="center"/>
        <w:rPr>
          <w:rFonts w:ascii="宋体" w:hAnsi="宋体" w:cs="宋体"/>
          <w:color w:val="000000"/>
          <w:kern w:val="0"/>
          <w:sz w:val="20"/>
          <w:szCs w:val="20"/>
          <w:highlight w:val="none"/>
        </w:rPr>
      </w:pPr>
    </w:p>
    <w:p>
      <w:pPr>
        <w:pStyle w:val="2"/>
        <w:ind w:firstLine="400"/>
        <w:rPr>
          <w:rFonts w:ascii="宋体" w:hAnsi="宋体" w:cs="宋体"/>
          <w:color w:val="000000"/>
          <w:kern w:val="0"/>
          <w:sz w:val="20"/>
          <w:szCs w:val="20"/>
          <w:highlight w:val="none"/>
        </w:rPr>
      </w:pPr>
    </w:p>
    <w:p>
      <w:pPr>
        <w:pStyle w:val="2"/>
        <w:ind w:firstLine="400"/>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表4</w:t>
      </w:r>
    </w:p>
    <w:p>
      <w:pPr>
        <w:widowControl/>
        <w:spacing w:beforeLines="50" w:line="280" w:lineRule="exact"/>
        <w:jc w:val="center"/>
        <w:outlineLvl w:val="1"/>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p>
      <w:pPr>
        <w:widowControl/>
        <w:spacing w:beforeLines="50"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 xml:space="preserve">：昌吉回族自治州生态环境局呼图壁县分局        </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单位：万元</w:t>
      </w:r>
    </w:p>
    <w:tbl>
      <w:tblPr>
        <w:tblStyle w:val="7"/>
        <w:tblW w:w="10583"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gridCol w:w="1134"/>
      </w:tblGrid>
      <w:tr>
        <w:tblPrEx>
          <w:tblCellMar>
            <w:top w:w="0" w:type="dxa"/>
            <w:left w:w="108" w:type="dxa"/>
            <w:bottom w:w="0" w:type="dxa"/>
            <w:right w:w="108" w:type="dxa"/>
          </w:tblCellMar>
        </w:tblPrEx>
        <w:trPr>
          <w:gridAfter w:val="1"/>
          <w:wAfter w:w="1134" w:type="dxa"/>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tblPrEx>
          <w:tblCellMar>
            <w:top w:w="0" w:type="dxa"/>
            <w:left w:w="108" w:type="dxa"/>
            <w:bottom w:w="0" w:type="dxa"/>
            <w:right w:w="108" w:type="dxa"/>
          </w:tblCellMar>
        </w:tblPrEx>
        <w:trPr>
          <w:gridAfter w:val="1"/>
          <w:wAfter w:w="1134" w:type="dxa"/>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152.97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152.97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208社会保障和就业支出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19.13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19.13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209社会保险基金支出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9.37</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9.37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211节能环保支出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112.32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112.32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212城乡社区支出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213农林水支出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214交通运输支出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215资源勘探工业信息等支出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216商业服务业等支出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217金融支出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219援助其他地区支出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220自然资源海洋气象等支出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221住房保障支出</w:t>
            </w:r>
          </w:p>
        </w:tc>
        <w:tc>
          <w:tcPr>
            <w:tcW w:w="900"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12.15　</w:t>
            </w:r>
          </w:p>
        </w:tc>
        <w:tc>
          <w:tcPr>
            <w:tcW w:w="851" w:type="dxa"/>
            <w:tcBorders>
              <w:top w:val="nil"/>
              <w:left w:val="nil"/>
              <w:bottom w:val="single" w:color="auto" w:sz="4" w:space="0"/>
              <w:right w:val="single" w:color="auto" w:sz="4" w:space="0"/>
            </w:tcBorders>
            <w:vAlign w:val="center"/>
          </w:tcPr>
          <w:p>
            <w:pPr>
              <w:widowControl/>
              <w:jc w:val="right"/>
              <w:textAlignment w:val="top"/>
              <w:rPr>
                <w:rFonts w:ascii="Calibri" w:hAnsi="Calibri" w:cs="Calibri"/>
                <w:color w:val="000000"/>
                <w:kern w:val="0"/>
                <w:sz w:val="22"/>
                <w:szCs w:val="22"/>
                <w:highlight w:val="none"/>
              </w:rPr>
            </w:pPr>
            <w:r>
              <w:rPr>
                <w:rFonts w:hint="eastAsia" w:ascii="Calibri" w:hAnsi="Calibri" w:cs="Calibri"/>
                <w:color w:val="000000"/>
                <w:kern w:val="0"/>
                <w:sz w:val="22"/>
                <w:szCs w:val="22"/>
                <w:highlight w:val="none"/>
              </w:rPr>
              <w:t>12.15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234抗疫特别国债还本支出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gridAfter w:val="1"/>
          <w:wAfter w:w="1134" w:type="dxa"/>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000000"/>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收入总计</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152.97</w:t>
            </w:r>
          </w:p>
        </w:tc>
        <w:tc>
          <w:tcPr>
            <w:tcW w:w="258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支出总计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Calibri" w:hAnsi="Calibri" w:cs="Calibri"/>
                <w:color w:val="000000"/>
                <w:kern w:val="0"/>
                <w:sz w:val="22"/>
                <w:szCs w:val="22"/>
                <w:highlight w:val="none"/>
              </w:rPr>
              <w:t>152.97</w:t>
            </w:r>
            <w:r>
              <w:rPr>
                <w:rFonts w:hint="eastAsia" w:ascii="宋体" w:hAnsi="宋体" w:cs="宋体"/>
                <w:color w:val="000000"/>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r>
              <w:rPr>
                <w:rFonts w:hint="eastAsia" w:ascii="Calibri" w:hAnsi="Calibri" w:cs="Calibri"/>
                <w:color w:val="000000"/>
                <w:kern w:val="0"/>
                <w:sz w:val="22"/>
                <w:szCs w:val="22"/>
                <w:highlight w:val="none"/>
              </w:rPr>
              <w:t>152.97</w:t>
            </w:r>
            <w:r>
              <w:rPr>
                <w:rFonts w:hint="eastAsia" w:ascii="宋体" w:hAnsi="宋体" w:cs="宋体"/>
                <w:color w:val="000000"/>
                <w:kern w:val="0"/>
                <w:sz w:val="22"/>
                <w:szCs w:val="22"/>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highlight w:val="none"/>
              </w:rPr>
            </w:pPr>
          </w:p>
        </w:tc>
        <w:tc>
          <w:tcPr>
            <w:tcW w:w="1134" w:type="dxa"/>
            <w:vAlign w:val="center"/>
          </w:tcPr>
          <w:p>
            <w:pPr>
              <w:spacing w:line="280" w:lineRule="exact"/>
              <w:jc w:val="right"/>
              <w:rPr>
                <w:rFonts w:ascii="宋体" w:hAnsi="宋体" w:cs="宋体"/>
                <w:kern w:val="0"/>
                <w:sz w:val="18"/>
                <w:szCs w:val="18"/>
                <w:highlight w:val="none"/>
              </w:rPr>
            </w:pPr>
            <w:r>
              <w:rPr>
                <w:rFonts w:hint="eastAsia" w:ascii="宋体" w:hAnsi="宋体" w:cs="宋体"/>
                <w:kern w:val="0"/>
                <w:sz w:val="18"/>
                <w:szCs w:val="18"/>
                <w:highlight w:val="none"/>
              </w:rPr>
              <w:t>　</w:t>
            </w:r>
          </w:p>
        </w:tc>
      </w:tr>
    </w:tbl>
    <w:p>
      <w:pPr>
        <w:pStyle w:val="2"/>
        <w:ind w:left="0" w:leftChars="0" w:firstLine="0" w:firstLineChars="0"/>
        <w:rPr>
          <w:highlight w:val="none"/>
        </w:rPr>
      </w:pPr>
    </w:p>
    <w:p>
      <w:pPr>
        <w:pStyle w:val="2"/>
        <w:rPr>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表5</w:t>
      </w:r>
    </w:p>
    <w:tbl>
      <w:tblPr>
        <w:tblStyle w:val="7"/>
        <w:tblW w:w="9214" w:type="dxa"/>
        <w:tblInd w:w="-34" w:type="dxa"/>
        <w:tblLayout w:type="fixed"/>
        <w:tblCellMar>
          <w:top w:w="0" w:type="dxa"/>
          <w:left w:w="108" w:type="dxa"/>
          <w:bottom w:w="0" w:type="dxa"/>
          <w:right w:w="108" w:type="dxa"/>
        </w:tblCellMar>
      </w:tblPr>
      <w:tblGrid>
        <w:gridCol w:w="576"/>
        <w:gridCol w:w="499"/>
        <w:gridCol w:w="502"/>
        <w:gridCol w:w="2665"/>
        <w:gridCol w:w="453"/>
        <w:gridCol w:w="1233"/>
        <w:gridCol w:w="1615"/>
        <w:gridCol w:w="167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42"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编制部门</w:t>
            </w:r>
            <w:r>
              <w:rPr>
                <w:rFonts w:hint="eastAsia" w:ascii="仿宋_GB2312" w:hAnsi="宋体" w:eastAsia="仿宋_GB2312" w:cs="宋体"/>
                <w:color w:val="000000"/>
                <w:kern w:val="0"/>
                <w:sz w:val="24"/>
                <w:highlight w:val="none"/>
                <w:lang w:val="en-US" w:eastAsia="zh-CN"/>
              </w:rPr>
              <w:t xml:space="preserve"> </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昌吉回族自治州生态环境局呼图壁县分局</w:t>
            </w:r>
          </w:p>
        </w:tc>
        <w:tc>
          <w:tcPr>
            <w:tcW w:w="453" w:type="dxa"/>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p>
        </w:tc>
        <w:tc>
          <w:tcPr>
            <w:tcW w:w="1233" w:type="dxa"/>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p>
        </w:tc>
        <w:tc>
          <w:tcPr>
            <w:tcW w:w="3286"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CellMar>
            <w:top w:w="0" w:type="dxa"/>
            <w:left w:w="108" w:type="dxa"/>
            <w:bottom w:w="0" w:type="dxa"/>
            <w:right w:w="108" w:type="dxa"/>
          </w:tblCellMar>
        </w:tblPrEx>
        <w:trPr>
          <w:trHeight w:val="405" w:hRule="atLeast"/>
        </w:trPr>
        <w:tc>
          <w:tcPr>
            <w:tcW w:w="4242"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972"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66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686"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61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6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66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68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61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c>
          <w:tcPr>
            <w:tcW w:w="167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社会保障和就业支出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19.13</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19.13</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行政事业单位养老支出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19.13</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19.13</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ascii="宋体" w:hAnsi="宋体" w:cs="宋体"/>
                <w:color w:val="000000"/>
                <w:kern w:val="0"/>
                <w:sz w:val="20"/>
                <w:szCs w:val="20"/>
                <w:highlight w:val="none"/>
              </w:rPr>
              <w:t>行政单位离退休</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4.51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4.51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机关事业单位基本养老保险缴费支出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14.62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14.62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卫生健康支出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9.37</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9.37</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行政事业单位医疗</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9.37</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9.37</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行政单位医疗</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7.31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7.31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03</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公务员医疗补助</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2.01</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2.01</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210</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99</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其他行政事业单位医疗支出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0.06</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0.06</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节能环保支出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环境保护管理事务</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211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行政运行</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112.32</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住房保障支出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住房改革支出</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2"/>
                <w:szCs w:val="2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221</w:t>
            </w: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w:t>
            </w: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住房公积金</w:t>
            </w:r>
          </w:p>
        </w:tc>
        <w:tc>
          <w:tcPr>
            <w:tcW w:w="1686" w:type="dxa"/>
            <w:gridSpan w:val="2"/>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15"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12.15</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highlight w:val="none"/>
              </w:rPr>
            </w:pPr>
            <w:r>
              <w:rPr>
                <w:rFonts w:hint="eastAsia" w:ascii="宋体" w:hAnsi="宋体" w:cs="宋体"/>
                <w:color w:val="000000"/>
                <w:kern w:val="0"/>
                <w:sz w:val="32"/>
                <w:szCs w:val="32"/>
                <w:highlight w:val="none"/>
              </w:rPr>
              <w:t>　</w:t>
            </w: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highlight w:val="none"/>
              </w:rPr>
            </w:pPr>
            <w:r>
              <w:rPr>
                <w:rFonts w:hint="eastAsia" w:ascii="宋体" w:hAnsi="宋体" w:cs="宋体"/>
                <w:color w:val="000000"/>
                <w:kern w:val="0"/>
                <w:sz w:val="32"/>
                <w:szCs w:val="32"/>
                <w:highlight w:val="none"/>
              </w:rPr>
              <w:t>　</w:t>
            </w: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highlight w:val="none"/>
              </w:rPr>
            </w:pPr>
            <w:r>
              <w:rPr>
                <w:rFonts w:hint="eastAsia" w:ascii="宋体" w:hAnsi="宋体" w:cs="宋体"/>
                <w:color w:val="000000"/>
                <w:kern w:val="0"/>
                <w:sz w:val="32"/>
                <w:szCs w:val="32"/>
                <w:highlight w:val="none"/>
              </w:rPr>
              <w:t>　</w:t>
            </w: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highlight w:val="none"/>
              </w:rPr>
            </w:pPr>
            <w:r>
              <w:rPr>
                <w:rFonts w:hint="eastAsia" w:ascii="宋体" w:hAnsi="宋体" w:cs="宋体"/>
                <w:color w:val="000000"/>
                <w:kern w:val="0"/>
                <w:sz w:val="32"/>
                <w:szCs w:val="32"/>
                <w:highlight w:val="none"/>
              </w:rPr>
              <w:t>　</w:t>
            </w: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32"/>
                <w:szCs w:val="32"/>
                <w:highlight w:val="none"/>
              </w:rPr>
            </w:pPr>
          </w:p>
        </w:tc>
        <w:tc>
          <w:tcPr>
            <w:tcW w:w="1686"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p>
        </w:tc>
        <w:tc>
          <w:tcPr>
            <w:tcW w:w="1615"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32"/>
                <w:szCs w:val="32"/>
                <w:highlight w:val="none"/>
              </w:rPr>
            </w:pPr>
          </w:p>
        </w:tc>
      </w:tr>
      <w:tr>
        <w:tblPrEx>
          <w:tblCellMar>
            <w:top w:w="0" w:type="dxa"/>
            <w:left w:w="108" w:type="dxa"/>
            <w:bottom w:w="0" w:type="dxa"/>
            <w:right w:w="108" w:type="dxa"/>
          </w:tblCellMar>
        </w:tblPrEx>
        <w:trPr>
          <w:trHeight w:val="450" w:hRule="atLeast"/>
        </w:trPr>
        <w:tc>
          <w:tcPr>
            <w:tcW w:w="57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499"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66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686"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152.97</w:t>
            </w:r>
          </w:p>
        </w:tc>
        <w:tc>
          <w:tcPr>
            <w:tcW w:w="161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152.97</w:t>
            </w:r>
          </w:p>
        </w:tc>
        <w:tc>
          <w:tcPr>
            <w:tcW w:w="167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highlight w:val="none"/>
              </w:rPr>
            </w:pPr>
          </w:p>
        </w:tc>
      </w:tr>
    </w:tbl>
    <w:p>
      <w:pPr>
        <w:widowControl/>
        <w:jc w:val="left"/>
        <w:textAlignment w:val="bottom"/>
        <w:rPr>
          <w:rFonts w:ascii="宋体" w:hAnsi="宋体" w:cs="宋体"/>
          <w:color w:val="000000"/>
          <w:kern w:val="0"/>
          <w:sz w:val="20"/>
          <w:szCs w:val="20"/>
          <w:highlight w:val="none"/>
        </w:rPr>
      </w:pPr>
    </w:p>
    <w:p>
      <w:pPr>
        <w:pStyle w:val="2"/>
        <w:rPr>
          <w:highlight w:val="none"/>
        </w:rPr>
      </w:pPr>
    </w:p>
    <w:p>
      <w:pPr>
        <w:widowControl/>
        <w:jc w:val="left"/>
        <w:textAlignment w:val="bottom"/>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p>
    <w:p>
      <w:pPr>
        <w:pStyle w:val="2"/>
        <w:rPr>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trPr>
          <w:trHeight w:val="405" w:hRule="atLeast"/>
        </w:trPr>
        <w:tc>
          <w:tcPr>
            <w:tcW w:w="6902" w:type="dxa"/>
            <w:gridSpan w:val="5"/>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编制部门</w:t>
            </w:r>
            <w:r>
              <w:rPr>
                <w:rFonts w:hint="eastAsia" w:ascii="仿宋_GB2312" w:hAnsi="宋体" w:eastAsia="仿宋_GB2312" w:cs="宋体"/>
                <w:color w:val="000000"/>
                <w:kern w:val="0"/>
                <w:sz w:val="24"/>
                <w:highlight w:val="none"/>
                <w:lang w:val="en-US" w:eastAsia="zh-CN"/>
              </w:rPr>
              <w:t xml:space="preserve"> </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昌吉回族自治州生态环境局呼图壁县分局</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138.07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138.07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基本工资</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36.22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36.22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津贴补贴</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35.94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35.94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奖金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29.21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29.21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14.62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14.62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城镇职工基本医疗保险缴费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7.31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7.31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0.42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住房公积金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12.15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12.15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其他工资福利支出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0.18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10.37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10.37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06</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邮电费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取暖费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3.60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差旅费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公务接待费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工会经费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1.77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4.53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4.53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退休费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4.17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4.17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奖励金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0.33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0.33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其他对个人和家庭的补助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0.02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0.02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10"/>
                <w:szCs w:val="1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合计</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152.97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142.60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10.37</w:t>
            </w:r>
          </w:p>
        </w:tc>
      </w:tr>
    </w:tbl>
    <w:p>
      <w:pPr>
        <w:widowControl/>
        <w:jc w:val="left"/>
        <w:textAlignment w:val="bottom"/>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表7</w:t>
      </w:r>
    </w:p>
    <w:tbl>
      <w:tblPr>
        <w:tblStyle w:val="7"/>
        <w:tblW w:w="9542"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9"/>
      </w:tblGrid>
      <w:tr>
        <w:tblPrEx>
          <w:tblCellMar>
            <w:top w:w="0" w:type="dxa"/>
            <w:left w:w="108" w:type="dxa"/>
            <w:bottom w:w="0" w:type="dxa"/>
            <w:right w:w="108" w:type="dxa"/>
          </w:tblCellMar>
        </w:tblPrEx>
        <w:trPr>
          <w:gridBefore w:val="1"/>
          <w:gridAfter w:val="1"/>
          <w:wBefore w:w="8" w:type="dxa"/>
          <w:wAfter w:w="79" w:type="dxa"/>
          <w:trHeight w:val="375" w:hRule="atLeast"/>
        </w:trPr>
        <w:tc>
          <w:tcPr>
            <w:tcW w:w="9455" w:type="dxa"/>
            <w:gridSpan w:val="17"/>
            <w:tcBorders>
              <w:top w:val="nil"/>
              <w:left w:val="nil"/>
              <w:bottom w:val="nil"/>
              <w:right w:val="nil"/>
            </w:tcBorders>
            <w:vAlign w:val="center"/>
          </w:tcPr>
          <w:p>
            <w:pPr>
              <w:widowControl/>
              <w:jc w:val="center"/>
              <w:rPr>
                <w:rFonts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9" w:type="dxa"/>
          <w:trHeight w:val="405" w:hRule="atLeast"/>
        </w:trPr>
        <w:tc>
          <w:tcPr>
            <w:tcW w:w="6976"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编制部门</w:t>
            </w:r>
            <w:r>
              <w:rPr>
                <w:rFonts w:hint="eastAsia" w:ascii="仿宋_GB2312" w:hAnsi="宋体" w:eastAsia="仿宋_GB2312" w:cs="宋体"/>
                <w:color w:val="000000"/>
                <w:kern w:val="0"/>
                <w:sz w:val="24"/>
                <w:highlight w:val="none"/>
                <w:lang w:val="en-US" w:eastAsia="zh-CN"/>
              </w:rPr>
              <w:t xml:space="preserve"> </w:t>
            </w:r>
            <w:r>
              <w:rPr>
                <w:rFonts w:hint="eastAsia" w:ascii="仿宋_GB2312" w:hAnsi="宋体" w:eastAsia="仿宋_GB2312" w:cs="宋体"/>
                <w:color w:val="000000"/>
                <w:kern w:val="0"/>
                <w:sz w:val="24"/>
                <w:highlight w:val="none"/>
              </w:rPr>
              <w:t>：</w:t>
            </w:r>
            <w:r>
              <w:rPr>
                <w:rFonts w:hint="eastAsia" w:ascii="仿宋_GB2312" w:hAnsi="宋体" w:eastAsia="仿宋_GB2312"/>
                <w:kern w:val="0"/>
                <w:sz w:val="24"/>
                <w:highlight w:val="none"/>
              </w:rPr>
              <w:t>昌吉回族自治州生态环境局呼图壁县分局</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科目编码</w:t>
            </w:r>
          </w:p>
        </w:tc>
        <w:tc>
          <w:tcPr>
            <w:tcW w:w="828" w:type="dxa"/>
            <w:vMerge w:val="restart"/>
            <w:vAlign w:val="center"/>
          </w:tcPr>
          <w:p>
            <w:pPr>
              <w:widowControl/>
              <w:jc w:val="center"/>
              <w:outlineLvl w:val="1"/>
              <w:rPr>
                <w:rFonts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color w:val="000000"/>
                <w:kern w:val="0"/>
                <w:sz w:val="20"/>
                <w:szCs w:val="20"/>
                <w:highlight w:val="none"/>
              </w:rPr>
              <w:t>名称</w:t>
            </w:r>
          </w:p>
        </w:tc>
        <w:tc>
          <w:tcPr>
            <w:tcW w:w="1400"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7"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p>
        </w:tc>
        <w:tc>
          <w:tcPr>
            <w:tcW w:w="140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61"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c>
          <w:tcPr>
            <w:tcW w:w="46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p>
        </w:tc>
        <w:tc>
          <w:tcPr>
            <w:tcW w:w="561" w:type="dxa"/>
          </w:tcPr>
          <w:p>
            <w:pPr>
              <w:widowControl/>
              <w:jc w:val="right"/>
              <w:outlineLvl w:val="1"/>
              <w:rPr>
                <w:rFonts w:ascii="仿宋_GB2312" w:hAnsi="宋体" w:eastAsia="仿宋_GB2312"/>
                <w:kern w:val="0"/>
                <w:sz w:val="32"/>
                <w:szCs w:val="32"/>
                <w:highlight w:val="none"/>
              </w:rPr>
            </w:pPr>
          </w:p>
        </w:tc>
        <w:tc>
          <w:tcPr>
            <w:tcW w:w="530" w:type="dxa"/>
          </w:tcPr>
          <w:p>
            <w:pPr>
              <w:widowControl/>
              <w:jc w:val="right"/>
              <w:outlineLvl w:val="1"/>
              <w:rPr>
                <w:rFonts w:ascii="仿宋_GB2312" w:hAnsi="宋体" w:eastAsia="仿宋_GB2312"/>
                <w:kern w:val="0"/>
                <w:sz w:val="32"/>
                <w:szCs w:val="32"/>
                <w:highlight w:val="none"/>
              </w:rPr>
            </w:pPr>
          </w:p>
        </w:tc>
        <w:tc>
          <w:tcPr>
            <w:tcW w:w="639" w:type="dxa"/>
          </w:tcPr>
          <w:p>
            <w:pPr>
              <w:widowControl/>
              <w:jc w:val="right"/>
              <w:outlineLvl w:val="1"/>
              <w:rPr>
                <w:rFonts w:ascii="仿宋_GB2312" w:hAnsi="宋体" w:eastAsia="仿宋_GB2312"/>
                <w:kern w:val="0"/>
                <w:sz w:val="32"/>
                <w:szCs w:val="32"/>
                <w:highlight w:val="none"/>
              </w:rPr>
            </w:pPr>
          </w:p>
        </w:tc>
        <w:tc>
          <w:tcPr>
            <w:tcW w:w="639" w:type="dxa"/>
          </w:tcPr>
          <w:p>
            <w:pPr>
              <w:widowControl/>
              <w:jc w:val="right"/>
              <w:outlineLvl w:val="1"/>
              <w:rPr>
                <w:rFonts w:ascii="仿宋_GB2312" w:hAnsi="宋体" w:eastAsia="仿宋_GB2312"/>
                <w:kern w:val="0"/>
                <w:sz w:val="32"/>
                <w:szCs w:val="32"/>
                <w:highlight w:val="none"/>
              </w:rPr>
            </w:pPr>
          </w:p>
        </w:tc>
        <w:tc>
          <w:tcPr>
            <w:tcW w:w="618" w:type="dxa"/>
            <w:gridSpan w:val="2"/>
          </w:tcPr>
          <w:p>
            <w:pPr>
              <w:widowControl/>
              <w:jc w:val="right"/>
              <w:outlineLvl w:val="1"/>
              <w:rPr>
                <w:rFonts w:ascii="仿宋_GB2312" w:hAnsi="宋体" w:eastAsia="仿宋_GB2312"/>
                <w:kern w:val="0"/>
                <w:sz w:val="32"/>
                <w:szCs w:val="32"/>
                <w:highlight w:val="none"/>
              </w:rPr>
            </w:pPr>
          </w:p>
        </w:tc>
        <w:tc>
          <w:tcPr>
            <w:tcW w:w="419" w:type="dxa"/>
          </w:tcPr>
          <w:p>
            <w:pPr>
              <w:widowControl/>
              <w:jc w:val="right"/>
              <w:outlineLvl w:val="1"/>
              <w:rPr>
                <w:rFonts w:ascii="仿宋_GB2312" w:hAnsi="宋体" w:eastAsia="仿宋_GB2312"/>
                <w:kern w:val="0"/>
                <w:sz w:val="32"/>
                <w:szCs w:val="32"/>
                <w:highlight w:val="none"/>
              </w:rPr>
            </w:pPr>
          </w:p>
        </w:tc>
        <w:tc>
          <w:tcPr>
            <w:tcW w:w="618" w:type="dxa"/>
          </w:tcPr>
          <w:p>
            <w:pPr>
              <w:widowControl/>
              <w:jc w:val="right"/>
              <w:outlineLvl w:val="1"/>
              <w:rPr>
                <w:rFonts w:ascii="仿宋_GB2312" w:hAnsi="宋体" w:eastAsia="仿宋_GB2312"/>
                <w:kern w:val="0"/>
                <w:sz w:val="32"/>
                <w:szCs w:val="32"/>
                <w:highlight w:val="none"/>
              </w:rPr>
            </w:pPr>
          </w:p>
        </w:tc>
        <w:tc>
          <w:tcPr>
            <w:tcW w:w="420" w:type="dxa"/>
          </w:tcPr>
          <w:p>
            <w:pPr>
              <w:widowControl/>
              <w:jc w:val="right"/>
              <w:outlineLvl w:val="1"/>
              <w:rPr>
                <w:rFonts w:ascii="仿宋_GB2312" w:hAnsi="宋体" w:eastAsia="仿宋_GB2312"/>
                <w:kern w:val="0"/>
                <w:sz w:val="32"/>
                <w:szCs w:val="32"/>
                <w:highlight w:val="none"/>
              </w:rPr>
            </w:pPr>
          </w:p>
        </w:tc>
        <w:tc>
          <w:tcPr>
            <w:tcW w:w="420" w:type="dxa"/>
          </w:tcPr>
          <w:p>
            <w:pPr>
              <w:widowControl/>
              <w:jc w:val="right"/>
              <w:outlineLvl w:val="1"/>
              <w:rPr>
                <w:rFonts w:ascii="仿宋_GB2312" w:hAnsi="宋体" w:eastAsia="仿宋_GB2312"/>
                <w:kern w:val="0"/>
                <w:sz w:val="32"/>
                <w:szCs w:val="32"/>
                <w:highlight w:val="none"/>
              </w:rPr>
            </w:pPr>
          </w:p>
        </w:tc>
        <w:tc>
          <w:tcPr>
            <w:tcW w:w="467" w:type="dxa"/>
            <w:gridSpan w:val="2"/>
          </w:tcPr>
          <w:p>
            <w:pPr>
              <w:widowControl/>
              <w:jc w:val="right"/>
              <w:outlineLvl w:val="1"/>
              <w:rPr>
                <w:rFonts w:ascii="仿宋_GB2312" w:hAnsi="宋体" w:eastAsia="仿宋_GB2312"/>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tcPr>
          <w:p>
            <w:pPr>
              <w:widowControl/>
              <w:jc w:val="center"/>
              <w:outlineLvl w:val="1"/>
              <w:rPr>
                <w:rFonts w:ascii="仿宋_GB2312" w:hAnsi="宋体" w:eastAsia="仿宋_GB2312"/>
                <w:kern w:val="0"/>
                <w:sz w:val="32"/>
                <w:szCs w:val="32"/>
                <w:highlight w:val="none"/>
              </w:rPr>
            </w:pPr>
          </w:p>
        </w:tc>
        <w:tc>
          <w:tcPr>
            <w:tcW w:w="732"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417" w:type="dxa"/>
          </w:tcPr>
          <w:p>
            <w:pPr>
              <w:widowControl/>
              <w:jc w:val="center"/>
              <w:outlineLvl w:val="1"/>
              <w:rPr>
                <w:rFonts w:ascii="仿宋_GB2312" w:hAnsi="宋体" w:eastAsia="仿宋_GB2312"/>
                <w:kern w:val="0"/>
                <w:sz w:val="32"/>
                <w:szCs w:val="32"/>
                <w:highlight w:val="none"/>
              </w:rPr>
            </w:pPr>
          </w:p>
        </w:tc>
        <w:tc>
          <w:tcPr>
            <w:tcW w:w="828" w:type="dxa"/>
          </w:tcPr>
          <w:p>
            <w:pPr>
              <w:widowControl/>
              <w:jc w:val="center"/>
              <w:outlineLvl w:val="1"/>
              <w:rPr>
                <w:rFonts w:ascii="仿宋_GB2312" w:hAnsi="宋体" w:eastAsia="仿宋_GB2312"/>
                <w:kern w:val="0"/>
                <w:sz w:val="32"/>
                <w:szCs w:val="32"/>
                <w:highlight w:val="none"/>
              </w:rPr>
            </w:pPr>
          </w:p>
        </w:tc>
        <w:tc>
          <w:tcPr>
            <w:tcW w:w="1400" w:type="dxa"/>
            <w:vAlign w:val="center"/>
          </w:tcPr>
          <w:p>
            <w:pPr>
              <w:widowControl/>
              <w:jc w:val="center"/>
              <w:outlineLvl w:val="1"/>
              <w:rPr>
                <w:rFonts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合计</w:t>
            </w:r>
          </w:p>
        </w:tc>
        <w:tc>
          <w:tcPr>
            <w:tcW w:w="732" w:type="dxa"/>
            <w:vAlign w:val="center"/>
          </w:tcPr>
          <w:p>
            <w:pPr>
              <w:widowControl/>
              <w:jc w:val="right"/>
              <w:outlineLvl w:val="1"/>
              <w:rPr>
                <w:rFonts w:ascii="仿宋_GB2312" w:hAnsi="宋体" w:eastAsia="仿宋_GB2312"/>
                <w:kern w:val="0"/>
                <w:szCs w:val="21"/>
                <w:highlight w:val="none"/>
              </w:rPr>
            </w:pPr>
          </w:p>
        </w:tc>
        <w:tc>
          <w:tcPr>
            <w:tcW w:w="561"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7" w:type="dxa"/>
            <w:gridSpan w:val="2"/>
          </w:tcPr>
          <w:p>
            <w:pPr>
              <w:widowControl/>
              <w:jc w:val="righ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bl>
    <w:p>
      <w:pPr>
        <w:widowControl/>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28"/>
          <w:highlight w:val="none"/>
        </w:rPr>
        <w:t>昌吉回族自治州生态环境局呼图壁县分局2024年无</w:t>
      </w:r>
      <w:r>
        <w:rPr>
          <w:rFonts w:hint="eastAsia" w:ascii="仿宋_GB2312" w:hAnsi="宋体" w:eastAsia="仿宋_GB2312" w:cs="宋体"/>
          <w:b/>
          <w:bCs/>
          <w:color w:val="000000"/>
          <w:kern w:val="0"/>
          <w:sz w:val="28"/>
          <w:szCs w:val="28"/>
          <w:highlight w:val="none"/>
        </w:rPr>
        <w:t>一般公共预算项目支出，此表为空表</w:t>
      </w:r>
      <w:r>
        <w:rPr>
          <w:rFonts w:hint="eastAsia" w:ascii="仿宋_GB2312" w:hAnsi="宋体" w:eastAsia="仿宋_GB2312"/>
          <w:b/>
          <w:kern w:val="0"/>
          <w:sz w:val="28"/>
          <w:szCs w:val="32"/>
          <w:highlight w:val="none"/>
        </w:rPr>
        <w:t>。</w:t>
      </w:r>
    </w:p>
    <w:p>
      <w:pPr>
        <w:widowControl/>
        <w:jc w:val="left"/>
        <w:textAlignment w:val="bottom"/>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p>
    <w:p>
      <w:pPr>
        <w:pStyle w:val="2"/>
        <w:rPr>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w:t>
      </w:r>
      <w:r>
        <w:rPr>
          <w:rFonts w:ascii="宋体" w:hAnsi="宋体" w:cs="宋体"/>
          <w:color w:val="000000"/>
          <w:kern w:val="0"/>
          <w:sz w:val="20"/>
          <w:szCs w:val="20"/>
          <w:highlight w:val="none"/>
        </w:rPr>
        <w:t>8</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：昌吉回族自治州生态环境局呼图壁县分局    单位：万元</w:t>
      </w:r>
    </w:p>
    <w:tbl>
      <w:tblPr>
        <w:tblStyle w:val="7"/>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45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4"/>
                <w:highlight w:val="none"/>
              </w:rPr>
            </w:pP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highlight w:val="none"/>
              </w:rPr>
            </w:pPr>
            <w:r>
              <w:rPr>
                <w:rFonts w:hint="eastAsia" w:ascii="仿宋_GB2312" w:hAnsi="宋体" w:eastAsia="仿宋_GB2312" w:cs="宋体"/>
                <w:b/>
                <w:bCs/>
                <w:color w:val="000000"/>
                <w:kern w:val="0"/>
                <w:sz w:val="20"/>
                <w:szCs w:val="20"/>
                <w:highlight w:val="none"/>
              </w:rPr>
              <w:t>合计</w:t>
            </w:r>
          </w:p>
        </w:tc>
        <w:tc>
          <w:tcPr>
            <w:tcW w:w="166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c>
          <w:tcPr>
            <w:tcW w:w="155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w:t>
            </w:r>
          </w:p>
        </w:tc>
      </w:tr>
    </w:tbl>
    <w:p>
      <w:pPr>
        <w:widowControl/>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28"/>
          <w:highlight w:val="none"/>
        </w:rPr>
        <w:t>昌吉回族自治州生态环境局呼图壁县分局</w:t>
      </w:r>
      <w:r>
        <w:rPr>
          <w:rFonts w:hint="eastAsia" w:ascii="仿宋_GB2312" w:hAnsi="宋体" w:eastAsia="仿宋_GB2312" w:cs="宋体"/>
          <w:b/>
          <w:bCs/>
          <w:color w:val="000000"/>
          <w:kern w:val="0"/>
          <w:sz w:val="28"/>
          <w:szCs w:val="28"/>
          <w:highlight w:val="none"/>
        </w:rPr>
        <w:t>2024年无政府性基金预算支出，此表为空表</w:t>
      </w:r>
      <w:r>
        <w:rPr>
          <w:rFonts w:hint="eastAsia" w:ascii="仿宋_GB2312" w:hAnsi="宋体" w:eastAsia="仿宋_GB2312"/>
          <w:b/>
          <w:kern w:val="0"/>
          <w:sz w:val="28"/>
          <w:szCs w:val="32"/>
          <w:highlight w:val="none"/>
        </w:rPr>
        <w:t>。</w:t>
      </w:r>
    </w:p>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_GB2312" w:hAnsi="宋体" w:eastAsia="仿宋_GB2312"/>
          <w:b/>
          <w:kern w:val="0"/>
          <w:sz w:val="28"/>
          <w:szCs w:val="32"/>
          <w:highlight w:val="none"/>
        </w:rPr>
      </w:pPr>
    </w:p>
    <w:p>
      <w:pPr>
        <w:pStyle w:val="2"/>
        <w:ind w:left="0" w:leftChars="0" w:firstLine="0" w:firstLineChars="0"/>
        <w:rPr>
          <w:highlight w:val="none"/>
        </w:rPr>
      </w:pPr>
    </w:p>
    <w:tbl>
      <w:tblPr>
        <w:tblStyle w:val="7"/>
        <w:tblW w:w="10484" w:type="dxa"/>
        <w:tblInd w:w="0" w:type="dxa"/>
        <w:tblLayout w:type="fixed"/>
        <w:tblCellMar>
          <w:top w:w="0" w:type="dxa"/>
          <w:left w:w="108" w:type="dxa"/>
          <w:bottom w:w="0" w:type="dxa"/>
          <w:right w:w="108" w:type="dxa"/>
        </w:tblCellMar>
      </w:tblPr>
      <w:tblGrid>
        <w:gridCol w:w="817"/>
        <w:gridCol w:w="427"/>
        <w:gridCol w:w="565"/>
        <w:gridCol w:w="601"/>
        <w:gridCol w:w="180"/>
        <w:gridCol w:w="212"/>
        <w:gridCol w:w="1281"/>
        <w:gridCol w:w="612"/>
        <w:gridCol w:w="1367"/>
        <w:gridCol w:w="862"/>
        <w:gridCol w:w="839"/>
        <w:gridCol w:w="1390"/>
        <w:gridCol w:w="453"/>
        <w:gridCol w:w="642"/>
        <w:gridCol w:w="236"/>
      </w:tblGrid>
      <w:tr>
        <w:tblPrEx>
          <w:tblCellMar>
            <w:top w:w="0" w:type="dxa"/>
            <w:left w:w="108" w:type="dxa"/>
            <w:bottom w:w="0" w:type="dxa"/>
            <w:right w:w="108" w:type="dxa"/>
          </w:tblCellMar>
        </w:tblPrEx>
        <w:trPr>
          <w:trHeight w:val="240" w:hRule="atLeast"/>
        </w:trPr>
        <w:tc>
          <w:tcPr>
            <w:tcW w:w="1244" w:type="dxa"/>
            <w:gridSpan w:val="2"/>
            <w:tcBorders>
              <w:top w:val="nil"/>
              <w:left w:val="nil"/>
              <w:bottom w:val="nil"/>
              <w:right w:val="nil"/>
            </w:tcBorders>
            <w:noWrap/>
            <w:vAlign w:val="center"/>
          </w:tcPr>
          <w:p>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0"/>
                <w:szCs w:val="20"/>
                <w:highlight w:val="none"/>
              </w:rPr>
              <w:t>表</w:t>
            </w:r>
            <w:r>
              <w:rPr>
                <w:rFonts w:ascii="宋体" w:hAnsi="宋体" w:cs="宋体"/>
                <w:color w:val="000000"/>
                <w:kern w:val="0"/>
                <w:sz w:val="20"/>
                <w:szCs w:val="20"/>
                <w:highlight w:val="none"/>
              </w:rPr>
              <w:t>9</w:t>
            </w:r>
          </w:p>
        </w:tc>
        <w:tc>
          <w:tcPr>
            <w:tcW w:w="1346" w:type="dxa"/>
            <w:gridSpan w:val="3"/>
            <w:tcBorders>
              <w:top w:val="nil"/>
              <w:left w:val="nil"/>
              <w:bottom w:val="nil"/>
              <w:right w:val="nil"/>
            </w:tcBorders>
            <w:noWrap/>
            <w:vAlign w:val="center"/>
          </w:tcPr>
          <w:p>
            <w:pPr>
              <w:rPr>
                <w:rFonts w:ascii="宋体" w:hAnsi="宋体" w:cs="宋体"/>
                <w:color w:val="000000"/>
                <w:sz w:val="22"/>
                <w:szCs w:val="22"/>
                <w:highlight w:val="none"/>
              </w:rPr>
            </w:pPr>
          </w:p>
        </w:tc>
        <w:tc>
          <w:tcPr>
            <w:tcW w:w="1493" w:type="dxa"/>
            <w:gridSpan w:val="2"/>
            <w:tcBorders>
              <w:top w:val="nil"/>
              <w:left w:val="nil"/>
              <w:bottom w:val="nil"/>
              <w:right w:val="nil"/>
            </w:tcBorders>
            <w:noWrap/>
            <w:vAlign w:val="center"/>
          </w:tcPr>
          <w:p>
            <w:pPr>
              <w:rPr>
                <w:rFonts w:ascii="宋体" w:hAnsi="宋体" w:cs="宋体"/>
                <w:color w:val="000000"/>
                <w:sz w:val="22"/>
                <w:szCs w:val="22"/>
                <w:highlight w:val="none"/>
              </w:rPr>
            </w:pPr>
          </w:p>
        </w:tc>
        <w:tc>
          <w:tcPr>
            <w:tcW w:w="2841" w:type="dxa"/>
            <w:gridSpan w:val="3"/>
            <w:tcBorders>
              <w:top w:val="nil"/>
              <w:left w:val="nil"/>
              <w:bottom w:val="nil"/>
              <w:right w:val="nil"/>
            </w:tcBorders>
          </w:tcPr>
          <w:p>
            <w:pPr>
              <w:rPr>
                <w:rFonts w:ascii="宋体" w:hAnsi="宋体" w:cs="宋体"/>
                <w:color w:val="000000"/>
                <w:sz w:val="22"/>
                <w:szCs w:val="22"/>
                <w:highlight w:val="none"/>
              </w:rPr>
            </w:pPr>
          </w:p>
        </w:tc>
        <w:tc>
          <w:tcPr>
            <w:tcW w:w="3324" w:type="dxa"/>
            <w:gridSpan w:val="4"/>
            <w:tcBorders>
              <w:top w:val="nil"/>
              <w:left w:val="nil"/>
              <w:bottom w:val="nil"/>
              <w:right w:val="nil"/>
            </w:tcBorders>
            <w:noWrap/>
            <w:vAlign w:val="center"/>
          </w:tcPr>
          <w:p>
            <w:pPr>
              <w:rPr>
                <w:rFonts w:ascii="宋体" w:hAnsi="宋体" w:cs="宋体"/>
                <w:color w:val="000000"/>
                <w:sz w:val="22"/>
                <w:szCs w:val="22"/>
                <w:highlight w:val="none"/>
              </w:rPr>
            </w:pPr>
          </w:p>
        </w:tc>
        <w:tc>
          <w:tcPr>
            <w:tcW w:w="236" w:type="dxa"/>
            <w:tcBorders>
              <w:top w:val="nil"/>
              <w:left w:val="nil"/>
              <w:bottom w:val="nil"/>
              <w:right w:val="nil"/>
            </w:tcBorders>
            <w:noWrap/>
            <w:vAlign w:val="center"/>
          </w:tcPr>
          <w:p>
            <w:pPr>
              <w:rPr>
                <w:rFonts w:ascii="宋体" w:hAnsi="宋体" w:cs="宋体"/>
                <w:color w:val="000000"/>
                <w:sz w:val="22"/>
                <w:szCs w:val="22"/>
                <w:highlight w:val="none"/>
              </w:rPr>
            </w:pPr>
          </w:p>
        </w:tc>
      </w:tr>
      <w:tr>
        <w:tblPrEx>
          <w:tblCellMar>
            <w:top w:w="0" w:type="dxa"/>
            <w:left w:w="108" w:type="dxa"/>
            <w:bottom w:w="0" w:type="dxa"/>
            <w:right w:w="108" w:type="dxa"/>
          </w:tblCellMar>
        </w:tblPrEx>
        <w:trPr>
          <w:gridAfter w:val="2"/>
          <w:wAfter w:w="878" w:type="dxa"/>
          <w:trHeight w:val="560" w:hRule="atLeast"/>
        </w:trPr>
        <w:tc>
          <w:tcPr>
            <w:tcW w:w="2410" w:type="dxa"/>
            <w:gridSpan w:val="4"/>
            <w:tcBorders>
              <w:top w:val="nil"/>
              <w:left w:val="nil"/>
              <w:bottom w:val="nil"/>
              <w:right w:val="nil"/>
            </w:tcBorders>
          </w:tcPr>
          <w:p>
            <w:pPr>
              <w:widowControl/>
              <w:jc w:val="center"/>
              <w:textAlignment w:val="center"/>
              <w:rPr>
                <w:rFonts w:ascii="仿宋_GB2312" w:hAnsi="宋体" w:eastAsia="仿宋_GB2312"/>
                <w:b/>
                <w:kern w:val="0"/>
                <w:sz w:val="32"/>
                <w:szCs w:val="32"/>
                <w:highlight w:val="none"/>
              </w:rPr>
            </w:pPr>
          </w:p>
        </w:tc>
        <w:tc>
          <w:tcPr>
            <w:tcW w:w="7196" w:type="dxa"/>
            <w:gridSpan w:val="9"/>
            <w:tcBorders>
              <w:top w:val="nil"/>
              <w:left w:val="nil"/>
              <w:bottom w:val="nil"/>
              <w:right w:val="nil"/>
            </w:tcBorders>
            <w:noWrap/>
            <w:vAlign w:val="center"/>
          </w:tcPr>
          <w:p>
            <w:pPr>
              <w:widowControl/>
              <w:textAlignment w:val="center"/>
              <w:rPr>
                <w:rFonts w:ascii="宋体" w:hAnsi="宋体" w:cs="宋体"/>
                <w:b/>
                <w:bCs/>
                <w:color w:val="000000"/>
                <w:sz w:val="28"/>
                <w:szCs w:val="28"/>
                <w:highlight w:val="none"/>
              </w:rPr>
            </w:pPr>
            <w:r>
              <w:rPr>
                <w:rFonts w:hint="eastAsia" w:ascii="仿宋_GB2312" w:hAnsi="宋体" w:eastAsia="仿宋_GB2312"/>
                <w:b/>
                <w:kern w:val="0"/>
                <w:sz w:val="32"/>
                <w:szCs w:val="32"/>
                <w:highlight w:val="none"/>
              </w:rPr>
              <w:t>国有资本经营预算支出情况表</w:t>
            </w:r>
          </w:p>
        </w:tc>
      </w:tr>
      <w:tr>
        <w:tblPrEx>
          <w:tblCellMar>
            <w:top w:w="0" w:type="dxa"/>
            <w:left w:w="108" w:type="dxa"/>
            <w:bottom w:w="0" w:type="dxa"/>
            <w:right w:w="108" w:type="dxa"/>
          </w:tblCellMar>
        </w:tblPrEx>
        <w:trPr>
          <w:gridAfter w:val="2"/>
          <w:wAfter w:w="878" w:type="dxa"/>
          <w:trHeight w:val="240" w:hRule="atLeast"/>
        </w:trPr>
        <w:tc>
          <w:tcPr>
            <w:tcW w:w="9153" w:type="dxa"/>
            <w:gridSpan w:val="12"/>
            <w:tcBorders>
              <w:top w:val="nil"/>
              <w:left w:val="nil"/>
              <w:bottom w:val="nil"/>
              <w:right w:val="nil"/>
            </w:tcBorders>
            <w:noWrap/>
            <w:vAlign w:val="center"/>
          </w:tcPr>
          <w:p>
            <w:pPr>
              <w:widowControl/>
              <w:spacing w:line="280" w:lineRule="exac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：昌吉回族自治州生态环境局呼图壁县分局     单位：万元</w:t>
            </w:r>
          </w:p>
        </w:tc>
        <w:tc>
          <w:tcPr>
            <w:tcW w:w="453" w:type="dxa"/>
            <w:tcBorders>
              <w:top w:val="nil"/>
              <w:left w:val="nil"/>
              <w:bottom w:val="nil"/>
              <w:right w:val="nil"/>
            </w:tcBorders>
            <w:noWrap/>
            <w:vAlign w:val="center"/>
          </w:tcPr>
          <w:p>
            <w:pPr>
              <w:widowControl/>
              <w:spacing w:line="280" w:lineRule="exact"/>
              <w:ind w:right="480"/>
              <w:jc w:val="center"/>
              <w:outlineLvl w:val="1"/>
              <w:rPr>
                <w:rFonts w:ascii="仿宋_GB2312" w:hAnsi="宋体" w:eastAsia="仿宋_GB2312"/>
                <w:kern w:val="0"/>
                <w:sz w:val="24"/>
                <w:highlight w:val="none"/>
              </w:rPr>
            </w:pPr>
          </w:p>
        </w:tc>
      </w:tr>
      <w:tr>
        <w:tblPrEx>
          <w:tblCellMar>
            <w:top w:w="0" w:type="dxa"/>
            <w:left w:w="108" w:type="dxa"/>
            <w:bottom w:w="0" w:type="dxa"/>
            <w:right w:w="108" w:type="dxa"/>
          </w:tblCellMar>
        </w:tblPrEx>
        <w:trPr>
          <w:gridAfter w:val="2"/>
          <w:wAfter w:w="878" w:type="dxa"/>
          <w:trHeight w:val="559" w:hRule="atLeast"/>
        </w:trPr>
        <w:tc>
          <w:tcPr>
            <w:tcW w:w="4695" w:type="dxa"/>
            <w:gridSpan w:val="8"/>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4911" w:type="dxa"/>
            <w:gridSpan w:val="5"/>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tblPrEx>
          <w:tblCellMar>
            <w:top w:w="0" w:type="dxa"/>
            <w:left w:w="108" w:type="dxa"/>
            <w:bottom w:w="0" w:type="dxa"/>
            <w:right w:w="108" w:type="dxa"/>
          </w:tblCellMar>
        </w:tblPrEx>
        <w:trPr>
          <w:gridAfter w:val="2"/>
          <w:wAfter w:w="878" w:type="dxa"/>
          <w:trHeight w:val="425" w:hRule="atLeast"/>
        </w:trPr>
        <w:tc>
          <w:tcPr>
            <w:tcW w:w="2802" w:type="dxa"/>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1893"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367" w:type="dxa"/>
            <w:vMerge w:val="restart"/>
            <w:tcBorders>
              <w:top w:val="single" w:color="000000" w:sz="4" w:space="0"/>
              <w:left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701" w:type="dxa"/>
            <w:gridSpan w:val="2"/>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843" w:type="dxa"/>
            <w:gridSpan w:val="2"/>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tblPrEx>
          <w:tblCellMar>
            <w:top w:w="0" w:type="dxa"/>
            <w:left w:w="108" w:type="dxa"/>
            <w:bottom w:w="0" w:type="dxa"/>
            <w:right w:w="108" w:type="dxa"/>
          </w:tblCellMar>
        </w:tblPrEx>
        <w:trPr>
          <w:gridAfter w:val="2"/>
          <w:wAfter w:w="878" w:type="dxa"/>
          <w:trHeight w:val="558"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1893"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highlight w:val="none"/>
              </w:rPr>
            </w:pPr>
          </w:p>
        </w:tc>
        <w:tc>
          <w:tcPr>
            <w:tcW w:w="1367" w:type="dxa"/>
            <w:vMerge w:val="continue"/>
            <w:tcBorders>
              <w:left w:val="single" w:color="000000" w:sz="4" w:space="0"/>
              <w:bottom w:val="single" w:color="000000" w:sz="4" w:space="0"/>
              <w:right w:val="single" w:color="000000" w:sz="4" w:space="0"/>
            </w:tcBorders>
          </w:tcPr>
          <w:p>
            <w:pPr>
              <w:jc w:val="center"/>
              <w:rPr>
                <w:rFonts w:ascii="宋体" w:hAnsi="宋体" w:cs="宋体"/>
                <w:b/>
                <w:bCs/>
                <w:color w:val="FF0000"/>
                <w:sz w:val="22"/>
                <w:szCs w:val="22"/>
                <w:highlight w:val="none"/>
              </w:rPr>
            </w:pPr>
          </w:p>
        </w:tc>
        <w:tc>
          <w:tcPr>
            <w:tcW w:w="1701" w:type="dxa"/>
            <w:gridSpan w:val="2"/>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highlight w:val="none"/>
              </w:rPr>
            </w:pPr>
          </w:p>
        </w:tc>
        <w:tc>
          <w:tcPr>
            <w:tcW w:w="1843" w:type="dxa"/>
            <w:gridSpan w:val="2"/>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highlight w:val="none"/>
              </w:rPr>
            </w:pPr>
          </w:p>
        </w:tc>
      </w:tr>
      <w:tr>
        <w:tblPrEx>
          <w:tblCellMar>
            <w:top w:w="0" w:type="dxa"/>
            <w:left w:w="108" w:type="dxa"/>
            <w:bottom w:w="0" w:type="dxa"/>
            <w:right w:w="108" w:type="dxa"/>
          </w:tblCellMar>
        </w:tblPrEx>
        <w:trPr>
          <w:gridAfter w:val="2"/>
          <w:wAfter w:w="878" w:type="dxa"/>
          <w:trHeight w:val="582"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28"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8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60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6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4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86"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8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646"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r>
      <w:tr>
        <w:tblPrEx>
          <w:tblCellMar>
            <w:top w:w="0" w:type="dxa"/>
            <w:left w:w="108" w:type="dxa"/>
            <w:bottom w:w="0" w:type="dxa"/>
            <w:right w:w="108" w:type="dxa"/>
          </w:tblCellMar>
        </w:tblPrEx>
        <w:trPr>
          <w:gridAfter w:val="2"/>
          <w:wAfter w:w="878" w:type="dxa"/>
          <w:trHeight w:val="597"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2"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highlight w:val="none"/>
              </w:rPr>
            </w:pPr>
          </w:p>
        </w:tc>
        <w:tc>
          <w:tcPr>
            <w:tcW w:w="993"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p>
        </w:tc>
        <w:tc>
          <w:tcPr>
            <w:tcW w:w="1893"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0"/>
                <w:szCs w:val="20"/>
                <w:highlight w:val="none"/>
              </w:rPr>
              <w:t>合计</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c>
          <w:tcPr>
            <w:tcW w:w="1701" w:type="dxa"/>
            <w:gridSpan w:val="2"/>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highlight w:val="none"/>
              </w:rPr>
            </w:pPr>
          </w:p>
        </w:tc>
        <w:tc>
          <w:tcPr>
            <w:tcW w:w="184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80" w:lineRule="exact"/>
              <w:jc w:val="right"/>
              <w:rPr>
                <w:rFonts w:ascii="宋体" w:hAnsi="宋体" w:cs="宋体"/>
                <w:color w:val="000000"/>
                <w:kern w:val="0"/>
                <w:sz w:val="24"/>
                <w:highlight w:val="none"/>
              </w:rPr>
            </w:pPr>
          </w:p>
        </w:tc>
      </w:tr>
    </w:tbl>
    <w:p>
      <w:pPr>
        <w:widowControl/>
        <w:spacing w:line="280" w:lineRule="exact"/>
        <w:outlineLvl w:val="1"/>
        <w:rPr>
          <w:rFonts w:ascii="仿宋_GB2312" w:hAnsi="宋体" w:eastAsia="仿宋_GB2312"/>
          <w:b/>
          <w:kern w:val="0"/>
          <w:sz w:val="28"/>
          <w:szCs w:val="32"/>
          <w:highlight w:val="none"/>
        </w:rPr>
      </w:pPr>
    </w:p>
    <w:p>
      <w:pPr>
        <w:widowControl/>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28"/>
          <w:highlight w:val="none"/>
        </w:rPr>
        <w:t>昌吉回族自治州生态环境局呼图壁县分局</w:t>
      </w:r>
      <w:r>
        <w:rPr>
          <w:rFonts w:hint="eastAsia" w:ascii="仿宋_GB2312" w:hAnsi="宋体" w:eastAsia="仿宋_GB2312" w:cs="宋体"/>
          <w:b/>
          <w:bCs/>
          <w:color w:val="000000"/>
          <w:kern w:val="0"/>
          <w:sz w:val="28"/>
          <w:szCs w:val="28"/>
          <w:highlight w:val="none"/>
        </w:rPr>
        <w:t>2024年无国有资本经营预算支出，此表为空表</w:t>
      </w:r>
      <w:r>
        <w:rPr>
          <w:rFonts w:hint="eastAsia" w:ascii="仿宋_GB2312" w:hAnsi="宋体" w:eastAsia="仿宋_GB2312"/>
          <w:b/>
          <w:kern w:val="0"/>
          <w:sz w:val="28"/>
          <w:szCs w:val="32"/>
          <w:highlight w:val="none"/>
        </w:rPr>
        <w:t>。</w:t>
      </w:r>
    </w:p>
    <w:p>
      <w:pPr>
        <w:widowControl/>
        <w:spacing w:line="280" w:lineRule="exact"/>
        <w:outlineLvl w:val="1"/>
        <w:rPr>
          <w:rFonts w:ascii="仿宋_GB2312" w:hAnsi="宋体" w:eastAsia="仿宋_GB2312"/>
          <w:b/>
          <w:kern w:val="0"/>
          <w:sz w:val="28"/>
          <w:szCs w:val="32"/>
          <w:highlight w:val="none"/>
        </w:rPr>
      </w:pPr>
    </w:p>
    <w:p>
      <w:pPr>
        <w:widowControl/>
        <w:spacing w:line="280" w:lineRule="exact"/>
        <w:outlineLvl w:val="1"/>
        <w:rPr>
          <w:rFonts w:ascii="仿宋_GB2312" w:hAnsi="宋体" w:eastAsia="仿宋_GB2312"/>
          <w:b/>
          <w:kern w:val="0"/>
          <w:sz w:val="28"/>
          <w:szCs w:val="32"/>
          <w:highlight w:val="none"/>
        </w:rPr>
      </w:pPr>
    </w:p>
    <w:p>
      <w:pPr>
        <w:pStyle w:val="2"/>
        <w:ind w:left="0" w:leftChars="0" w:firstLine="0" w:firstLineChars="0"/>
        <w:rPr>
          <w:rFonts w:ascii="仿宋_GB2312" w:hAnsi="宋体" w:eastAsia="仿宋_GB2312"/>
          <w:b/>
          <w:kern w:val="0"/>
          <w:sz w:val="28"/>
          <w:szCs w:val="32"/>
          <w:highlight w:val="none"/>
        </w:rPr>
      </w:pPr>
    </w:p>
    <w:p>
      <w:pPr>
        <w:widowControl/>
        <w:jc w:val="left"/>
        <w:textAlignment w:val="bottom"/>
        <w:rPr>
          <w:rFonts w:ascii="宋体" w:hAnsi="宋体" w:cs="宋体"/>
          <w:color w:val="000000"/>
          <w:kern w:val="0"/>
          <w:sz w:val="20"/>
          <w:szCs w:val="20"/>
          <w:highlight w:val="none"/>
        </w:rPr>
      </w:pPr>
    </w:p>
    <w:p>
      <w:pPr>
        <w:widowControl/>
        <w:jc w:val="left"/>
        <w:textAlignment w:val="bottom"/>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表</w:t>
      </w:r>
      <w:r>
        <w:rPr>
          <w:rFonts w:ascii="宋体" w:hAnsi="宋体" w:cs="宋体"/>
          <w:color w:val="000000"/>
          <w:kern w:val="0"/>
          <w:sz w:val="20"/>
          <w:szCs w:val="20"/>
          <w:highlight w:val="none"/>
        </w:rPr>
        <w:t>10</w:t>
      </w:r>
    </w:p>
    <w:p>
      <w:pPr>
        <w:widowControl/>
        <w:jc w:val="center"/>
        <w:rPr>
          <w:rFonts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pPr>
        <w:widowControl/>
        <w:jc w:val="center"/>
        <w:rPr>
          <w:rFonts w:ascii="仿宋_GB2312" w:hAnsi="宋体" w:eastAsia="仿宋_GB2312"/>
          <w:kern w:val="0"/>
          <w:sz w:val="24"/>
          <w:highlight w:val="none"/>
        </w:rPr>
      </w:pPr>
      <w:r>
        <w:rPr>
          <w:rFonts w:hint="eastAsia" w:ascii="仿宋_GB2312" w:hAnsi="宋体" w:eastAsia="仿宋_GB2312"/>
          <w:kern w:val="0"/>
          <w:sz w:val="24"/>
          <w:highlight w:val="none"/>
        </w:rPr>
        <w:t>编制部门</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kern w:val="0"/>
          <w:sz w:val="24"/>
          <w:highlight w:val="none"/>
        </w:rPr>
        <w:t>：昌吉回族自治州生态环境局呼图壁县分局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70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三公支出内容</w:t>
            </w:r>
          </w:p>
        </w:tc>
        <w:tc>
          <w:tcPr>
            <w:tcW w:w="1215" w:type="dxa"/>
            <w:vMerge w:val="restart"/>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合计</w:t>
            </w:r>
          </w:p>
        </w:tc>
        <w:tc>
          <w:tcPr>
            <w:tcW w:w="4530" w:type="dxa"/>
            <w:gridSpan w:val="3"/>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highlight w:val="none"/>
              </w:rPr>
            </w:pPr>
          </w:p>
        </w:tc>
        <w:tc>
          <w:tcPr>
            <w:tcW w:w="1215" w:type="dxa"/>
            <w:vMerge w:val="continue"/>
          </w:tcPr>
          <w:p>
            <w:pPr>
              <w:widowControl/>
              <w:outlineLvl w:val="1"/>
              <w:rPr>
                <w:rFonts w:ascii="仿宋_GB2312" w:hAnsi="宋体" w:eastAsia="仿宋_GB2312"/>
                <w:b/>
                <w:kern w:val="0"/>
                <w:sz w:val="28"/>
                <w:szCs w:val="32"/>
                <w:highlight w:val="none"/>
              </w:rPr>
            </w:pPr>
          </w:p>
        </w:tc>
        <w:tc>
          <w:tcPr>
            <w:tcW w:w="1314"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一般公共预算</w:t>
            </w:r>
          </w:p>
        </w:tc>
        <w:tc>
          <w:tcPr>
            <w:tcW w:w="1706"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政府性基金</w:t>
            </w:r>
          </w:p>
        </w:tc>
        <w:tc>
          <w:tcPr>
            <w:tcW w:w="1510" w:type="dxa"/>
            <w:vAlign w:val="center"/>
          </w:tcPr>
          <w:p>
            <w:pPr>
              <w:widowControl/>
              <w:jc w:val="center"/>
              <w:outlineLvl w:val="1"/>
              <w:rPr>
                <w:rFonts w:ascii="仿宋_GB2312" w:hAnsi="宋体" w:eastAsia="仿宋_GB2312"/>
                <w:b/>
                <w:kern w:val="0"/>
                <w:sz w:val="28"/>
                <w:szCs w:val="32"/>
                <w:highlight w:val="none"/>
              </w:rPr>
            </w:pPr>
            <w:r>
              <w:rPr>
                <w:rFonts w:hint="eastAsia" w:ascii="仿宋_GB2312" w:hAnsi="宋体" w:eastAsia="仿宋_GB2312"/>
                <w:b/>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合计</w:t>
            </w:r>
          </w:p>
        </w:tc>
        <w:tc>
          <w:tcPr>
            <w:tcW w:w="1215"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3.47</w:t>
            </w:r>
          </w:p>
        </w:tc>
        <w:tc>
          <w:tcPr>
            <w:tcW w:w="1314"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3.47</w:t>
            </w: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因公出国（境）费</w:t>
            </w:r>
          </w:p>
        </w:tc>
        <w:tc>
          <w:tcPr>
            <w:tcW w:w="1215" w:type="dxa"/>
            <w:vAlign w:val="center"/>
          </w:tcPr>
          <w:p>
            <w:pPr>
              <w:widowControl/>
              <w:jc w:val="right"/>
              <w:outlineLvl w:val="1"/>
              <w:rPr>
                <w:rFonts w:ascii="仿宋_GB2312" w:hAnsi="宋体" w:eastAsia="仿宋_GB2312"/>
                <w:b/>
                <w:kern w:val="0"/>
                <w:sz w:val="24"/>
                <w:highlight w:val="none"/>
              </w:rPr>
            </w:pPr>
          </w:p>
        </w:tc>
        <w:tc>
          <w:tcPr>
            <w:tcW w:w="1314" w:type="dxa"/>
            <w:vAlign w:val="center"/>
          </w:tcPr>
          <w:p>
            <w:pPr>
              <w:widowControl/>
              <w:jc w:val="right"/>
              <w:outlineLvl w:val="1"/>
              <w:rPr>
                <w:rFonts w:ascii="仿宋_GB2312" w:hAnsi="宋体" w:eastAsia="仿宋_GB2312"/>
                <w:b/>
                <w:kern w:val="0"/>
                <w:sz w:val="24"/>
                <w:highlight w:val="none"/>
              </w:rPr>
            </w:pP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公务接待费</w:t>
            </w:r>
          </w:p>
        </w:tc>
        <w:tc>
          <w:tcPr>
            <w:tcW w:w="1215"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0.27</w:t>
            </w:r>
          </w:p>
        </w:tc>
        <w:tc>
          <w:tcPr>
            <w:tcW w:w="1314"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0.27</w:t>
            </w: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公务用车购置及运行费</w:t>
            </w:r>
          </w:p>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（小计）</w:t>
            </w:r>
          </w:p>
        </w:tc>
        <w:tc>
          <w:tcPr>
            <w:tcW w:w="1215"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3.20</w:t>
            </w:r>
          </w:p>
        </w:tc>
        <w:tc>
          <w:tcPr>
            <w:tcW w:w="1314"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3.20</w:t>
            </w: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3818" w:type="dxa"/>
            <w:vAlign w:val="center"/>
          </w:tcPr>
          <w:p>
            <w:pPr>
              <w:widowControl/>
              <w:ind w:firstLine="241" w:firstLineChars="100"/>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其中：公务用车购置费</w:t>
            </w:r>
          </w:p>
        </w:tc>
        <w:tc>
          <w:tcPr>
            <w:tcW w:w="1215"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0</w:t>
            </w:r>
          </w:p>
        </w:tc>
        <w:tc>
          <w:tcPr>
            <w:tcW w:w="1314"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0</w:t>
            </w: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818" w:type="dxa"/>
            <w:vAlign w:val="center"/>
          </w:tcPr>
          <w:p>
            <w:pPr>
              <w:widowControl/>
              <w:jc w:val="center"/>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公务用车运行费</w:t>
            </w:r>
          </w:p>
        </w:tc>
        <w:tc>
          <w:tcPr>
            <w:tcW w:w="1215"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3.20</w:t>
            </w:r>
          </w:p>
        </w:tc>
        <w:tc>
          <w:tcPr>
            <w:tcW w:w="1314" w:type="dxa"/>
            <w:vAlign w:val="center"/>
          </w:tcPr>
          <w:p>
            <w:pPr>
              <w:widowControl/>
              <w:jc w:val="right"/>
              <w:outlineLvl w:val="1"/>
              <w:rPr>
                <w:rFonts w:ascii="仿宋_GB2312" w:hAnsi="宋体" w:eastAsia="仿宋_GB2312"/>
                <w:b/>
                <w:kern w:val="0"/>
                <w:sz w:val="24"/>
                <w:highlight w:val="none"/>
              </w:rPr>
            </w:pPr>
            <w:r>
              <w:rPr>
                <w:rFonts w:hint="eastAsia" w:ascii="仿宋_GB2312" w:hAnsi="宋体" w:eastAsia="仿宋_GB2312"/>
                <w:b/>
                <w:kern w:val="0"/>
                <w:sz w:val="24"/>
                <w:highlight w:val="none"/>
              </w:rPr>
              <w:t>3.20</w:t>
            </w:r>
          </w:p>
        </w:tc>
        <w:tc>
          <w:tcPr>
            <w:tcW w:w="1706" w:type="dxa"/>
            <w:vAlign w:val="center"/>
          </w:tcPr>
          <w:p>
            <w:pPr>
              <w:widowControl/>
              <w:jc w:val="right"/>
              <w:outlineLvl w:val="1"/>
              <w:rPr>
                <w:rFonts w:ascii="仿宋_GB2312" w:hAnsi="宋体" w:eastAsia="仿宋_GB2312"/>
                <w:b/>
                <w:kern w:val="0"/>
                <w:sz w:val="24"/>
                <w:highlight w:val="none"/>
              </w:rPr>
            </w:pPr>
          </w:p>
        </w:tc>
        <w:tc>
          <w:tcPr>
            <w:tcW w:w="1510" w:type="dxa"/>
            <w:vAlign w:val="center"/>
          </w:tcPr>
          <w:p>
            <w:pPr>
              <w:widowControl/>
              <w:jc w:val="right"/>
              <w:outlineLvl w:val="1"/>
              <w:rPr>
                <w:rFonts w:ascii="仿宋_GB2312" w:hAnsi="宋体" w:eastAsia="仿宋_GB2312"/>
                <w:b/>
                <w:kern w:val="0"/>
                <w:sz w:val="24"/>
                <w:highlight w:val="none"/>
              </w:rPr>
            </w:pPr>
          </w:p>
        </w:tc>
      </w:tr>
    </w:tbl>
    <w:p>
      <w:pPr>
        <w:pStyle w:val="2"/>
        <w:ind w:left="0" w:leftChars="0" w:firstLine="0" w:firstLineChars="0"/>
        <w:rPr>
          <w:highlight w:val="none"/>
        </w:rPr>
        <w:sectPr>
          <w:footerReference r:id="rId4" w:type="default"/>
          <w:pgSz w:w="11906" w:h="16838"/>
          <w:pgMar w:top="1701" w:right="1531" w:bottom="1701" w:left="1531" w:header="851" w:footer="992" w:gutter="0"/>
          <w:pgNumType w:fmt="numberInDash" w:start="56"/>
          <w:cols w:space="720" w:num="1"/>
          <w:docGrid w:linePitch="312" w:charSpace="0"/>
        </w:sectPr>
      </w:pPr>
    </w:p>
    <w:p>
      <w:pPr>
        <w:widowControl/>
        <w:jc w:val="left"/>
        <w:textAlignment w:val="bottom"/>
        <w:rPr>
          <w:rFonts w:ascii="仿宋" w:hAnsi="仿宋" w:eastAsia="仿宋" w:cs="仿宋_GB2312"/>
          <w:bCs/>
          <w:kern w:val="0"/>
          <w:sz w:val="28"/>
          <w:szCs w:val="28"/>
          <w:highlight w:val="none"/>
        </w:rPr>
      </w:pPr>
      <w:r>
        <w:rPr>
          <w:rFonts w:hint="eastAsia" w:ascii="宋体" w:hAnsi="宋体" w:cs="宋体"/>
          <w:kern w:val="0"/>
          <w:sz w:val="20"/>
          <w:szCs w:val="20"/>
          <w:highlight w:val="none"/>
        </w:rPr>
        <w:t>表</w:t>
      </w:r>
      <w:r>
        <w:rPr>
          <w:rFonts w:ascii="宋体" w:hAnsi="宋体" w:cs="宋体"/>
          <w:kern w:val="0"/>
          <w:sz w:val="20"/>
          <w:szCs w:val="20"/>
          <w:highlight w:val="none"/>
        </w:rPr>
        <w:t>1</w:t>
      </w:r>
      <w:r>
        <w:rPr>
          <w:rFonts w:hint="eastAsia" w:ascii="宋体" w:hAnsi="宋体" w:cs="宋体"/>
          <w:kern w:val="0"/>
          <w:sz w:val="20"/>
          <w:szCs w:val="20"/>
          <w:highlight w:val="none"/>
        </w:rPr>
        <w:t>1</w:t>
      </w:r>
    </w:p>
    <w:p>
      <w:pPr>
        <w:spacing w:line="600" w:lineRule="exact"/>
        <w:ind w:firstLine="2520" w:firstLineChars="900"/>
        <w:rPr>
          <w:rFonts w:ascii="仿宋" w:hAnsi="仿宋" w:eastAsia="仿宋" w:cs="仿宋_GB2312"/>
          <w:bCs/>
          <w:kern w:val="0"/>
          <w:sz w:val="28"/>
          <w:szCs w:val="28"/>
          <w:highlight w:val="none"/>
        </w:rPr>
      </w:pPr>
      <w:r>
        <w:rPr>
          <w:rFonts w:hint="eastAsia" w:ascii="仿宋" w:hAnsi="仿宋" w:eastAsia="仿宋" w:cs="仿宋_GB2312"/>
          <w:bCs/>
          <w:kern w:val="0"/>
          <w:sz w:val="28"/>
          <w:szCs w:val="28"/>
          <w:highlight w:val="none"/>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highlight w:val="none"/>
              </w:rPr>
            </w:pPr>
          </w:p>
        </w:tc>
        <w:tc>
          <w:tcPr>
            <w:tcW w:w="850" w:type="dxa"/>
            <w:vAlign w:val="center"/>
          </w:tcPr>
          <w:p>
            <w:pPr>
              <w:spacing w:line="600" w:lineRule="exact"/>
              <w:jc w:val="center"/>
              <w:rPr>
                <w:rFonts w:ascii="仿宋" w:hAnsi="仿宋" w:eastAsia="仿宋" w:cs="仿宋_GB2312"/>
                <w:bCs/>
                <w:kern w:val="0"/>
                <w:sz w:val="28"/>
                <w:szCs w:val="28"/>
                <w:highlight w:val="none"/>
              </w:rPr>
            </w:pPr>
          </w:p>
        </w:tc>
        <w:tc>
          <w:tcPr>
            <w:tcW w:w="1054" w:type="dxa"/>
            <w:vAlign w:val="center"/>
          </w:tcPr>
          <w:p>
            <w:pPr>
              <w:spacing w:line="600" w:lineRule="exact"/>
              <w:jc w:val="center"/>
              <w:rPr>
                <w:rFonts w:ascii="仿宋" w:hAnsi="仿宋" w:eastAsia="仿宋" w:cs="仿宋_GB2312"/>
                <w:bCs/>
                <w:kern w:val="0"/>
                <w:sz w:val="28"/>
                <w:szCs w:val="28"/>
                <w:highlight w:val="none"/>
              </w:rPr>
            </w:pPr>
          </w:p>
        </w:tc>
        <w:tc>
          <w:tcPr>
            <w:tcW w:w="890"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714" w:type="dxa"/>
            <w:vAlign w:val="center"/>
          </w:tcPr>
          <w:p>
            <w:pPr>
              <w:widowControl/>
              <w:spacing w:line="280" w:lineRule="exact"/>
              <w:jc w:val="center"/>
              <w:rPr>
                <w:rFonts w:ascii="仿宋_GB2312" w:hAnsi="宋体" w:eastAsia="仿宋_GB2312" w:cs="宋体"/>
                <w:b/>
                <w:bCs/>
                <w:kern w:val="0"/>
                <w:sz w:val="20"/>
                <w:szCs w:val="20"/>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c>
          <w:tcPr>
            <w:tcW w:w="797" w:type="dxa"/>
            <w:vAlign w:val="center"/>
          </w:tcPr>
          <w:p>
            <w:pPr>
              <w:spacing w:line="600" w:lineRule="exact"/>
              <w:jc w:val="center"/>
              <w:rPr>
                <w:rFonts w:ascii="仿宋" w:hAnsi="仿宋" w:eastAsia="仿宋" w:cs="仿宋_GB2312"/>
                <w:bCs/>
                <w:kern w:val="0"/>
                <w:sz w:val="28"/>
                <w:szCs w:val="28"/>
                <w:highlight w:val="none"/>
              </w:rPr>
            </w:pPr>
          </w:p>
        </w:tc>
        <w:tc>
          <w:tcPr>
            <w:tcW w:w="723" w:type="dxa"/>
            <w:vAlign w:val="center"/>
          </w:tcPr>
          <w:p>
            <w:pPr>
              <w:spacing w:line="600" w:lineRule="exact"/>
              <w:jc w:val="center"/>
              <w:rPr>
                <w:rFonts w:ascii="仿宋" w:hAnsi="仿宋" w:eastAsia="仿宋" w:cs="仿宋_GB2312"/>
                <w:bCs/>
                <w:kern w:val="0"/>
                <w:sz w:val="28"/>
                <w:szCs w:val="28"/>
                <w:highlight w:val="none"/>
              </w:rPr>
            </w:pPr>
          </w:p>
        </w:tc>
        <w:tc>
          <w:tcPr>
            <w:tcW w:w="881" w:type="dxa"/>
            <w:vAlign w:val="center"/>
          </w:tcPr>
          <w:p>
            <w:pPr>
              <w:spacing w:line="600" w:lineRule="exact"/>
              <w:jc w:val="center"/>
              <w:rPr>
                <w:rFonts w:ascii="仿宋" w:hAnsi="仿宋" w:eastAsia="仿宋" w:cs="仿宋_GB2312"/>
                <w:bCs/>
                <w:kern w:val="0"/>
                <w:sz w:val="28"/>
                <w:szCs w:val="28"/>
                <w:highlight w:val="none"/>
              </w:rPr>
            </w:pPr>
          </w:p>
        </w:tc>
        <w:tc>
          <w:tcPr>
            <w:tcW w:w="1211" w:type="dxa"/>
            <w:vAlign w:val="center"/>
          </w:tcPr>
          <w:p>
            <w:pPr>
              <w:spacing w:line="600" w:lineRule="exact"/>
              <w:jc w:val="center"/>
              <w:rPr>
                <w:rFonts w:ascii="仿宋" w:hAnsi="仿宋" w:eastAsia="仿宋" w:cs="仿宋_GB2312"/>
                <w:bCs/>
                <w:kern w:val="0"/>
                <w:sz w:val="28"/>
                <w:szCs w:val="28"/>
                <w:highlight w:val="none"/>
              </w:rPr>
            </w:pPr>
          </w:p>
        </w:tc>
      </w:tr>
    </w:tbl>
    <w:p>
      <w:pPr>
        <w:spacing w:line="560" w:lineRule="exact"/>
        <w:jc w:val="left"/>
        <w:rPr>
          <w:rFonts w:ascii="黑体" w:hAnsi="黑体" w:eastAsia="黑体"/>
          <w:kern w:val="0"/>
          <w:sz w:val="32"/>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28"/>
          <w:highlight w:val="none"/>
        </w:rPr>
        <w:t>昌吉回族自治州生态环境局呼图壁县分局</w:t>
      </w:r>
      <w:r>
        <w:rPr>
          <w:rFonts w:hint="eastAsia" w:ascii="仿宋_GB2312" w:hAnsi="宋体" w:eastAsia="仿宋_GB2312" w:cs="宋体"/>
          <w:b/>
          <w:bCs/>
          <w:color w:val="000000"/>
          <w:kern w:val="0"/>
          <w:sz w:val="28"/>
          <w:szCs w:val="28"/>
          <w:highlight w:val="none"/>
        </w:rPr>
        <w:t>2024年无上年结转结余，此表为空表</w:t>
      </w:r>
      <w:r>
        <w:rPr>
          <w:rFonts w:hint="eastAsia" w:ascii="仿宋_GB2312" w:hAnsi="宋体" w:eastAsia="仿宋_GB2312"/>
          <w:b/>
          <w:kern w:val="0"/>
          <w:sz w:val="28"/>
          <w:szCs w:val="32"/>
          <w:highlight w:val="none"/>
        </w:rPr>
        <w:t>。</w:t>
      </w:r>
      <w:r>
        <w:rPr>
          <w:rFonts w:hint="eastAsia" w:ascii="黑体" w:hAnsi="黑体" w:eastAsia="黑体"/>
          <w:kern w:val="0"/>
          <w:sz w:val="32"/>
          <w:szCs w:val="32"/>
          <w:highlight w:val="none"/>
        </w:rPr>
        <w:br w:type="textWrapping"/>
      </w:r>
    </w:p>
    <w:p>
      <w:pPr>
        <w:pStyle w:val="2"/>
        <w:ind w:firstLine="640"/>
        <w:rPr>
          <w:rFonts w:ascii="黑体" w:hAnsi="黑体" w:eastAsia="黑体"/>
          <w:kern w:val="0"/>
          <w:sz w:val="32"/>
          <w:szCs w:val="32"/>
          <w:highlight w:val="none"/>
        </w:rPr>
      </w:pPr>
    </w:p>
    <w:p>
      <w:pPr>
        <w:pStyle w:val="2"/>
        <w:ind w:firstLine="640"/>
        <w:rPr>
          <w:rFonts w:ascii="黑体" w:hAnsi="黑体" w:eastAsia="黑体"/>
          <w:kern w:val="0"/>
          <w:sz w:val="32"/>
          <w:szCs w:val="32"/>
          <w:highlight w:val="none"/>
        </w:rPr>
      </w:pPr>
    </w:p>
    <w:p>
      <w:pPr>
        <w:pStyle w:val="2"/>
        <w:ind w:firstLine="640"/>
        <w:rPr>
          <w:rFonts w:ascii="黑体" w:hAnsi="黑体" w:eastAsia="黑体"/>
          <w:kern w:val="0"/>
          <w:sz w:val="32"/>
          <w:szCs w:val="32"/>
          <w:highlight w:val="none"/>
        </w:rPr>
      </w:pPr>
    </w:p>
    <w:p>
      <w:pPr>
        <w:pStyle w:val="2"/>
        <w:ind w:firstLine="640"/>
        <w:rPr>
          <w:rFonts w:ascii="黑体" w:hAnsi="黑体" w:eastAsia="黑体"/>
          <w:kern w:val="0"/>
          <w:sz w:val="32"/>
          <w:szCs w:val="32"/>
          <w:highlight w:val="none"/>
        </w:rPr>
      </w:pPr>
    </w:p>
    <w:p>
      <w:pPr>
        <w:pStyle w:val="2"/>
        <w:ind w:firstLine="640"/>
        <w:rPr>
          <w:rFonts w:ascii="黑体" w:hAnsi="黑体" w:eastAsia="黑体"/>
          <w:kern w:val="0"/>
          <w:sz w:val="32"/>
          <w:szCs w:val="32"/>
          <w:highlight w:val="none"/>
        </w:rPr>
      </w:pPr>
    </w:p>
    <w:p>
      <w:pPr>
        <w:pStyle w:val="2"/>
        <w:ind w:firstLine="640"/>
        <w:rPr>
          <w:rFonts w:ascii="黑体" w:hAnsi="黑体" w:eastAsia="黑体"/>
          <w:kern w:val="0"/>
          <w:sz w:val="32"/>
          <w:szCs w:val="32"/>
          <w:highlight w:val="none"/>
        </w:rPr>
        <w:sectPr>
          <w:pgSz w:w="11906" w:h="16838"/>
          <w:pgMar w:top="1440" w:right="1800" w:bottom="1440" w:left="1800" w:header="851" w:footer="992" w:gutter="0"/>
          <w:cols w:space="720" w:num="1"/>
          <w:docGrid w:type="lines" w:linePitch="312" w:charSpace="0"/>
        </w:sectPr>
      </w:pPr>
    </w:p>
    <w:p>
      <w:pPr>
        <w:spacing w:line="56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第三部分 2024年单位预算情况说明</w:t>
      </w:r>
    </w:p>
    <w:p>
      <w:pPr>
        <w:spacing w:line="560" w:lineRule="exact"/>
        <w:ind w:firstLine="640" w:firstLineChars="200"/>
        <w:rPr>
          <w:rFonts w:ascii="黑体" w:hAnsi="黑体" w:eastAsia="黑体"/>
          <w:kern w:val="0"/>
          <w:sz w:val="32"/>
          <w:szCs w:val="32"/>
          <w:highlight w:val="none"/>
        </w:rPr>
      </w:pPr>
    </w:p>
    <w:p>
      <w:pPr>
        <w:spacing w:line="560" w:lineRule="exact"/>
        <w:ind w:firstLine="643" w:firstLineChars="200"/>
        <w:rPr>
          <w:rFonts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一、关于昌吉回族自治州生态环境局呼图壁县分局2024年收支预算情况的总体说明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按照全口径预算的原则，昌吉回族自治州生态环境局呼图壁县分局2024年所有收入和支出均纳入昌吉回族自治州生态环境局呼图壁县分局预算管理。收支总预算224.16万元。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收入预算包括：一般公共预算152.97万元、单位资金71.19万元。</w:t>
      </w:r>
    </w:p>
    <w:p>
      <w:pPr>
        <w:spacing w:line="600" w:lineRule="exact"/>
        <w:ind w:firstLine="640" w:firstLineChars="200"/>
        <w:rPr>
          <w:rFonts w:ascii="仿宋" w:hAnsi="仿宋" w:eastAsia="仿宋" w:cs="仿宋"/>
          <w:color w:val="000000"/>
          <w:kern w:val="0"/>
          <w:sz w:val="31"/>
          <w:szCs w:val="31"/>
          <w:highlight w:val="none"/>
        </w:rPr>
      </w:pPr>
      <w:r>
        <w:rPr>
          <w:rFonts w:hint="eastAsia" w:ascii="仿宋_GB2312" w:hAnsi="宋体" w:eastAsia="仿宋_GB2312" w:cs="宋体"/>
          <w:kern w:val="0"/>
          <w:sz w:val="32"/>
          <w:szCs w:val="32"/>
          <w:highlight w:val="none"/>
        </w:rPr>
        <w:t>支出预算包括：社会保障和就业支出43.23万元、医疗卫生健康支出20.04万元、节能环保支出138.05万元、住房保障支出22.84万元。</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二、关于昌吉回族自治州生态环境局呼图壁县分局2024年收入预算情况说明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昌吉回族自治州生态环境局呼图壁县分局2024年收入预算224.16万元，其中：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一般公共预算152.97万元，占68.24%，比上年预算减少79.2万元，下降34.11%，主要原因是人员减少，人员经费减少；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上级一般公共预算安排的转移支付资金未安排。</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上级</w:t>
      </w:r>
      <w:r>
        <w:rPr>
          <w:rFonts w:hint="eastAsia" w:ascii="仿宋_GB2312" w:hAnsi="宋体" w:eastAsia="仿宋_GB2312" w:cs="宋体"/>
          <w:kern w:val="0"/>
          <w:sz w:val="32"/>
          <w:szCs w:val="32"/>
          <w:highlight w:val="none"/>
        </w:rPr>
        <w:t>政府性基金预算安排</w:t>
      </w:r>
      <w:r>
        <w:rPr>
          <w:rFonts w:hint="eastAsia" w:ascii="仿宋_GB2312" w:hAnsi="宋体" w:eastAsia="仿宋_GB2312" w:cs="宋体"/>
          <w:kern w:val="0"/>
          <w:sz w:val="32"/>
          <w:szCs w:val="32"/>
          <w:highlight w:val="none"/>
          <w:lang w:val="en-US" w:eastAsia="zh-CN"/>
        </w:rPr>
        <w:t>的转移支付资金未安排</w:t>
      </w:r>
      <w:r>
        <w:rPr>
          <w:rFonts w:hint="eastAsia" w:ascii="仿宋_GB2312" w:hAnsi="宋体" w:eastAsia="仿宋_GB2312" w:cs="宋体"/>
          <w:kern w:val="0"/>
          <w:sz w:val="32"/>
          <w:szCs w:val="32"/>
          <w:highlight w:val="none"/>
        </w:rPr>
        <w:t>。</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上级</w:t>
      </w:r>
      <w:r>
        <w:rPr>
          <w:rFonts w:hint="eastAsia" w:ascii="仿宋_GB2312" w:hAnsi="宋体" w:eastAsia="仿宋_GB2312" w:cs="宋体"/>
          <w:kern w:val="0"/>
          <w:sz w:val="32"/>
          <w:szCs w:val="32"/>
          <w:highlight w:val="none"/>
        </w:rPr>
        <w:t>国有资本经营预算安排</w:t>
      </w:r>
      <w:r>
        <w:rPr>
          <w:rFonts w:hint="eastAsia" w:ascii="仿宋_GB2312" w:hAnsi="宋体" w:eastAsia="仿宋_GB2312" w:cs="宋体"/>
          <w:kern w:val="0"/>
          <w:sz w:val="32"/>
          <w:szCs w:val="32"/>
          <w:highlight w:val="none"/>
          <w:lang w:val="en-US" w:eastAsia="zh-CN"/>
        </w:rPr>
        <w:t>的转移支付资金未安排</w:t>
      </w:r>
      <w:r>
        <w:rPr>
          <w:rFonts w:hint="eastAsia" w:ascii="仿宋_GB2312" w:hAnsi="宋体" w:eastAsia="仿宋_GB2312" w:cs="宋体"/>
          <w:kern w:val="0"/>
          <w:sz w:val="32"/>
          <w:szCs w:val="32"/>
          <w:highlight w:val="none"/>
        </w:rPr>
        <w:t>。</w:t>
      </w:r>
    </w:p>
    <w:p>
      <w:pPr>
        <w:spacing w:line="600" w:lineRule="exact"/>
        <w:ind w:firstLine="640" w:firstLineChars="200"/>
        <w:rPr>
          <w:rFonts w:ascii="仿宋" w:hAnsi="仿宋" w:eastAsia="仿宋" w:cs="仿宋"/>
          <w:color w:val="000000"/>
          <w:kern w:val="0"/>
          <w:sz w:val="31"/>
          <w:szCs w:val="31"/>
          <w:highlight w:val="none"/>
        </w:rPr>
      </w:pPr>
      <w:r>
        <w:rPr>
          <w:rFonts w:hint="eastAsia" w:ascii="仿宋_GB2312" w:hAnsi="宋体" w:eastAsia="仿宋_GB2312" w:cs="宋体"/>
          <w:kern w:val="0"/>
          <w:sz w:val="32"/>
          <w:szCs w:val="32"/>
          <w:highlight w:val="none"/>
        </w:rPr>
        <w:t>单位</w:t>
      </w:r>
      <w:r>
        <w:rPr>
          <w:rFonts w:hint="eastAsia" w:ascii="仿宋_GB2312" w:hAnsi="宋体" w:eastAsia="仿宋_GB2312" w:cs="宋体"/>
          <w:kern w:val="0"/>
          <w:sz w:val="32"/>
          <w:szCs w:val="32"/>
          <w:highlight w:val="none"/>
          <w:lang w:eastAsia="zh-CN"/>
        </w:rPr>
        <w:t>资金</w:t>
      </w:r>
      <w:r>
        <w:rPr>
          <w:rFonts w:hint="eastAsia" w:ascii="仿宋_GB2312" w:hAnsi="宋体" w:eastAsia="仿宋_GB2312" w:cs="宋体"/>
          <w:kern w:val="0"/>
          <w:sz w:val="32"/>
          <w:szCs w:val="32"/>
          <w:highlight w:val="none"/>
        </w:rPr>
        <w:t>71.19万元，占31.76%，比上年预算增加0.39万元，增长0.55%，主要原因是单位行政罚没收入纳入单位其他收入资金。</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三、关于昌吉回族自治州生态环境局呼图壁县分局2024年支出预算情况说明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昌吉回族自治州生态环境局呼图壁县分局2024年支出预算224.16万元，其中：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基本支出224.16万元，占100%，比上年预算减少8.01万元，下降3.45%，主要原因是人员减少，人员经费减少。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项目支出0.00万元，占0%，比上年预算减少70.8万元，</w:t>
      </w:r>
      <w:r>
        <w:rPr>
          <w:rFonts w:hint="eastAsia" w:ascii="仿宋_GB2312" w:hAnsi="宋体" w:eastAsia="仿宋_GB2312" w:cs="宋体"/>
          <w:kern w:val="0"/>
          <w:sz w:val="32"/>
          <w:szCs w:val="32"/>
          <w:highlight w:val="none"/>
          <w:lang w:val="en-US" w:eastAsia="zh-CN"/>
        </w:rPr>
        <w:t>下降100%，</w:t>
      </w:r>
      <w:r>
        <w:rPr>
          <w:rFonts w:hint="eastAsia" w:ascii="仿宋_GB2312" w:hAnsi="宋体" w:eastAsia="仿宋_GB2312" w:cs="宋体"/>
          <w:kern w:val="0"/>
          <w:sz w:val="32"/>
          <w:szCs w:val="32"/>
          <w:highlight w:val="none"/>
        </w:rPr>
        <w:t>主要原因是2024年未安排项目资金。</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四、关于昌吉回族自治州生态环境局呼图壁县分局2024年财政拨款收支预算情况的总体说明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2024年财政拨款收支总预算152.97万元。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收入预算包括：一般公共预算拨款152.97万元。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208社会保障和就业支出05行政事业单位养老支出19.13万元，主要用于人员社保缴费；210卫生健康支出11行政事业单位医疗9.37元，主要用于人员医保缴费；211节能环保支出01环境保护管理事务112.32万元，主要用于人员经费、公用经费；221住房保障支出02住房改革支出12.15万元，主要用于缴纳人员公积金。</w:t>
      </w:r>
    </w:p>
    <w:p>
      <w:pPr>
        <w:spacing w:line="56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五、</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昌吉回族自治州生态环境局呼图壁县分局</w:t>
      </w:r>
      <w:r>
        <w:rPr>
          <w:rFonts w:hint="eastAsia" w:ascii="楷体_GB2312" w:hAnsi="楷体_GB2312" w:eastAsia="楷体_GB2312" w:cs="楷体_GB2312"/>
          <w:b/>
          <w:bCs/>
          <w:spacing w:val="-6"/>
          <w:kern w:val="0"/>
          <w:sz w:val="32"/>
          <w:szCs w:val="32"/>
          <w:highlight w:val="none"/>
        </w:rPr>
        <w:t>2024年一般公共预算当年拨款情况说明</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昌吉回族自治州生态环境局呼图壁县分局2024年一般公共预算拨款合计152.97万元，其中：基本支出152.97万元，比上年预算减少79.2万元，下降34.11%，主要原因是人员减少，人员经费减少。</w:t>
      </w:r>
    </w:p>
    <w:p>
      <w:pPr>
        <w:spacing w:line="560" w:lineRule="exact"/>
        <w:ind w:firstLine="640" w:firstLineChars="200"/>
        <w:rPr>
          <w:rFonts w:ascii="仿宋" w:hAnsi="仿宋" w:eastAsia="仿宋" w:cs="仿宋"/>
          <w:color w:val="000000"/>
          <w:kern w:val="0"/>
          <w:sz w:val="31"/>
          <w:szCs w:val="31"/>
          <w:highlight w:val="none"/>
        </w:rPr>
      </w:pPr>
      <w:r>
        <w:rPr>
          <w:rFonts w:hint="eastAsia" w:ascii="仿宋_GB2312" w:hAnsi="宋体" w:eastAsia="仿宋_GB2312" w:cs="宋体"/>
          <w:kern w:val="0"/>
          <w:sz w:val="32"/>
          <w:szCs w:val="32"/>
          <w:highlight w:val="none"/>
        </w:rPr>
        <w:t>项目支出0万元，占0%，比上年预算增加0万元，</w:t>
      </w:r>
      <w:r>
        <w:rPr>
          <w:rFonts w:hint="eastAsia" w:ascii="仿宋_GB2312" w:hAnsi="宋体" w:eastAsia="仿宋_GB2312" w:cs="宋体"/>
          <w:kern w:val="0"/>
          <w:sz w:val="32"/>
          <w:szCs w:val="32"/>
          <w:highlight w:val="none"/>
          <w:lang w:val="en-US" w:eastAsia="zh-CN"/>
        </w:rPr>
        <w:t>增长0%，</w:t>
      </w:r>
      <w:r>
        <w:rPr>
          <w:rFonts w:hint="eastAsia" w:ascii="仿宋_GB2312" w:hAnsi="宋体" w:eastAsia="仿宋_GB2312" w:cs="宋体"/>
          <w:kern w:val="0"/>
          <w:sz w:val="32"/>
          <w:szCs w:val="32"/>
          <w:highlight w:val="none"/>
        </w:rPr>
        <w:t>主要原因是2024年部门预算未安排项目支出。</w:t>
      </w:r>
    </w:p>
    <w:p>
      <w:pPr>
        <w:numPr>
          <w:ilvl w:val="0"/>
          <w:numId w:val="1"/>
        </w:num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一般公共预算当年拨款结构情况</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1.社会保障和就业支出（208类）19.13万元，占12.51%。</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2.卫生健康支出（210类）9.37万元，占6.13%。</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3.节能环保支出（211类）112.32万元，占73.4</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4.住房保障支出（221类）12.15万元，占7.94%。</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1.社会保障和就业支出（208类）行政事业单位离退休（05款）行政单位离退休（01项）：2024年预算数为4.51万元，比上年预算增加4.51万元，增加100%，主要原因是：上一年度一般公共预算未安排行政单位离退休。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2.社会保障和就业支出（208类）行政事业单位离退休（05款）机关事业单位基本养老保险支出（05项）：2024年预算数为14.62万元，比上年预算减少7.45万元，</w:t>
      </w:r>
      <w:r>
        <w:rPr>
          <w:rFonts w:hint="eastAsia" w:ascii="仿宋_GB2312" w:hAnsi="宋体" w:eastAsia="仿宋_GB2312" w:cs="宋体"/>
          <w:kern w:val="0"/>
          <w:sz w:val="32"/>
          <w:szCs w:val="32"/>
          <w:highlight w:val="none"/>
          <w:lang w:val="en-US" w:eastAsia="zh-CN"/>
        </w:rPr>
        <w:t>下降33.76</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主要原因是：事业编上划至昌吉州，人员减少，人员经费减少。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3.卫生健康支出（210类）行政事业单位医疗（11款）行政单位医疗（01项）：2024年预算数为7.31万元，比上年预算减少7.04万元，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rPr>
        <w:t>49.</w:t>
      </w: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主要原因是：事业编上划至昌吉州，人员减少，人员经费减少。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4.卫生健康支出（211）行政事业单位医疗（11款）公务员医疗补助（03）2024年预算数为2.01万元，比上年预算数减少1.93万元，</w:t>
      </w:r>
      <w:r>
        <w:rPr>
          <w:rFonts w:hint="eastAsia" w:ascii="仿宋_GB2312" w:hAnsi="宋体" w:eastAsia="仿宋_GB2312" w:cs="宋体"/>
          <w:kern w:val="0"/>
          <w:sz w:val="32"/>
          <w:szCs w:val="32"/>
          <w:highlight w:val="none"/>
          <w:lang w:val="en-US" w:eastAsia="zh-CN"/>
        </w:rPr>
        <w:t>下降</w:t>
      </w:r>
      <w:r>
        <w:rPr>
          <w:rFonts w:hint="eastAsia" w:ascii="仿宋_GB2312" w:hAnsi="宋体" w:eastAsia="仿宋_GB2312" w:cs="宋体"/>
          <w:kern w:val="0"/>
          <w:sz w:val="32"/>
          <w:szCs w:val="32"/>
          <w:highlight w:val="none"/>
        </w:rPr>
        <w:t>48.98%，主要原因是：事业编上划至昌吉州，人员减少，人员经费减少。</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5.卫生健康支出（211）行政事业单位医疗（11款）其他行政事业单位医疗支出（99）2024年预算数为0.06万元，比上年预算数增加0.03万元，</w:t>
      </w:r>
      <w:r>
        <w:rPr>
          <w:rFonts w:hint="eastAsia" w:ascii="仿宋_GB2312" w:hAnsi="宋体" w:eastAsia="仿宋_GB2312" w:cs="宋体"/>
          <w:kern w:val="0"/>
          <w:sz w:val="32"/>
          <w:szCs w:val="32"/>
          <w:highlight w:val="none"/>
          <w:lang w:val="en-US" w:eastAsia="zh-CN"/>
        </w:rPr>
        <w:t>增长</w:t>
      </w:r>
      <w:r>
        <w:rPr>
          <w:rFonts w:hint="eastAsia" w:ascii="仿宋_GB2312" w:hAnsi="宋体" w:eastAsia="仿宋_GB2312" w:cs="宋体"/>
          <w:kern w:val="0"/>
          <w:sz w:val="32"/>
          <w:szCs w:val="32"/>
          <w:highlight w:val="none"/>
        </w:rPr>
        <w:t>100%，主要原因是：社保基数调整，预算数增加。</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6.节能环保支出（211）环境保护管理事务（01）行政运行（01）202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年预算数为112.32万元，比上年预算数减少61.57万元，</w:t>
      </w:r>
      <w:r>
        <w:rPr>
          <w:rFonts w:hint="eastAsia" w:ascii="仿宋_GB2312" w:hAnsi="宋体" w:eastAsia="仿宋_GB2312" w:cs="宋体"/>
          <w:kern w:val="0"/>
          <w:sz w:val="32"/>
          <w:szCs w:val="32"/>
          <w:highlight w:val="none"/>
          <w:lang w:val="en-US" w:eastAsia="zh-CN"/>
        </w:rPr>
        <w:t>下降</w:t>
      </w:r>
      <w:r>
        <w:rPr>
          <w:rFonts w:hint="eastAsia" w:ascii="仿宋_GB2312" w:hAnsi="宋体" w:eastAsia="仿宋_GB2312" w:cs="宋体"/>
          <w:kern w:val="0"/>
          <w:sz w:val="32"/>
          <w:szCs w:val="32"/>
          <w:highlight w:val="none"/>
        </w:rPr>
        <w:t>35.41%，主要原因是：事业编上划至昌吉州，人员减少，人员经费减少。</w:t>
      </w:r>
    </w:p>
    <w:p>
      <w:pPr>
        <w:spacing w:line="600" w:lineRule="exact"/>
        <w:ind w:firstLine="640" w:firstLineChars="200"/>
        <w:rPr>
          <w:rFonts w:ascii="仿宋" w:hAnsi="仿宋" w:eastAsia="仿宋" w:cs="仿宋"/>
          <w:color w:val="000000"/>
          <w:kern w:val="0"/>
          <w:sz w:val="31"/>
          <w:szCs w:val="31"/>
          <w:highlight w:val="none"/>
        </w:rPr>
      </w:pPr>
      <w:r>
        <w:rPr>
          <w:rFonts w:hint="eastAsia" w:ascii="仿宋_GB2312" w:hAnsi="宋体" w:eastAsia="仿宋_GB2312" w:cs="宋体"/>
          <w:kern w:val="0"/>
          <w:sz w:val="32"/>
          <w:szCs w:val="32"/>
          <w:highlight w:val="none"/>
        </w:rPr>
        <w:t>7.住房保障支出（221）住房改革支出（02）住房公积金（01）2024年预算数为12.15万元，比上年预算数减少5.74万元，</w:t>
      </w:r>
      <w:r>
        <w:rPr>
          <w:rFonts w:hint="eastAsia" w:ascii="仿宋_GB2312" w:hAnsi="宋体" w:eastAsia="仿宋_GB2312" w:cs="宋体"/>
          <w:kern w:val="0"/>
          <w:sz w:val="32"/>
          <w:szCs w:val="32"/>
          <w:highlight w:val="none"/>
          <w:lang w:val="en-US" w:eastAsia="zh-CN"/>
        </w:rPr>
        <w:t>下降</w:t>
      </w:r>
      <w:r>
        <w:rPr>
          <w:rFonts w:hint="eastAsia" w:ascii="仿宋_GB2312" w:hAnsi="宋体" w:eastAsia="仿宋_GB2312" w:cs="宋体"/>
          <w:kern w:val="0"/>
          <w:sz w:val="32"/>
          <w:szCs w:val="32"/>
          <w:highlight w:val="none"/>
        </w:rPr>
        <w:t>32.08%，主要原因是：事业编上划至昌吉州，人员减少，人员经费减少。</w:t>
      </w:r>
    </w:p>
    <w:p>
      <w:pPr>
        <w:spacing w:line="60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六、</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昌吉回族自治州生态环境局呼图壁县分局2024</w:t>
      </w:r>
      <w:r>
        <w:rPr>
          <w:rFonts w:hint="eastAsia" w:ascii="楷体_GB2312" w:hAnsi="楷体_GB2312" w:eastAsia="楷体_GB2312" w:cs="楷体_GB2312"/>
          <w:b/>
          <w:bCs/>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昌吉回族自治州生态环境局呼图壁县分局2024年一般公共预算基本支出152.97万元，其中：</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142.60万元，主要包括：基本工资、津贴补贴、奖金、机关事业单位基本养老保险缴费、职工基本医疗保险缴费、公务员医疗补助缴费、其他社会保障缴费、住房公积金、其他工资福利支出、退休费、奖励金、其他对个人和家庭的补助。</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公用经费10.37万元，主要包括：水费、电费、邮电费、取暖费、差旅费、公务接待费、工会经费、公务用车运行维护费等。</w:t>
      </w:r>
    </w:p>
    <w:p>
      <w:pPr>
        <w:spacing w:line="560" w:lineRule="exact"/>
        <w:ind w:firstLine="643" w:firstLineChars="200"/>
        <w:rPr>
          <w:rFonts w:ascii="楷体_GB2312" w:hAnsi="楷体_GB2312" w:eastAsia="楷体_GB2312" w:cs="楷体_GB2312"/>
          <w:b/>
          <w:bCs/>
          <w:spacing w:val="-6"/>
          <w:kern w:val="0"/>
          <w:sz w:val="32"/>
          <w:szCs w:val="32"/>
          <w:highlight w:val="none"/>
        </w:rPr>
      </w:pPr>
      <w:r>
        <w:rPr>
          <w:rFonts w:hint="eastAsia" w:ascii="楷体_GB2312" w:hAnsi="楷体_GB2312" w:eastAsia="楷体_GB2312" w:cs="楷体_GB2312"/>
          <w:b/>
          <w:bCs/>
          <w:kern w:val="0"/>
          <w:sz w:val="32"/>
          <w:szCs w:val="32"/>
          <w:highlight w:val="none"/>
        </w:rPr>
        <w:t>七、</w:t>
      </w:r>
      <w:r>
        <w:rPr>
          <w:rFonts w:hint="eastAsia" w:ascii="楷体_GB2312" w:hAnsi="楷体_GB2312" w:eastAsia="楷体_GB2312" w:cs="楷体_GB2312"/>
          <w:b/>
          <w:bCs/>
          <w:spacing w:val="-6"/>
          <w:kern w:val="0"/>
          <w:sz w:val="32"/>
          <w:szCs w:val="32"/>
          <w:highlight w:val="none"/>
        </w:rPr>
        <w:t>关于</w:t>
      </w:r>
      <w:r>
        <w:rPr>
          <w:rFonts w:hint="eastAsia" w:ascii="楷体_GB2312" w:hAnsi="楷体_GB2312" w:eastAsia="楷体_GB2312" w:cs="楷体_GB2312"/>
          <w:b/>
          <w:bCs/>
          <w:kern w:val="0"/>
          <w:sz w:val="32"/>
          <w:szCs w:val="32"/>
          <w:highlight w:val="none"/>
        </w:rPr>
        <w:t>昌吉回族自治州生态环境局呼图壁县分局</w:t>
      </w:r>
      <w:r>
        <w:rPr>
          <w:rFonts w:hint="eastAsia" w:ascii="楷体_GB2312" w:hAnsi="楷体_GB2312" w:eastAsia="楷体_GB2312" w:cs="楷体_GB2312"/>
          <w:b/>
          <w:bCs/>
          <w:spacing w:val="-6"/>
          <w:kern w:val="0"/>
          <w:sz w:val="32"/>
          <w:szCs w:val="32"/>
          <w:highlight w:val="none"/>
        </w:rPr>
        <w:t>2024年一般公共预算项目支出情况说明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昌吉回族自治州生态环境局呼图壁县分局2024年没有使用一般公共预算项目支出，一般公共预算项目支出情况表为空表。</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八、关于昌吉回族自治州生态环境局呼图壁县分局2024年政府性基金预算拨款情况说明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九、关于昌吉回族自治州生态环境局呼图壁县分局2024年</w:t>
      </w:r>
      <w:r>
        <w:rPr>
          <w:rFonts w:hint="eastAsia" w:ascii="仿宋_GB2312" w:hAnsi="仿宋_GB2312" w:eastAsia="仿宋_GB2312" w:cs="仿宋_GB2312"/>
          <w:b/>
          <w:kern w:val="0"/>
          <w:sz w:val="32"/>
          <w:szCs w:val="32"/>
          <w:highlight w:val="none"/>
        </w:rPr>
        <w:t>国有资本经营预算</w:t>
      </w:r>
      <w:r>
        <w:rPr>
          <w:rFonts w:hint="eastAsia" w:ascii="楷体_GB2312" w:hAnsi="楷体_GB2312" w:eastAsia="楷体_GB2312" w:cs="楷体_GB2312"/>
          <w:b/>
          <w:bCs/>
          <w:kern w:val="0"/>
          <w:sz w:val="32"/>
          <w:szCs w:val="32"/>
          <w:highlight w:val="none"/>
        </w:rPr>
        <w:t>拨款情况说明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十、关于昌吉回族自治州生态环境局呼图壁县分局2024年财政拨款“三公”经费预算情况说明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昌吉回族自治州生态环境局呼图壁县分局2024年财政拨款“三公”经费数为3.47元，其中：因公出国（境）费0万元，公务用车购置费0万元，公务用车运行费3.2万元，公务接待费0.27万元。</w:t>
      </w:r>
    </w:p>
    <w:p>
      <w:pPr>
        <w:spacing w:line="600" w:lineRule="exact"/>
        <w:ind w:firstLine="640" w:firstLineChars="200"/>
        <w:rPr>
          <w:rFonts w:ascii="仿宋_GB2312" w:hAnsi="仿宋_GB2312" w:eastAsia="仿宋_GB2312" w:cs="仿宋_GB2312"/>
          <w:b/>
          <w:kern w:val="0"/>
          <w:sz w:val="32"/>
          <w:szCs w:val="32"/>
          <w:highlight w:val="none"/>
        </w:rPr>
      </w:pPr>
      <w:r>
        <w:rPr>
          <w:rFonts w:hint="eastAsia" w:ascii="仿宋_GB2312" w:hAnsi="宋体" w:eastAsia="仿宋_GB2312" w:cs="宋体"/>
          <w:kern w:val="0"/>
          <w:sz w:val="32"/>
          <w:szCs w:val="32"/>
          <w:highlight w:val="none"/>
        </w:rPr>
        <w:t>2024年财政拨款“三公”经费比上年预算减少2.93万元，下降45.78%，其中：因公出国（境）费增加0万元，增长0%，主要原因是2024年未安排因公出国费；公务用车购置费增加0万元，增长0%，主要原因是2024年未安排公务用车购置费；公务用车运行费减少3.2万元，减少50%，主要原因是将两辆公务用车划转至呼图壁县生态环境监测站，公务用车运行费减少；公务接待费增加0.27万元，增长100%，主要原因是单位2023年未安排公务接待费。</w:t>
      </w:r>
    </w:p>
    <w:p>
      <w:pPr>
        <w:spacing w:line="600" w:lineRule="exact"/>
        <w:ind w:firstLine="643" w:firstLineChars="200"/>
        <w:rPr>
          <w:rFonts w:ascii="仿宋_GB2312" w:hAnsi="仿宋_GB2312" w:eastAsia="仿宋_GB2312" w:cs="仿宋_GB2312"/>
          <w:b/>
          <w:kern w:val="0"/>
          <w:sz w:val="32"/>
          <w:szCs w:val="32"/>
          <w:highlight w:val="none"/>
        </w:rPr>
      </w:pPr>
      <w:r>
        <w:rPr>
          <w:rFonts w:hint="eastAsia" w:ascii="楷体_GB2312" w:hAnsi="楷体_GB2312" w:eastAsia="楷体_GB2312" w:cs="楷体_GB2312"/>
          <w:b/>
          <w:bCs/>
          <w:kern w:val="0"/>
          <w:sz w:val="32"/>
          <w:szCs w:val="32"/>
          <w:highlight w:val="none"/>
        </w:rPr>
        <w:t>十一、关于昌吉回族自治州生态环境局呼图壁县分局2024年上年结转结余预算情况说明</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昌吉回族自治州生态环境局呼图壁县分局2024年无上年结转结余预算的支出，结转结余预算支出情况表为空表。</w:t>
      </w:r>
    </w:p>
    <w:p>
      <w:pPr>
        <w:spacing w:line="560" w:lineRule="exact"/>
        <w:ind w:firstLine="643" w:firstLineChars="200"/>
        <w:rPr>
          <w:rFonts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十二、其他重要事项的情况说明</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（一）单位运行经费情况</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w:t>
      </w:r>
      <w:r>
        <w:rPr>
          <w:rFonts w:ascii="仿宋_GB2312" w:hAnsi="宋体" w:eastAsia="仿宋_GB2312" w:cs="宋体"/>
          <w:kern w:val="0"/>
          <w:sz w:val="32"/>
          <w:szCs w:val="32"/>
          <w:highlight w:val="none"/>
        </w:rPr>
        <w:t>昌吉回族自治州生态环境局呼图壁县分局</w:t>
      </w:r>
      <w:r>
        <w:rPr>
          <w:rFonts w:hint="eastAsia" w:ascii="仿宋_GB2312" w:hAnsi="宋体" w:eastAsia="仿宋_GB2312" w:cs="宋体"/>
          <w:kern w:val="0"/>
          <w:sz w:val="32"/>
          <w:szCs w:val="32"/>
          <w:highlight w:val="none"/>
        </w:rPr>
        <w:t>的机关运行经费财政拨款预算10.37万元，比上年预算减少3.9万元，下降27.33%。主要原因是下属的事业单位上划至州上，单位办公经费减少。</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2024年，昌吉回族自治州生态环境局呼图壁县分局政府采购预算3.2万元，其中：政府采购货物预算1.9万元，政府采购工程预算0万元，政府采购服务预算1.3万元。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2024年度本单位面向中小企业预留政府采购项目预算金额3.2万元，其中：面向小微企业预留政府采购项目预算金额3.2万元。</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截至2023年底，昌吉回族自治州生态环境局呼图壁县</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分局及下属各预算单位占用使用国有资产总体情况为：</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1.房屋1698.22平方米，价值187.11万元。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2.车辆2辆，价值37.81万元；其中：一般公务用车0辆，价值0万元；执法执勤用车2辆，价值37.81万元；其他车辆0辆，价值0万元。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3.办公家具价值15.72万元。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其他资产价值651.84万元。单位价值50万元以上大型设备1台（套），单位价值100万元以上大型设备0台（套）。2024年部门预算未安排购置车辆经费，安排购置50万元以上大型设备0台（套），单位价值100万元以上大型设备0台（套）。</w:t>
      </w:r>
    </w:p>
    <w:p>
      <w:pPr>
        <w:spacing w:line="560" w:lineRule="exact"/>
        <w:ind w:firstLine="643" w:firstLineChars="200"/>
        <w:rPr>
          <w:rFonts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（四）预算绩效情况</w:t>
      </w:r>
    </w:p>
    <w:p>
      <w:pPr>
        <w:spacing w:line="560" w:lineRule="exact"/>
        <w:ind w:firstLine="640" w:firstLineChars="200"/>
        <w:rPr>
          <w:rFonts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rPr>
        <w:t>2024年，本部门预算绩效管理整体预算绩效目标1个，涉及金额152.97万元；本年度预算绩效管理的财政拨款项目0个，涉及预算金额0万元；非财政拨款项目0个，涉及预算金额0万元。具体情况见下表：</w:t>
      </w:r>
    </w:p>
    <w:tbl>
      <w:tblPr>
        <w:tblStyle w:val="7"/>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667"/>
        <w:gridCol w:w="1247"/>
        <w:gridCol w:w="2410"/>
        <w:gridCol w:w="1399"/>
        <w:gridCol w:w="2596"/>
        <w:gridCol w:w="1021"/>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highlight w:val="none"/>
              </w:rPr>
            </w:pPr>
            <w:r>
              <w:rPr>
                <w:rFonts w:hint="eastAsia" w:ascii="仿宋_GB2312" w:hAnsi="宋体" w:eastAsia="仿宋_GB2312" w:cs="仿宋_GB2312"/>
                <w:b/>
                <w:color w:val="000000"/>
                <w:kern w:val="0"/>
                <w:sz w:val="32"/>
                <w:szCs w:val="32"/>
                <w:highlight w:val="none"/>
              </w:rPr>
              <w:t>昌吉回族自治州生态环境局呼图壁县分局整体绩效目标申报表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highlight w:val="none"/>
              </w:rPr>
            </w:pPr>
            <w:r>
              <w:rPr>
                <w:rFonts w:hint="eastAsia" w:ascii="宋体" w:hAnsi="宋体" w:cs="宋体"/>
                <w:color w:val="000000"/>
                <w:sz w:val="24"/>
                <w:highlight w:val="none"/>
              </w:rPr>
              <w:t>（2024年）</w:t>
            </w:r>
          </w:p>
        </w:tc>
      </w:tr>
      <w:tr>
        <w:tblPrEx>
          <w:tblCellMar>
            <w:top w:w="0" w:type="dxa"/>
            <w:left w:w="108" w:type="dxa"/>
            <w:bottom w:w="0" w:type="dxa"/>
            <w:right w:w="108" w:type="dxa"/>
          </w:tblCellMar>
        </w:tblPrEx>
        <w:trPr>
          <w:trHeight w:val="719" w:hRule="atLeast"/>
        </w:trPr>
        <w:tc>
          <w:tcPr>
            <w:tcW w:w="191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单位名称（盖章）</w:t>
            </w:r>
          </w:p>
        </w:tc>
        <w:tc>
          <w:tcPr>
            <w:tcW w:w="7426"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昌吉回族自治州生态环境局呼图壁县分局</w:t>
            </w:r>
          </w:p>
        </w:tc>
      </w:tr>
      <w:tr>
        <w:tblPrEx>
          <w:tblCellMar>
            <w:top w:w="0" w:type="dxa"/>
            <w:left w:w="108" w:type="dxa"/>
            <w:bottom w:w="0" w:type="dxa"/>
            <w:right w:w="108" w:type="dxa"/>
          </w:tblCellMar>
        </w:tblPrEx>
        <w:trPr>
          <w:trHeight w:val="719" w:hRule="atLeast"/>
        </w:trPr>
        <w:tc>
          <w:tcPr>
            <w:tcW w:w="191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单位联系人</w:t>
            </w:r>
          </w:p>
        </w:tc>
        <w:tc>
          <w:tcPr>
            <w:tcW w:w="380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赵佳玉</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联系电话：</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highlight w:val="none"/>
              </w:rPr>
            </w:pPr>
            <w:r>
              <w:rPr>
                <w:rFonts w:hint="eastAsia" w:ascii="宋体" w:hAnsi="宋体" w:cs="宋体"/>
                <w:color w:val="000000"/>
                <w:sz w:val="20"/>
                <w:szCs w:val="20"/>
                <w:highlight w:val="none"/>
              </w:rPr>
              <w:t>4500967</w:t>
            </w:r>
          </w:p>
        </w:tc>
      </w:tr>
      <w:tr>
        <w:tblPrEx>
          <w:tblCellMar>
            <w:top w:w="0" w:type="dxa"/>
            <w:left w:w="108" w:type="dxa"/>
            <w:bottom w:w="0" w:type="dxa"/>
            <w:right w:w="108" w:type="dxa"/>
          </w:tblCellMar>
        </w:tblPrEx>
        <w:trPr>
          <w:trHeight w:val="1344" w:hRule="atLeast"/>
        </w:trPr>
        <w:tc>
          <w:tcPr>
            <w:tcW w:w="1914"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highlight w:val="none"/>
              </w:rPr>
            </w:pPr>
            <w:r>
              <w:rPr>
                <w:rFonts w:hint="eastAsia" w:ascii="宋体" w:hAnsi="宋体" w:cs="宋体"/>
                <w:color w:val="000000"/>
                <w:kern w:val="0"/>
                <w:sz w:val="20"/>
                <w:szCs w:val="20"/>
                <w:highlight w:val="none"/>
              </w:rPr>
              <w:br w:type="textWrapping"/>
            </w:r>
            <w:r>
              <w:rPr>
                <w:rFonts w:hint="eastAsia" w:ascii="宋体" w:hAnsi="宋体" w:cs="宋体"/>
                <w:color w:val="000000"/>
                <w:kern w:val="0"/>
                <w:sz w:val="20"/>
                <w:szCs w:val="20"/>
                <w:highlight w:val="none"/>
              </w:rPr>
              <w:t>年度绩效目标</w:t>
            </w:r>
          </w:p>
        </w:tc>
        <w:tc>
          <w:tcPr>
            <w:tcW w:w="7426"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按照国家政策法规规定和单位实际情况，建立健全财务基础管理制度和约束机制，依法、有效地使用财政资金，提高财政资金使用效率，在完成部门职能目标中合理分配人，财、物，使这达到较高的工作效率和水平，促进我县保障保护生态环境工作得到显著提升。最终达到独立承担辖区范围内执法监测和生态环境应急监测任务的目的。同时按照计划要求正常开展谁水与土壤的采样、噪声、废弃监测工作。</w:t>
            </w:r>
          </w:p>
        </w:tc>
      </w:tr>
      <w:tr>
        <w:tblPrEx>
          <w:tblCellMar>
            <w:top w:w="0" w:type="dxa"/>
            <w:left w:w="108" w:type="dxa"/>
            <w:bottom w:w="0" w:type="dxa"/>
            <w:right w:w="108" w:type="dxa"/>
          </w:tblCellMar>
        </w:tblPrEx>
        <w:trPr>
          <w:trHeight w:val="463" w:hRule="atLeast"/>
        </w:trPr>
        <w:tc>
          <w:tcPr>
            <w:tcW w:w="1914"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年度预算（万元）</w:t>
            </w:r>
          </w:p>
        </w:tc>
        <w:tc>
          <w:tcPr>
            <w:tcW w:w="380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资金来源</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资金总额（万元）</w:t>
            </w:r>
          </w:p>
        </w:tc>
      </w:tr>
      <w:tr>
        <w:tblPrEx>
          <w:tblCellMar>
            <w:top w:w="0" w:type="dxa"/>
            <w:left w:w="108" w:type="dxa"/>
            <w:bottom w:w="0" w:type="dxa"/>
            <w:right w:w="108" w:type="dxa"/>
          </w:tblCellMar>
        </w:tblPrEx>
        <w:trPr>
          <w:trHeight w:val="495"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241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财政资金（万元）</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上级安排</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p>
        </w:tc>
      </w:tr>
      <w:tr>
        <w:tblPrEx>
          <w:tblCellMar>
            <w:top w:w="0" w:type="dxa"/>
            <w:left w:w="108" w:type="dxa"/>
            <w:bottom w:w="0" w:type="dxa"/>
            <w:right w:w="108" w:type="dxa"/>
          </w:tblCellMar>
        </w:tblPrEx>
        <w:trPr>
          <w:trHeight w:val="494"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241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本级安排</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r>
              <w:rPr>
                <w:rFonts w:hint="eastAsia" w:ascii="宋体" w:hAnsi="宋体" w:cs="宋体"/>
                <w:color w:val="000000"/>
                <w:sz w:val="20"/>
                <w:szCs w:val="20"/>
                <w:highlight w:val="none"/>
              </w:rPr>
              <w:t>152.97</w:t>
            </w:r>
          </w:p>
        </w:tc>
      </w:tr>
      <w:tr>
        <w:tblPrEx>
          <w:tblCellMar>
            <w:top w:w="0" w:type="dxa"/>
            <w:left w:w="108" w:type="dxa"/>
            <w:bottom w:w="0" w:type="dxa"/>
            <w:right w:w="108" w:type="dxa"/>
          </w:tblCellMar>
        </w:tblPrEx>
        <w:trPr>
          <w:trHeight w:val="527" w:hRule="atLeast"/>
        </w:trPr>
        <w:tc>
          <w:tcPr>
            <w:tcW w:w="1914"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其他资金（万元）</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其他</w:t>
            </w:r>
          </w:p>
        </w:tc>
        <w:tc>
          <w:tcPr>
            <w:tcW w:w="361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highlight w:val="none"/>
              </w:rPr>
            </w:pPr>
          </w:p>
        </w:tc>
      </w:tr>
      <w:tr>
        <w:tblPrEx>
          <w:tblCellMar>
            <w:top w:w="0" w:type="dxa"/>
            <w:left w:w="108" w:type="dxa"/>
            <w:bottom w:w="0" w:type="dxa"/>
            <w:right w:w="108" w:type="dxa"/>
          </w:tblCellMar>
        </w:tblPrEx>
        <w:trPr>
          <w:trHeight w:val="734" w:hRule="atLeast"/>
        </w:trPr>
        <w:tc>
          <w:tcPr>
            <w:tcW w:w="6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一级指标</w:t>
            </w: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二级指标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三级指标</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指标值</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指标设定依据</w:t>
            </w:r>
          </w:p>
        </w:tc>
        <w:tc>
          <w:tcPr>
            <w:tcW w:w="10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分值权重</w:t>
            </w:r>
          </w:p>
        </w:tc>
      </w:tr>
      <w:tr>
        <w:tblPrEx>
          <w:tblCellMar>
            <w:top w:w="0" w:type="dxa"/>
            <w:left w:w="108" w:type="dxa"/>
            <w:bottom w:w="0" w:type="dxa"/>
            <w:right w:w="108" w:type="dxa"/>
          </w:tblCellMar>
        </w:tblPrEx>
        <w:trPr>
          <w:trHeight w:val="547" w:hRule="atLeast"/>
        </w:trPr>
        <w:tc>
          <w:tcPr>
            <w:tcW w:w="667"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履职效能</w:t>
            </w: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县域全年空气优良天数</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≥296天</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15</w:t>
            </w:r>
          </w:p>
        </w:tc>
      </w:tr>
      <w:tr>
        <w:tblPrEx>
          <w:tblCellMar>
            <w:top w:w="0" w:type="dxa"/>
            <w:left w:w="108" w:type="dxa"/>
            <w:bottom w:w="0" w:type="dxa"/>
            <w:right w:w="108" w:type="dxa"/>
          </w:tblCellMar>
        </w:tblPrEx>
        <w:trPr>
          <w:trHeight w:val="547"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县域全年重污染天数</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≤20天</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15</w:t>
            </w:r>
          </w:p>
        </w:tc>
      </w:tr>
      <w:tr>
        <w:tblPrEx>
          <w:tblCellMar>
            <w:top w:w="0" w:type="dxa"/>
            <w:left w:w="108" w:type="dxa"/>
            <w:bottom w:w="0" w:type="dxa"/>
            <w:right w:w="108" w:type="dxa"/>
          </w:tblCellMar>
        </w:tblPrEx>
        <w:trPr>
          <w:trHeight w:val="702"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县域PM2.5全年平均浓度</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≤37µg/m</w:t>
            </w:r>
            <w:r>
              <w:rPr>
                <w:rStyle w:val="10"/>
                <w:highlight w:val="none"/>
              </w:rPr>
              <w:t>³</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r>
        <w:tblPrEx>
          <w:tblCellMar>
            <w:top w:w="0" w:type="dxa"/>
            <w:left w:w="108" w:type="dxa"/>
            <w:bottom w:w="0" w:type="dxa"/>
            <w:right w:w="108" w:type="dxa"/>
          </w:tblCellMar>
        </w:tblPrEx>
        <w:trPr>
          <w:trHeight w:val="547"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完成65蒸吨/小时以下燃煤锅炉淘汰及清洁能源替代</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≥4台</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r>
        <w:tblPrEx>
          <w:tblCellMar>
            <w:top w:w="0" w:type="dxa"/>
            <w:left w:w="108" w:type="dxa"/>
            <w:bottom w:w="0" w:type="dxa"/>
            <w:right w:w="108" w:type="dxa"/>
          </w:tblCellMar>
        </w:tblPrEx>
        <w:trPr>
          <w:trHeight w:val="689" w:hRule="atLeast"/>
        </w:trPr>
        <w:tc>
          <w:tcPr>
            <w:tcW w:w="667"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开展“创A晋B”工作，培育绩效引领企业和B级以上企业</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≥8家</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r>
        <w:tblPrEx>
          <w:tblCellMar>
            <w:top w:w="0" w:type="dxa"/>
            <w:left w:w="108" w:type="dxa"/>
            <w:bottom w:w="0" w:type="dxa"/>
            <w:right w:w="108" w:type="dxa"/>
          </w:tblCellMar>
        </w:tblPrEx>
        <w:trPr>
          <w:trHeight w:val="710" w:hRule="atLeast"/>
        </w:trPr>
        <w:tc>
          <w:tcPr>
            <w:tcW w:w="667" w:type="dxa"/>
            <w:vMerge w:val="continue"/>
            <w:tcBorders>
              <w:left w:val="single" w:color="000000" w:sz="4" w:space="0"/>
              <w:right w:val="single" w:color="000000" w:sz="4" w:space="0"/>
            </w:tcBorders>
            <w:vAlign w:val="center"/>
          </w:tcPr>
          <w:p>
            <w:pPr>
              <w:widowControl/>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完成老旧柴油货车淘汰，大力推广电力重卡，增加新能源公交车占比</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≥96辆</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r>
        <w:tblPrEx>
          <w:tblCellMar>
            <w:top w:w="0" w:type="dxa"/>
            <w:left w:w="108" w:type="dxa"/>
            <w:bottom w:w="0" w:type="dxa"/>
            <w:right w:w="108" w:type="dxa"/>
          </w:tblCellMar>
        </w:tblPrEx>
        <w:trPr>
          <w:trHeight w:val="710" w:hRule="atLeast"/>
        </w:trPr>
        <w:tc>
          <w:tcPr>
            <w:tcW w:w="667" w:type="dxa"/>
            <w:vMerge w:val="continue"/>
            <w:tcBorders>
              <w:left w:val="single" w:color="000000" w:sz="4" w:space="0"/>
              <w:right w:val="single" w:color="000000" w:sz="4" w:space="0"/>
            </w:tcBorders>
            <w:vAlign w:val="center"/>
          </w:tcPr>
          <w:p>
            <w:pPr>
              <w:widowControl/>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数量指标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完成企业挥发性有机物综合治理</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≥5家</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r>
        <w:tblPrEx>
          <w:tblCellMar>
            <w:top w:w="0" w:type="dxa"/>
            <w:left w:w="108" w:type="dxa"/>
            <w:bottom w:w="0" w:type="dxa"/>
            <w:right w:w="108" w:type="dxa"/>
          </w:tblCellMar>
        </w:tblPrEx>
        <w:trPr>
          <w:trHeight w:val="710" w:hRule="atLeast"/>
        </w:trPr>
        <w:tc>
          <w:tcPr>
            <w:tcW w:w="667" w:type="dxa"/>
            <w:vMerge w:val="continue"/>
            <w:tcBorders>
              <w:left w:val="single" w:color="000000" w:sz="4" w:space="0"/>
              <w:bottom w:val="single" w:color="000000" w:sz="4" w:space="0"/>
              <w:right w:val="single" w:color="000000" w:sz="4" w:space="0"/>
            </w:tcBorders>
            <w:vAlign w:val="center"/>
          </w:tcPr>
          <w:p>
            <w:pPr>
              <w:widowControl/>
              <w:textAlignment w:val="center"/>
              <w:rPr>
                <w:rFonts w:ascii="宋体" w:hAnsi="宋体" w:cs="宋体"/>
                <w:color w:val="000000"/>
                <w:sz w:val="20"/>
                <w:szCs w:val="20"/>
                <w:highlight w:val="none"/>
              </w:rPr>
            </w:pPr>
          </w:p>
        </w:tc>
        <w:tc>
          <w:tcPr>
            <w:tcW w:w="12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sz w:val="20"/>
                <w:szCs w:val="20"/>
                <w:highlight w:val="none"/>
              </w:rPr>
              <w:t>质量指标</w:t>
            </w:r>
          </w:p>
        </w:tc>
        <w:tc>
          <w:tcPr>
            <w:tcW w:w="24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呼图壁河监测断面、水源地水质优良比例</w:t>
            </w:r>
          </w:p>
        </w:tc>
        <w:tc>
          <w:tcPr>
            <w:tcW w:w="13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≥100%</w:t>
            </w:r>
          </w:p>
        </w:tc>
        <w:tc>
          <w:tcPr>
            <w:tcW w:w="25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rPr>
              <w:t>《州生态环境局呼图壁县分局2024年工作计划》</w:t>
            </w:r>
          </w:p>
        </w:tc>
        <w:tc>
          <w:tcPr>
            <w:tcW w:w="102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highlight w:val="none"/>
              </w:rPr>
            </w:pPr>
            <w:r>
              <w:rPr>
                <w:rFonts w:hint="eastAsia" w:ascii="宋体" w:hAnsi="宋体" w:cs="宋体"/>
                <w:color w:val="000000"/>
                <w:sz w:val="24"/>
                <w:highlight w:val="none"/>
              </w:rPr>
              <w:t>10</w:t>
            </w:r>
          </w:p>
        </w:tc>
      </w:tr>
    </w:tbl>
    <w:p>
      <w:pPr>
        <w:spacing w:line="560" w:lineRule="exact"/>
        <w:ind w:firstLine="640" w:firstLineChars="200"/>
        <w:rPr>
          <w:rFonts w:ascii="仿宋_GB2312" w:hAnsi="仿宋_GB2312" w:eastAsia="仿宋_GB2312" w:cs="仿宋_GB2312"/>
          <w:kern w:val="0"/>
          <w:sz w:val="32"/>
          <w:szCs w:val="32"/>
          <w:highlight w:val="none"/>
        </w:rPr>
      </w:pPr>
    </w:p>
    <w:p>
      <w:pPr>
        <w:spacing w:line="600" w:lineRule="exact"/>
        <w:ind w:firstLine="643" w:firstLineChars="200"/>
        <w:rPr>
          <w:rFonts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非财政拨款项目0个，涉及预算金额0万元</w:t>
      </w:r>
      <w:r>
        <w:rPr>
          <w:rFonts w:hint="eastAsia" w:ascii="仿宋_GB2312" w:hAnsi="宋体" w:eastAsia="仿宋_GB2312" w:cs="宋体"/>
          <w:kern w:val="0"/>
          <w:sz w:val="32"/>
          <w:szCs w:val="32"/>
          <w:highlight w:val="none"/>
          <w:lang w:eastAsia="zh-CN"/>
        </w:rPr>
        <w:t>，不公开绩效目标表</w:t>
      </w:r>
      <w:r>
        <w:rPr>
          <w:rFonts w:hint="eastAsia" w:ascii="仿宋_GB2312" w:hAnsi="宋体" w:eastAsia="仿宋_GB2312" w:cs="宋体"/>
          <w:kern w:val="0"/>
          <w:sz w:val="32"/>
          <w:szCs w:val="32"/>
          <w:highlight w:val="none"/>
        </w:rPr>
        <w:t>。</w:t>
      </w:r>
    </w:p>
    <w:p>
      <w:pP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br w:type="page"/>
      </w:r>
    </w:p>
    <w:p>
      <w:pPr>
        <w:spacing w:line="600" w:lineRule="exact"/>
        <w:jc w:val="center"/>
        <w:rPr>
          <w:rFonts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spacing w:line="600" w:lineRule="exact"/>
        <w:ind w:firstLine="640" w:firstLineChars="200"/>
        <w:rPr>
          <w:rFonts w:ascii="黑体" w:hAnsi="黑体" w:eastAsia="黑体"/>
          <w:sz w:val="32"/>
          <w:szCs w:val="32"/>
          <w:highlight w:val="none"/>
        </w:rPr>
      </w:pP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二、一般公共预算：</w:t>
      </w:r>
      <w:r>
        <w:rPr>
          <w:rFonts w:hint="eastAsia" w:ascii="仿宋_GB2312" w:eastAsia="仿宋_GB2312"/>
          <w:spacing w:val="-6"/>
          <w:sz w:val="32"/>
          <w:szCs w:val="32"/>
          <w:highlight w:val="none"/>
        </w:rPr>
        <w:t>包括公共财政拨款（补助）资金、专项收入。</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pPr>
        <w:spacing w:line="600" w:lineRule="exact"/>
        <w:ind w:firstLine="643" w:firstLineChars="200"/>
        <w:rPr>
          <w:rFonts w:ascii="仿宋_GB2312" w:eastAsia="仿宋_GB2312"/>
          <w:spacing w:val="-17"/>
          <w:sz w:val="32"/>
          <w:szCs w:val="32"/>
          <w:highlight w:val="none"/>
        </w:rPr>
      </w:pPr>
      <w:r>
        <w:rPr>
          <w:rFonts w:hint="eastAsia" w:ascii="楷体_GB2312" w:hAnsi="楷体_GB2312" w:eastAsia="楷体_GB2312" w:cs="楷体_GB2312"/>
          <w:b/>
          <w:bCs/>
          <w:sz w:val="32"/>
          <w:szCs w:val="32"/>
          <w:highlight w:val="none"/>
        </w:rPr>
        <w:t>四、其他资金：</w:t>
      </w:r>
      <w:r>
        <w:rPr>
          <w:rFonts w:hint="eastAsia" w:ascii="仿宋_GB2312" w:eastAsia="仿宋_GB2312"/>
          <w:spacing w:val="-17"/>
          <w:sz w:val="32"/>
          <w:szCs w:val="32"/>
          <w:highlight w:val="none"/>
        </w:rPr>
        <w:t>包括事业收入、事业经营收入、其他收入等。</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六、项目支出：</w:t>
      </w:r>
      <w:r>
        <w:rPr>
          <w:rFonts w:hint="eastAsia" w:ascii="仿宋_GB2312" w:eastAsia="仿宋_GB2312"/>
          <w:sz w:val="32"/>
          <w:szCs w:val="32"/>
          <w:highlight w:val="none"/>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七、“三公”经费：</w:t>
      </w:r>
      <w:r>
        <w:rPr>
          <w:rFonts w:hint="eastAsia" w:ascii="仿宋_GB2312" w:eastAsia="仿宋_GB2312"/>
          <w:sz w:val="32"/>
          <w:szCs w:val="32"/>
          <w:highlight w:val="none"/>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560" w:lineRule="exact"/>
        <w:ind w:firstLine="643" w:firstLineChars="200"/>
        <w:rPr>
          <w:rFonts w:ascii="仿宋_GB2312" w:eastAsia="仿宋_GB2312"/>
          <w:spacing w:val="-11"/>
          <w:sz w:val="32"/>
          <w:szCs w:val="32"/>
          <w:highlight w:val="none"/>
        </w:rPr>
      </w:pPr>
      <w:r>
        <w:rPr>
          <w:rFonts w:hint="eastAsia" w:ascii="楷体_GB2312" w:hAnsi="楷体_GB2312" w:eastAsia="楷体_GB2312" w:cs="楷体_GB2312"/>
          <w:b/>
          <w:bCs/>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highlight w:val="none"/>
        </w:rPr>
        <w:t>取暖费、办公用房物业管理费、公务用车运行维护费及其他费用。</w:t>
      </w:r>
    </w:p>
    <w:p>
      <w:pPr>
        <w:pStyle w:val="2"/>
        <w:ind w:firstLine="596"/>
        <w:rPr>
          <w:rFonts w:ascii="仿宋_GB2312" w:hAnsi="Times New Roman" w:eastAsia="仿宋_GB2312"/>
          <w:spacing w:val="-11"/>
          <w:sz w:val="32"/>
          <w:szCs w:val="32"/>
          <w:highlight w:val="none"/>
        </w:rPr>
      </w:pPr>
    </w:p>
    <w:p>
      <w:pPr>
        <w:pStyle w:val="2"/>
        <w:ind w:firstLine="596"/>
        <w:rPr>
          <w:rFonts w:ascii="仿宋_GB2312" w:hAnsi="Times New Roman" w:eastAsia="仿宋_GB2312"/>
          <w:spacing w:val="-11"/>
          <w:sz w:val="32"/>
          <w:szCs w:val="32"/>
          <w:highlight w:val="none"/>
        </w:rPr>
      </w:pPr>
    </w:p>
    <w:p>
      <w:pPr>
        <w:widowControl/>
        <w:ind w:left="4340" w:hanging="4340" w:hangingChars="1400"/>
        <w:jc w:val="right"/>
        <w:rPr>
          <w:rFonts w:ascii="仿宋" w:hAnsi="仿宋" w:eastAsia="仿宋" w:cs="仿宋"/>
          <w:color w:val="000000"/>
          <w:kern w:val="0"/>
          <w:sz w:val="31"/>
          <w:szCs w:val="31"/>
          <w:highlight w:val="none"/>
        </w:rPr>
      </w:pPr>
      <w:r>
        <w:rPr>
          <w:rFonts w:ascii="仿宋" w:hAnsi="仿宋" w:eastAsia="仿宋" w:cs="仿宋"/>
          <w:color w:val="000000"/>
          <w:kern w:val="0"/>
          <w:sz w:val="31"/>
          <w:szCs w:val="31"/>
          <w:highlight w:val="none"/>
        </w:rPr>
        <w:t>昌吉回族自治州生态环境局呼图壁县分局</w:t>
      </w:r>
    </w:p>
    <w:p>
      <w:pPr>
        <w:widowControl/>
        <w:ind w:left="4480" w:hanging="4480" w:hangingChars="1400"/>
        <w:jc w:val="center"/>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29</w:t>
      </w:r>
      <w:r>
        <w:rPr>
          <w:rFonts w:ascii="仿宋_GB2312" w:hAnsi="宋体" w:eastAsia="仿宋_GB2312" w:cs="宋体"/>
          <w:kern w:val="0"/>
          <w:sz w:val="32"/>
          <w:szCs w:val="32"/>
          <w:highlight w:val="none"/>
        </w:rPr>
        <w:t>日</w:t>
      </w:r>
    </w:p>
    <w:p>
      <w:pPr>
        <w:rPr>
          <w:highlight w:val="none"/>
        </w:rPr>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5B0BC"/>
    <w:multiLevelType w:val="singleLevel"/>
    <w:tmpl w:val="7F45B0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0MDAxMTA1YjRkNDY0MTJiNjI2ZGI5M2I2N2U1NzAifQ=="/>
  </w:docVars>
  <w:rsids>
    <w:rsidRoot w:val="3EB10329"/>
    <w:rsid w:val="0005617B"/>
    <w:rsid w:val="000D22EB"/>
    <w:rsid w:val="001E3CF5"/>
    <w:rsid w:val="00202343"/>
    <w:rsid w:val="002E01D0"/>
    <w:rsid w:val="00301ACB"/>
    <w:rsid w:val="00323DC6"/>
    <w:rsid w:val="00371B6F"/>
    <w:rsid w:val="00372D78"/>
    <w:rsid w:val="004F0E3E"/>
    <w:rsid w:val="005415A8"/>
    <w:rsid w:val="00597760"/>
    <w:rsid w:val="0064659D"/>
    <w:rsid w:val="007E7DF4"/>
    <w:rsid w:val="008268EE"/>
    <w:rsid w:val="00A20FA9"/>
    <w:rsid w:val="00A7258D"/>
    <w:rsid w:val="00BF035E"/>
    <w:rsid w:val="00D06F0E"/>
    <w:rsid w:val="00D86490"/>
    <w:rsid w:val="00FA53B7"/>
    <w:rsid w:val="00FC6725"/>
    <w:rsid w:val="024C1D86"/>
    <w:rsid w:val="04A76CBA"/>
    <w:rsid w:val="06563193"/>
    <w:rsid w:val="074115EC"/>
    <w:rsid w:val="0749310B"/>
    <w:rsid w:val="088A7F5F"/>
    <w:rsid w:val="0A4307AD"/>
    <w:rsid w:val="0A4E1004"/>
    <w:rsid w:val="0BAF5447"/>
    <w:rsid w:val="0CFD33F5"/>
    <w:rsid w:val="0D7B2E4A"/>
    <w:rsid w:val="0EB77F68"/>
    <w:rsid w:val="14CD3C06"/>
    <w:rsid w:val="156C2EC6"/>
    <w:rsid w:val="192D6A42"/>
    <w:rsid w:val="198A2802"/>
    <w:rsid w:val="1AC239C6"/>
    <w:rsid w:val="1AD27C6F"/>
    <w:rsid w:val="1C980A44"/>
    <w:rsid w:val="1E441D0F"/>
    <w:rsid w:val="20FB15D8"/>
    <w:rsid w:val="2118478F"/>
    <w:rsid w:val="21E25450"/>
    <w:rsid w:val="2287178C"/>
    <w:rsid w:val="236553F8"/>
    <w:rsid w:val="23C33D2F"/>
    <w:rsid w:val="247F4087"/>
    <w:rsid w:val="29C73D0E"/>
    <w:rsid w:val="2C065F28"/>
    <w:rsid w:val="2DDC7E87"/>
    <w:rsid w:val="2FC955A5"/>
    <w:rsid w:val="368302BF"/>
    <w:rsid w:val="379F4F84"/>
    <w:rsid w:val="37ED6C85"/>
    <w:rsid w:val="3A0C258B"/>
    <w:rsid w:val="3EB10329"/>
    <w:rsid w:val="3F6902F3"/>
    <w:rsid w:val="43E0487A"/>
    <w:rsid w:val="479C6F48"/>
    <w:rsid w:val="49C85615"/>
    <w:rsid w:val="4A134E50"/>
    <w:rsid w:val="4BF37C8B"/>
    <w:rsid w:val="50A1234C"/>
    <w:rsid w:val="580764A3"/>
    <w:rsid w:val="5B9B13DC"/>
    <w:rsid w:val="5F340119"/>
    <w:rsid w:val="627307DC"/>
    <w:rsid w:val="66560795"/>
    <w:rsid w:val="674D23D9"/>
    <w:rsid w:val="6F062EEE"/>
    <w:rsid w:val="6F9C0214"/>
    <w:rsid w:val="7749445E"/>
    <w:rsid w:val="78544401"/>
    <w:rsid w:val="7A331339"/>
    <w:rsid w:val="7AB9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21"/>
    <w:basedOn w:val="9"/>
    <w:qFormat/>
    <w:uiPriority w:val="0"/>
    <w:rPr>
      <w:rFonts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8491</Words>
  <Characters>10324</Characters>
  <Lines>93</Lines>
  <Paragraphs>26</Paragraphs>
  <TotalTime>14</TotalTime>
  <ScaleCrop>false</ScaleCrop>
  <LinksUpToDate>false</LinksUpToDate>
  <CharactersWithSpaces>10760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2023-01-30T08:20:00Z</dcterms:created>
  <dc:creator>Administrator</dc:creator>
  <cp:lastModifiedBy>htbczj</cp:lastModifiedBy>
  <dcterms:modified xsi:type="dcterms:W3CDTF">2025-10-13T09:25:39Z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3B8C4D0210534838A596F3325EA1BDA8</vt:lpwstr>
  </property>
</Properties>
</file>