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bookmarkStart w:id="0" w:name="_GoBack"/>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highlight w:val="none"/>
          <w:lang w:eastAsia="zh-CN"/>
        </w:rPr>
      </w:pPr>
    </w:p>
    <w:p>
      <w:pPr>
        <w:widowControl/>
        <w:spacing w:before="100" w:beforeAutospacing="1" w:after="100" w:afterAutospacing="1"/>
        <w:jc w:val="center"/>
        <w:outlineLvl w:val="1"/>
        <w:rPr>
          <w:rFonts w:hint="eastAsia" w:ascii="方正小标宋_GBK" w:hAnsi="宋体" w:eastAsia="方正小标宋_GBK"/>
          <w:kern w:val="0"/>
          <w:sz w:val="44"/>
          <w:szCs w:val="44"/>
          <w:highlight w:val="none"/>
          <w:lang w:eastAsia="zh-CN"/>
        </w:rPr>
      </w:pPr>
      <w:r>
        <w:rPr>
          <w:rFonts w:hint="eastAsia" w:ascii="方正小标宋_GBK" w:hAnsi="宋体" w:eastAsia="方正小标宋_GBK"/>
          <w:kern w:val="0"/>
          <w:sz w:val="44"/>
          <w:szCs w:val="44"/>
          <w:highlight w:val="none"/>
          <w:lang w:eastAsia="zh-CN"/>
        </w:rPr>
        <w:t>呼图壁县商务和工业信息化局</w:t>
      </w:r>
    </w:p>
    <w:p>
      <w:pPr>
        <w:widowControl/>
        <w:spacing w:before="100" w:beforeAutospacing="1" w:after="100" w:afterAutospacing="1"/>
        <w:jc w:val="center"/>
        <w:outlineLvl w:val="1"/>
        <w:rPr>
          <w:rFonts w:ascii="方正小标宋_GBK" w:hAnsi="宋体" w:eastAsia="方正小标宋_GBK"/>
          <w:kern w:val="0"/>
          <w:sz w:val="44"/>
          <w:szCs w:val="44"/>
          <w:highlight w:val="none"/>
        </w:rPr>
      </w:pPr>
      <w:r>
        <w:rPr>
          <w:rFonts w:hint="eastAsia" w:ascii="方正小标宋_GBK" w:hAnsi="宋体" w:eastAsia="方正小标宋_GBK"/>
          <w:kern w:val="0"/>
          <w:sz w:val="44"/>
          <w:szCs w:val="44"/>
          <w:highlight w:val="none"/>
          <w:lang w:val="en-US" w:eastAsia="zh-CN"/>
        </w:rPr>
        <w:t>2024年</w:t>
      </w:r>
      <w:r>
        <w:rPr>
          <w:rFonts w:hint="eastAsia" w:ascii="方正小标宋_GBK" w:hAnsi="宋体" w:eastAsia="方正小标宋_GBK"/>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kern w:val="0"/>
          <w:sz w:val="32"/>
          <w:szCs w:val="32"/>
          <w:highlight w:val="none"/>
          <w:lang w:eastAsia="zh-CN"/>
        </w:rPr>
        <w:t>呼图壁县商务和工业信息化局</w:t>
      </w:r>
      <w:r>
        <w:rPr>
          <w:rFonts w:hint="eastAsia" w:ascii="仿宋_GB2312" w:hAnsi="仿宋_GB2312" w:eastAsia="仿宋_GB2312" w:cs="仿宋_GB2312"/>
          <w:b/>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highlight w:val="none"/>
          <w:lang w:eastAsia="zh-CN"/>
        </w:rPr>
        <w:t>呼图壁县商务和工业信息化局</w:t>
      </w:r>
      <w:r>
        <w:rPr>
          <w:rFonts w:hint="eastAsia" w:ascii="仿宋_GB2312" w:hAnsi="仿宋_GB2312" w:eastAsia="仿宋_GB2312" w:cs="仿宋_GB2312"/>
          <w:b/>
          <w:kern w:val="0"/>
          <w:sz w:val="32"/>
          <w:szCs w:val="32"/>
          <w:highlight w:val="none"/>
        </w:rPr>
        <w:t>预算公开</w:t>
      </w:r>
      <w:r>
        <w:rPr>
          <w:rFonts w:hint="eastAsia" w:ascii="仿宋_GB2312" w:hAnsi="仿宋_GB2312" w:eastAsia="仿宋_GB2312" w:cs="仿宋_GB2312"/>
          <w:b/>
          <w:color w:val="auto"/>
          <w:kern w:val="0"/>
          <w:sz w:val="32"/>
          <w:szCs w:val="32"/>
          <w:highlight w:val="none"/>
        </w:rPr>
        <w:t>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呼图壁县商务和工业信息化局</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呼图壁县商务和工业信息化局</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呼图壁县商务和工业信息化局支</w:t>
      </w:r>
      <w:r>
        <w:rPr>
          <w:rFonts w:hint="eastAsia" w:ascii="仿宋_GB2312" w:hAnsi="仿宋_GB2312" w:eastAsia="仿宋_GB2312" w:cs="仿宋_GB2312"/>
          <w:color w:val="auto"/>
          <w:kern w:val="0"/>
          <w:sz w:val="32"/>
          <w:szCs w:val="32"/>
          <w:highlight w:val="none"/>
        </w:rPr>
        <w:t>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highlight w:val="none"/>
          <w:lang w:eastAsia="zh-CN"/>
        </w:rPr>
        <w:t>呼图壁县商务和工业信息化局</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w:t>
      </w:r>
      <w:r>
        <w:rPr>
          <w:rFonts w:hint="eastAsia" w:ascii="仿宋_GB2312" w:hAnsi="仿宋_GB2312" w:eastAsia="仿宋_GB2312" w:cs="仿宋_GB2312"/>
          <w:kern w:val="0"/>
          <w:sz w:val="32"/>
          <w:szCs w:val="32"/>
          <w:highlight w:val="none"/>
          <w:lang w:eastAsia="zh-CN"/>
        </w:rPr>
        <w:t>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w:t>
      </w:r>
      <w:r>
        <w:rPr>
          <w:rFonts w:hint="eastAsia" w:ascii="仿宋_GB2312" w:hAnsi="仿宋_GB2312" w:eastAsia="仿宋_GB2312" w:cs="仿宋_GB2312"/>
          <w:kern w:val="0"/>
          <w:sz w:val="32"/>
          <w:szCs w:val="32"/>
          <w:highlight w:val="none"/>
          <w:lang w:eastAsia="zh-CN"/>
        </w:rPr>
        <w:t>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w:t>
      </w:r>
      <w:r>
        <w:rPr>
          <w:rFonts w:hint="eastAsia" w:ascii="仿宋_GB2312" w:hAnsi="仿宋_GB2312" w:eastAsia="仿宋_GB2312" w:cs="仿宋_GB2312"/>
          <w:kern w:val="0"/>
          <w:sz w:val="32"/>
          <w:szCs w:val="32"/>
          <w:highlight w:val="none"/>
          <w:lang w:eastAsia="zh-CN"/>
        </w:rPr>
        <w:t>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w:t>
      </w:r>
      <w:r>
        <w:rPr>
          <w:rFonts w:hint="eastAsia" w:ascii="仿宋_GB2312" w:hAnsi="仿宋_GB2312" w:eastAsia="仿宋_GB2312" w:cs="仿宋_GB2312"/>
          <w:kern w:val="0"/>
          <w:sz w:val="32"/>
          <w:szCs w:val="32"/>
          <w:highlight w:val="none"/>
          <w:lang w:eastAsia="zh-CN"/>
        </w:rPr>
        <w:t>商务和工业信息化局</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w:t>
      </w:r>
      <w:r>
        <w:rPr>
          <w:rFonts w:hint="eastAsia" w:ascii="仿宋_GB2312" w:hAnsi="仿宋_GB2312" w:eastAsia="仿宋_GB2312" w:cs="仿宋_GB2312"/>
          <w:kern w:val="0"/>
          <w:sz w:val="32"/>
          <w:szCs w:val="32"/>
          <w:highlight w:val="none"/>
          <w:lang w:eastAsia="zh-CN"/>
        </w:rPr>
        <w:t>商务和工业信息化局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w:t>
      </w:r>
      <w:r>
        <w:rPr>
          <w:rFonts w:hint="eastAsia" w:ascii="仿宋_GB2312" w:hAnsi="仿宋_GB2312" w:eastAsia="仿宋_GB2312" w:cs="仿宋_GB2312"/>
          <w:kern w:val="0"/>
          <w:sz w:val="32"/>
          <w:szCs w:val="32"/>
          <w:highlight w:val="none"/>
          <w:lang w:eastAsia="zh-CN"/>
        </w:rPr>
        <w:t>商务和工业信息化局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w:t>
      </w:r>
      <w:r>
        <w:rPr>
          <w:rFonts w:hint="eastAsia" w:ascii="仿宋_GB2312" w:hAnsi="仿宋_GB2312" w:eastAsia="仿宋_GB2312" w:cs="仿宋_GB2312"/>
          <w:kern w:val="0"/>
          <w:sz w:val="32"/>
          <w:szCs w:val="32"/>
          <w:highlight w:val="none"/>
          <w:lang w:eastAsia="zh-CN"/>
        </w:rPr>
        <w:t>商务和工业信息化局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w:t>
      </w:r>
      <w:r>
        <w:rPr>
          <w:rFonts w:hint="eastAsia" w:ascii="仿宋_GB2312" w:hAnsi="仿宋_GB2312" w:eastAsia="仿宋_GB2312" w:cs="仿宋_GB2312"/>
          <w:kern w:val="0"/>
          <w:sz w:val="32"/>
          <w:szCs w:val="32"/>
          <w:highlight w:val="none"/>
          <w:lang w:eastAsia="zh-CN"/>
        </w:rPr>
        <w:t>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w:t>
      </w:r>
      <w:r>
        <w:rPr>
          <w:rFonts w:hint="eastAsia" w:ascii="仿宋_GB2312" w:hAnsi="仿宋_GB2312" w:eastAsia="仿宋_GB2312" w:cs="仿宋_GB2312"/>
          <w:kern w:val="0"/>
          <w:sz w:val="32"/>
          <w:szCs w:val="32"/>
          <w:highlight w:val="none"/>
          <w:lang w:eastAsia="zh-CN"/>
        </w:rPr>
        <w:t>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w:t>
      </w:r>
      <w:r>
        <w:rPr>
          <w:rFonts w:hint="eastAsia" w:ascii="仿宋_GB2312" w:hAnsi="仿宋_GB2312" w:eastAsia="仿宋_GB2312" w:cs="仿宋_GB2312"/>
          <w:kern w:val="0"/>
          <w:sz w:val="32"/>
          <w:szCs w:val="32"/>
          <w:highlight w:val="none"/>
          <w:lang w:eastAsia="zh-CN"/>
        </w:rPr>
        <w:t>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w:t>
      </w:r>
      <w:r>
        <w:rPr>
          <w:rFonts w:hint="eastAsia" w:ascii="仿宋_GB2312" w:hAnsi="仿宋_GB2312" w:eastAsia="仿宋_GB2312" w:cs="仿宋_GB2312"/>
          <w:kern w:val="0"/>
          <w:sz w:val="32"/>
          <w:szCs w:val="32"/>
          <w:highlight w:val="none"/>
          <w:lang w:eastAsia="zh-CN"/>
        </w:rPr>
        <w:t>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kern w:val="0"/>
          <w:sz w:val="32"/>
          <w:szCs w:val="32"/>
          <w:highlight w:val="none"/>
          <w:lang w:eastAsia="zh-CN"/>
        </w:rPr>
        <w:t>呼图壁县商务和工业信息化局</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40" w:lineRule="exact"/>
        <w:ind w:firstLine="640" w:firstLineChars="200"/>
        <w:jc w:val="both"/>
        <w:rPr>
          <w:rFonts w:hint="eastAsia" w:ascii="仿宋_GB2312" w:hAnsi="仿宋" w:eastAsia="仿宋_GB2312"/>
          <w:sz w:val="32"/>
          <w:highlight w:val="none"/>
          <w:lang w:val="en-US" w:eastAsia="zh-CN"/>
        </w:rPr>
      </w:pPr>
      <w:r>
        <w:rPr>
          <w:rFonts w:hint="eastAsia" w:ascii="仿宋_GB2312" w:hAnsi="仿宋" w:eastAsia="仿宋_GB2312"/>
          <w:sz w:val="32"/>
          <w:highlight w:val="none"/>
          <w:lang w:eastAsia="zh-CN"/>
        </w:rPr>
        <w:t>我</w:t>
      </w:r>
      <w:r>
        <w:rPr>
          <w:rFonts w:hint="eastAsia" w:ascii="仿宋_GB2312" w:hAnsi="仿宋" w:eastAsia="仿宋_GB2312"/>
          <w:sz w:val="32"/>
          <w:highlight w:val="none"/>
          <w:lang w:val="en-US" w:eastAsia="zh-CN"/>
        </w:rPr>
        <w:t>单位为呼图壁县人民</w:t>
      </w:r>
      <w:r>
        <w:rPr>
          <w:rFonts w:hint="eastAsia" w:ascii="仿宋_GB2312" w:hAnsi="宋体" w:eastAsia="仿宋_GB2312"/>
          <w:kern w:val="0"/>
          <w:sz w:val="32"/>
          <w:highlight w:val="none"/>
          <w:lang w:eastAsia="zh-CN"/>
        </w:rPr>
        <w:t>政府所属行政单位，机构职能为对全县工业和商贸企业的服务和</w:t>
      </w:r>
      <w:r>
        <w:rPr>
          <w:rFonts w:hint="eastAsia" w:ascii="仿宋_GB2312" w:hAnsi="仿宋" w:eastAsia="仿宋_GB2312"/>
          <w:sz w:val="32"/>
          <w:highlight w:val="none"/>
          <w:lang w:val="en-US" w:eastAsia="zh-CN"/>
        </w:rPr>
        <w:t>管理，对加油站、商场、快递等行业的安全和规范运行进行管理。</w:t>
      </w:r>
    </w:p>
    <w:p>
      <w:pPr>
        <w:widowControl/>
        <w:spacing w:line="540" w:lineRule="exact"/>
        <w:ind w:firstLine="640" w:firstLineChars="200"/>
        <w:jc w:val="both"/>
        <w:rPr>
          <w:rFonts w:ascii="仿宋_GB2312" w:hAnsi="宋体" w:eastAsia="仿宋_GB2312" w:cs="宋体"/>
          <w:bCs/>
          <w:color w:val="auto"/>
          <w:kern w:val="0"/>
          <w:sz w:val="32"/>
          <w:szCs w:val="32"/>
          <w:highlight w:val="none"/>
        </w:rPr>
      </w:pPr>
      <w:r>
        <w:rPr>
          <w:rFonts w:hint="eastAsia" w:ascii="仿宋_GB2312" w:hAnsi="宋体" w:eastAsia="仿宋_GB2312" w:cs="宋体"/>
          <w:bCs/>
          <w:kern w:val="0"/>
          <w:sz w:val="32"/>
          <w:szCs w:val="32"/>
          <w:highlight w:val="none"/>
          <w:lang w:eastAsia="zh-CN"/>
        </w:rPr>
        <w:t>贯彻执行国家、自治区、自治州有关经济信息化及内外贸易、国内外经济技术合作和外商投资工作的法律法规和方针政策，提出县新型工业化、信息化发展战略和建议；落实全县对外贸易、吸引国内外投资与合作的政策和规定；制定全县工业和经济信息化发展的政策措施，并组织实施和监督检查；协调解决经济信息化和招商引资进程中的重大问题；推进信息化和工业化融合发展。</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lang w:eastAsia="zh-CN"/>
        </w:rPr>
        <w:t>呼图壁县商务和工业信息化局</w:t>
      </w:r>
      <w:r>
        <w:rPr>
          <w:rFonts w:hint="eastAsia" w:ascii="仿宋_GB2312" w:hAnsi="黑体" w:eastAsia="仿宋_GB2312" w:cs="宋体"/>
          <w:bCs/>
          <w:kern w:val="0"/>
          <w:sz w:val="32"/>
          <w:szCs w:val="32"/>
          <w:highlight w:val="none"/>
        </w:rPr>
        <w:t>无下属预算单位，</w:t>
      </w:r>
      <w:r>
        <w:rPr>
          <w:rFonts w:hint="eastAsia" w:ascii="仿宋_GB2312" w:hAnsi="黑体" w:eastAsia="仿宋_GB2312" w:cs="宋体"/>
          <w:bCs/>
          <w:color w:val="auto"/>
          <w:kern w:val="0"/>
          <w:sz w:val="32"/>
          <w:szCs w:val="32"/>
          <w:highlight w:val="none"/>
        </w:rPr>
        <w:t>下设</w:t>
      </w:r>
      <w:r>
        <w:rPr>
          <w:rFonts w:hint="eastAsia" w:ascii="仿宋_GB2312" w:hAnsi="黑体" w:eastAsia="仿宋_GB2312" w:cs="宋体"/>
          <w:bCs/>
          <w:color w:val="auto"/>
          <w:kern w:val="0"/>
          <w:sz w:val="32"/>
          <w:szCs w:val="32"/>
          <w:highlight w:val="none"/>
          <w:lang w:val="en-US" w:eastAsia="zh-CN"/>
        </w:rPr>
        <w:t>4</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lang w:eastAsia="zh-CN"/>
        </w:rPr>
        <w:t>办公室、商务科、工业科（电力行政执法监察大队）、信息化科</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lang w:eastAsia="zh-CN"/>
        </w:rPr>
        <w:t>呼图壁县商务和工业信息化局</w:t>
      </w:r>
      <w:r>
        <w:rPr>
          <w:rFonts w:hint="eastAsia" w:ascii="仿宋_GB2312" w:hAnsi="宋体" w:eastAsia="仿宋_GB2312" w:cs="宋体"/>
          <w:kern w:val="0"/>
          <w:sz w:val="32"/>
          <w:szCs w:val="32"/>
          <w:highlight w:val="none"/>
        </w:rPr>
        <w:t>单位编制数</w:t>
      </w:r>
      <w:r>
        <w:rPr>
          <w:rFonts w:hint="eastAsia" w:ascii="仿宋_GB2312" w:hAnsi="宋体" w:eastAsia="仿宋_GB2312" w:cs="宋体"/>
          <w:kern w:val="0"/>
          <w:sz w:val="32"/>
          <w:szCs w:val="32"/>
          <w:highlight w:val="none"/>
          <w:lang w:val="en-US" w:eastAsia="zh-CN"/>
        </w:rPr>
        <w:t>17</w:t>
      </w:r>
      <w:r>
        <w:rPr>
          <w:rFonts w:hint="eastAsia" w:ascii="仿宋_GB2312" w:hAnsi="宋体" w:eastAsia="仿宋_GB2312" w:cs="宋体"/>
          <w:kern w:val="0"/>
          <w:sz w:val="32"/>
          <w:szCs w:val="32"/>
          <w:highlight w:val="none"/>
        </w:rPr>
        <w:t>，实有人数</w:t>
      </w:r>
      <w:r>
        <w:rPr>
          <w:rFonts w:hint="eastAsia" w:ascii="仿宋_GB2312" w:hAnsi="宋体" w:eastAsia="仿宋_GB2312" w:cs="宋体"/>
          <w:kern w:val="0"/>
          <w:sz w:val="32"/>
          <w:szCs w:val="32"/>
          <w:highlight w:val="none"/>
          <w:lang w:val="en-US" w:eastAsia="zh-CN"/>
        </w:rPr>
        <w:t>34</w:t>
      </w:r>
      <w:r>
        <w:rPr>
          <w:rFonts w:hint="eastAsia" w:ascii="仿宋_GB2312" w:hAnsi="宋体" w:eastAsia="仿宋_GB2312" w:cs="宋体"/>
          <w:kern w:val="0"/>
          <w:sz w:val="32"/>
          <w:szCs w:val="32"/>
          <w:highlight w:val="none"/>
        </w:rPr>
        <w:t xml:space="preserve">   人，其中：在职</w:t>
      </w:r>
      <w:r>
        <w:rPr>
          <w:rFonts w:hint="eastAsia" w:ascii="仿宋_GB2312" w:hAnsi="宋体" w:eastAsia="仿宋_GB2312" w:cs="宋体"/>
          <w:kern w:val="0"/>
          <w:sz w:val="32"/>
          <w:szCs w:val="32"/>
          <w:highlight w:val="none"/>
          <w:lang w:val="en-US" w:eastAsia="zh-CN"/>
        </w:rPr>
        <w:t>15</w:t>
      </w:r>
      <w:r>
        <w:rPr>
          <w:rFonts w:hint="eastAsia" w:ascii="仿宋_GB2312" w:hAnsi="宋体" w:eastAsia="仿宋_GB2312" w:cs="宋体"/>
          <w:kern w:val="0"/>
          <w:sz w:val="32"/>
          <w:szCs w:val="32"/>
          <w:highlight w:val="none"/>
        </w:rPr>
        <w:t>人，增加</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人； 退休</w:t>
      </w:r>
      <w:r>
        <w:rPr>
          <w:rFonts w:hint="eastAsia" w:ascii="仿宋_GB2312" w:hAnsi="宋体" w:eastAsia="仿宋_GB2312" w:cs="宋体"/>
          <w:kern w:val="0"/>
          <w:sz w:val="32"/>
          <w:szCs w:val="32"/>
          <w:highlight w:val="none"/>
          <w:lang w:val="en-US" w:eastAsia="zh-CN"/>
        </w:rPr>
        <w:t>18</w:t>
      </w:r>
      <w:r>
        <w:rPr>
          <w:rFonts w:hint="eastAsia" w:ascii="仿宋_GB2312" w:hAnsi="宋体" w:eastAsia="仿宋_GB2312" w:cs="宋体"/>
          <w:kern w:val="0"/>
          <w:sz w:val="32"/>
          <w:szCs w:val="32"/>
          <w:highlight w:val="none"/>
        </w:rPr>
        <w:t>人，</w:t>
      </w:r>
      <w:r>
        <w:rPr>
          <w:rFonts w:hint="eastAsia" w:ascii="仿宋_GB2312" w:hAnsi="宋体" w:eastAsia="仿宋_GB2312" w:cs="宋体"/>
          <w:kern w:val="0"/>
          <w:sz w:val="32"/>
          <w:szCs w:val="32"/>
          <w:highlight w:val="none"/>
          <w:lang w:val="en-US" w:eastAsia="zh-CN"/>
        </w:rPr>
        <w:t>减少1</w:t>
      </w:r>
      <w:r>
        <w:rPr>
          <w:rFonts w:hint="eastAsia" w:ascii="仿宋_GB2312" w:hAnsi="宋体" w:eastAsia="仿宋_GB2312" w:cs="宋体"/>
          <w:kern w:val="0"/>
          <w:sz w:val="32"/>
          <w:szCs w:val="32"/>
          <w:highlight w:val="none"/>
        </w:rPr>
        <w:t>人；离休</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人，增加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w:t>
      </w:r>
      <w:r>
        <w:rPr>
          <w:rFonts w:hint="eastAsia" w:ascii="仿宋_GB2312" w:hAnsi="宋体" w:eastAsia="仿宋_GB2312" w:cs="宋体"/>
          <w:kern w:val="0"/>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黑体" w:hAnsi="黑体" w:eastAsia="黑体"/>
          <w:color w:val="auto"/>
          <w:kern w:val="0"/>
          <w:sz w:val="32"/>
          <w:szCs w:val="32"/>
          <w:highlight w:val="none"/>
          <w:lang w:eastAsia="zh-CN"/>
        </w:rPr>
        <w:t>2024年呼图壁县商务和工业信息化局</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kern w:val="0"/>
          <w:sz w:val="32"/>
          <w:szCs w:val="32"/>
          <w:highlight w:val="none"/>
          <w:lang w:eastAsia="zh-CN"/>
        </w:rPr>
        <w:t>呼图壁县商务和工业信息化局</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highlight w:val="none"/>
          <w:lang w:eastAsia="zh-CN"/>
        </w:rPr>
        <w:t>呼图壁县商务和工业信息化局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772.50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530.18</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243.56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243.56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112.98</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63.46</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528.94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528.94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65.88</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772.50</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772.50</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kern w:val="0"/>
          <w:sz w:val="32"/>
          <w:szCs w:val="32"/>
          <w:highlight w:val="none"/>
          <w:lang w:eastAsia="zh-CN"/>
        </w:rPr>
        <w:t>呼图壁县商务和工业信息化局</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highlight w:val="none"/>
          <w:lang w:eastAsia="zh-CN"/>
        </w:rPr>
        <w:t>呼图壁县商务和工业信息化局</w:t>
      </w:r>
      <w:r>
        <w:rPr>
          <w:rFonts w:hint="eastAsia" w:ascii="仿宋_GB2312" w:hAnsi="宋体" w:eastAsia="仿宋_GB2312"/>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660" w:type="dxa"/>
        <w:tblInd w:w="-450" w:type="dxa"/>
        <w:tblLayout w:type="fixed"/>
        <w:tblCellMar>
          <w:top w:w="0" w:type="dxa"/>
          <w:left w:w="108" w:type="dxa"/>
          <w:bottom w:w="0" w:type="dxa"/>
          <w:right w:w="108" w:type="dxa"/>
        </w:tblCellMar>
      </w:tblPr>
      <w:tblGrid>
        <w:gridCol w:w="417"/>
        <w:gridCol w:w="417"/>
        <w:gridCol w:w="417"/>
        <w:gridCol w:w="778"/>
        <w:gridCol w:w="697"/>
        <w:gridCol w:w="696"/>
        <w:gridCol w:w="718"/>
        <w:gridCol w:w="643"/>
        <w:gridCol w:w="603"/>
        <w:gridCol w:w="643"/>
        <w:gridCol w:w="631"/>
        <w:gridCol w:w="779"/>
        <w:gridCol w:w="583"/>
        <w:gridCol w:w="715"/>
        <w:gridCol w:w="396"/>
        <w:gridCol w:w="527"/>
      </w:tblGrid>
      <w:tr>
        <w:tblPrEx>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77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69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713"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1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39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2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77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9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9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18"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60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1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9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2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201</w:t>
            </w:r>
          </w:p>
        </w:tc>
        <w:tc>
          <w:tcPr>
            <w:tcW w:w="41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778"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rPr>
              <w:t>一般公共服务支出</w:t>
            </w:r>
          </w:p>
        </w:tc>
        <w:tc>
          <w:tcPr>
            <w:tcW w:w="697"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530.18</w:t>
            </w:r>
          </w:p>
        </w:tc>
        <w:tc>
          <w:tcPr>
            <w:tcW w:w="696"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163.08</w:t>
            </w:r>
          </w:p>
        </w:tc>
        <w:tc>
          <w:tcPr>
            <w:tcW w:w="718"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163.08</w:t>
            </w:r>
          </w:p>
        </w:tc>
        <w:tc>
          <w:tcPr>
            <w:tcW w:w="64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top"/>
              <w:rPr>
                <w:rFonts w:hint="eastAsia" w:ascii="仿宋_GB2312" w:hAnsi="仿宋_GB2312" w:eastAsia="仿宋_GB2312" w:cs="仿宋_GB2312"/>
                <w:b w:val="0"/>
                <w:bCs w:val="0"/>
                <w:i w:val="0"/>
                <w:iCs w:val="0"/>
                <w:color w:val="000000"/>
                <w:kern w:val="2"/>
                <w:sz w:val="15"/>
                <w:szCs w:val="15"/>
                <w:highlight w:val="none"/>
                <w:u w:val="none"/>
                <w:lang w:val="en-US" w:eastAsia="zh-CN" w:bidi="ar-SA"/>
              </w:rPr>
            </w:pPr>
            <w:r>
              <w:rPr>
                <w:rFonts w:hint="eastAsia" w:ascii="仿宋_GB2312" w:hAnsi="仿宋_GB2312" w:eastAsia="仿宋_GB2312" w:cs="仿宋_GB2312"/>
                <w:b w:val="0"/>
                <w:bCs w:val="0"/>
                <w:i w:val="0"/>
                <w:iCs w:val="0"/>
                <w:color w:val="000000"/>
                <w:kern w:val="0"/>
                <w:sz w:val="15"/>
                <w:szCs w:val="15"/>
                <w:highlight w:val="none"/>
                <w:u w:val="none"/>
                <w:lang w:val="en-US" w:eastAsia="zh-CN" w:bidi="ar"/>
              </w:rPr>
              <w:t>367.10</w:t>
            </w:r>
          </w:p>
        </w:tc>
        <w:tc>
          <w:tcPr>
            <w:tcW w:w="396"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201</w:t>
            </w:r>
          </w:p>
        </w:tc>
        <w:tc>
          <w:tcPr>
            <w:tcW w:w="41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13</w:t>
            </w:r>
          </w:p>
        </w:tc>
        <w:tc>
          <w:tcPr>
            <w:tcW w:w="41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778"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rPr>
              <w:t>商贸事务</w:t>
            </w:r>
          </w:p>
        </w:tc>
        <w:tc>
          <w:tcPr>
            <w:tcW w:w="697"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530.18</w:t>
            </w:r>
          </w:p>
        </w:tc>
        <w:tc>
          <w:tcPr>
            <w:tcW w:w="696"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163.08</w:t>
            </w:r>
          </w:p>
        </w:tc>
        <w:tc>
          <w:tcPr>
            <w:tcW w:w="718"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163.08</w:t>
            </w:r>
          </w:p>
        </w:tc>
        <w:tc>
          <w:tcPr>
            <w:tcW w:w="64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top"/>
              <w:rPr>
                <w:rFonts w:hint="eastAsia" w:ascii="仿宋_GB2312" w:hAnsi="仿宋_GB2312" w:eastAsia="仿宋_GB2312" w:cs="仿宋_GB2312"/>
                <w:b w:val="0"/>
                <w:bCs w:val="0"/>
                <w:i w:val="0"/>
                <w:iCs w:val="0"/>
                <w:color w:val="000000"/>
                <w:kern w:val="2"/>
                <w:sz w:val="15"/>
                <w:szCs w:val="15"/>
                <w:highlight w:val="none"/>
                <w:u w:val="none"/>
                <w:lang w:val="en-US" w:eastAsia="zh-CN" w:bidi="ar-SA"/>
              </w:rPr>
            </w:pPr>
            <w:r>
              <w:rPr>
                <w:rFonts w:hint="eastAsia" w:ascii="仿宋_GB2312" w:hAnsi="仿宋_GB2312" w:eastAsia="仿宋_GB2312" w:cs="仿宋_GB2312"/>
                <w:b w:val="0"/>
                <w:bCs w:val="0"/>
                <w:i w:val="0"/>
                <w:iCs w:val="0"/>
                <w:color w:val="000000"/>
                <w:kern w:val="0"/>
                <w:sz w:val="15"/>
                <w:szCs w:val="15"/>
                <w:highlight w:val="none"/>
                <w:u w:val="none"/>
                <w:lang w:val="en-US" w:eastAsia="zh-CN" w:bidi="ar"/>
              </w:rPr>
              <w:t>367.10</w:t>
            </w:r>
          </w:p>
        </w:tc>
        <w:tc>
          <w:tcPr>
            <w:tcW w:w="396"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201</w:t>
            </w:r>
          </w:p>
        </w:tc>
        <w:tc>
          <w:tcPr>
            <w:tcW w:w="41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13</w:t>
            </w:r>
          </w:p>
        </w:tc>
        <w:tc>
          <w:tcPr>
            <w:tcW w:w="41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01</w:t>
            </w:r>
          </w:p>
        </w:tc>
        <w:tc>
          <w:tcPr>
            <w:tcW w:w="778"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rPr>
              <w:t>行政运行</w:t>
            </w:r>
          </w:p>
        </w:tc>
        <w:tc>
          <w:tcPr>
            <w:tcW w:w="697"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rPr>
            </w:pPr>
            <w:r>
              <w:rPr>
                <w:rFonts w:hint="eastAsia" w:ascii="仿宋_GB2312" w:hAnsi="仿宋_GB2312" w:eastAsia="仿宋_GB2312" w:cs="仿宋_GB2312"/>
                <w:b w:val="0"/>
                <w:bCs w:val="0"/>
                <w:color w:val="auto"/>
                <w:sz w:val="15"/>
                <w:szCs w:val="15"/>
                <w:highlight w:val="none"/>
                <w:lang w:val="en-US" w:eastAsia="zh-CN"/>
              </w:rPr>
              <w:t>509.69</w:t>
            </w:r>
          </w:p>
        </w:tc>
        <w:tc>
          <w:tcPr>
            <w:tcW w:w="696"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142.59</w:t>
            </w:r>
          </w:p>
        </w:tc>
        <w:tc>
          <w:tcPr>
            <w:tcW w:w="718"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142.59</w:t>
            </w:r>
          </w:p>
        </w:tc>
        <w:tc>
          <w:tcPr>
            <w:tcW w:w="64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top"/>
              <w:rPr>
                <w:rFonts w:hint="eastAsia" w:ascii="仿宋_GB2312" w:hAnsi="仿宋_GB2312" w:eastAsia="仿宋_GB2312" w:cs="仿宋_GB2312"/>
                <w:b w:val="0"/>
                <w:bCs w:val="0"/>
                <w:i w:val="0"/>
                <w:iCs w:val="0"/>
                <w:color w:val="000000"/>
                <w:kern w:val="2"/>
                <w:sz w:val="15"/>
                <w:szCs w:val="15"/>
                <w:highlight w:val="none"/>
                <w:u w:val="none"/>
                <w:lang w:val="en-US" w:eastAsia="zh-CN" w:bidi="ar-SA"/>
              </w:rPr>
            </w:pPr>
            <w:r>
              <w:rPr>
                <w:rFonts w:hint="eastAsia" w:ascii="仿宋_GB2312" w:hAnsi="仿宋_GB2312" w:eastAsia="仿宋_GB2312" w:cs="仿宋_GB2312"/>
                <w:b w:val="0"/>
                <w:bCs w:val="0"/>
                <w:i w:val="0"/>
                <w:iCs w:val="0"/>
                <w:color w:val="000000"/>
                <w:kern w:val="0"/>
                <w:sz w:val="15"/>
                <w:szCs w:val="15"/>
                <w:highlight w:val="none"/>
                <w:u w:val="none"/>
                <w:lang w:val="en-US" w:eastAsia="zh-CN" w:bidi="ar"/>
              </w:rPr>
              <w:t>367.10</w:t>
            </w:r>
          </w:p>
        </w:tc>
        <w:tc>
          <w:tcPr>
            <w:tcW w:w="396"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201</w:t>
            </w:r>
          </w:p>
        </w:tc>
        <w:tc>
          <w:tcPr>
            <w:tcW w:w="41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13</w:t>
            </w:r>
          </w:p>
        </w:tc>
        <w:tc>
          <w:tcPr>
            <w:tcW w:w="41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50</w:t>
            </w:r>
          </w:p>
        </w:tc>
        <w:tc>
          <w:tcPr>
            <w:tcW w:w="778"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rPr>
              <w:t>事业运行</w:t>
            </w:r>
          </w:p>
        </w:tc>
        <w:tc>
          <w:tcPr>
            <w:tcW w:w="697"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rPr>
            </w:pPr>
            <w:r>
              <w:rPr>
                <w:rFonts w:hint="eastAsia" w:ascii="仿宋_GB2312" w:hAnsi="仿宋_GB2312" w:eastAsia="仿宋_GB2312" w:cs="仿宋_GB2312"/>
                <w:b w:val="0"/>
                <w:bCs w:val="0"/>
                <w:color w:val="auto"/>
                <w:sz w:val="15"/>
                <w:szCs w:val="15"/>
                <w:highlight w:val="none"/>
                <w:lang w:val="en-US" w:eastAsia="zh-CN"/>
              </w:rPr>
              <w:t>20.49</w:t>
            </w:r>
          </w:p>
        </w:tc>
        <w:tc>
          <w:tcPr>
            <w:tcW w:w="696"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20.49</w:t>
            </w:r>
          </w:p>
        </w:tc>
        <w:tc>
          <w:tcPr>
            <w:tcW w:w="718"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20.49</w:t>
            </w:r>
          </w:p>
        </w:tc>
        <w:tc>
          <w:tcPr>
            <w:tcW w:w="64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top"/>
              <w:rPr>
                <w:rFonts w:hint="eastAsia" w:ascii="仿宋_GB2312" w:hAnsi="仿宋_GB2312" w:eastAsia="仿宋_GB2312" w:cs="仿宋_GB2312"/>
                <w:b w:val="0"/>
                <w:bCs w:val="0"/>
                <w:i w:val="0"/>
                <w:iCs w:val="0"/>
                <w:color w:val="000000"/>
                <w:kern w:val="2"/>
                <w:sz w:val="15"/>
                <w:szCs w:val="15"/>
                <w:highlight w:val="none"/>
                <w:u w:val="none"/>
                <w:lang w:val="en-US" w:eastAsia="zh-CN" w:bidi="ar-SA"/>
              </w:rPr>
            </w:pPr>
          </w:p>
        </w:tc>
        <w:tc>
          <w:tcPr>
            <w:tcW w:w="396"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208</w:t>
            </w:r>
          </w:p>
        </w:tc>
        <w:tc>
          <w:tcPr>
            <w:tcW w:w="41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778"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eastAsia="zh-CN"/>
              </w:rPr>
              <w:t>社会保障和就业支出</w:t>
            </w:r>
          </w:p>
        </w:tc>
        <w:tc>
          <w:tcPr>
            <w:tcW w:w="697"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112.98</w:t>
            </w:r>
          </w:p>
        </w:tc>
        <w:tc>
          <w:tcPr>
            <w:tcW w:w="696"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51.78</w:t>
            </w:r>
          </w:p>
        </w:tc>
        <w:tc>
          <w:tcPr>
            <w:tcW w:w="718"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51.78</w:t>
            </w:r>
          </w:p>
        </w:tc>
        <w:tc>
          <w:tcPr>
            <w:tcW w:w="64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61.21</w:t>
            </w:r>
          </w:p>
        </w:tc>
        <w:tc>
          <w:tcPr>
            <w:tcW w:w="396"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208</w:t>
            </w:r>
          </w:p>
        </w:tc>
        <w:tc>
          <w:tcPr>
            <w:tcW w:w="41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05</w:t>
            </w:r>
          </w:p>
        </w:tc>
        <w:tc>
          <w:tcPr>
            <w:tcW w:w="417"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778"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eastAsia="zh-CN"/>
              </w:rPr>
              <w:t>行政事业单位养老支出</w:t>
            </w:r>
          </w:p>
        </w:tc>
        <w:tc>
          <w:tcPr>
            <w:tcW w:w="697"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112.98</w:t>
            </w:r>
          </w:p>
        </w:tc>
        <w:tc>
          <w:tcPr>
            <w:tcW w:w="696"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51.78</w:t>
            </w:r>
          </w:p>
        </w:tc>
        <w:tc>
          <w:tcPr>
            <w:tcW w:w="718"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51.78</w:t>
            </w:r>
          </w:p>
        </w:tc>
        <w:tc>
          <w:tcPr>
            <w:tcW w:w="64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2"/>
                <w:sz w:val="22"/>
                <w:szCs w:val="22"/>
                <w:highlight w:val="none"/>
                <w:u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61.21</w:t>
            </w:r>
          </w:p>
        </w:tc>
        <w:tc>
          <w:tcPr>
            <w:tcW w:w="396"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01</w:t>
            </w:r>
          </w:p>
        </w:tc>
        <w:tc>
          <w:tcPr>
            <w:tcW w:w="7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eastAsia="zh-CN"/>
              </w:rPr>
              <w:t>事业单位离退休</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32.27</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32.27</w:t>
            </w: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32.27</w:t>
            </w: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Calibri" w:hAnsi="Calibri" w:eastAsia="宋体" w:cs="Calibri"/>
                <w:i w:val="0"/>
                <w:iCs w:val="0"/>
                <w:color w:val="000000"/>
                <w:kern w:val="2"/>
                <w:sz w:val="22"/>
                <w:szCs w:val="22"/>
                <w:highlight w:val="none"/>
                <w:u w:val="none"/>
                <w:lang w:val="en-US" w:eastAsia="zh-CN" w:bidi="ar-SA"/>
              </w:rPr>
            </w:pP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05</w:t>
            </w:r>
          </w:p>
        </w:tc>
        <w:tc>
          <w:tcPr>
            <w:tcW w:w="7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eastAsia="zh-CN"/>
              </w:rPr>
              <w:t>机关事业单位基本养老保险缴费支出</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69.05</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19.5</w:t>
            </w: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19.5</w:t>
            </w: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49.55</w:t>
            </w: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06</w:t>
            </w:r>
          </w:p>
        </w:tc>
        <w:tc>
          <w:tcPr>
            <w:tcW w:w="7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rPr>
              <w:t>机关事业单位职业年金缴费支出</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11.66</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11.66</w:t>
            </w: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7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eastAsia="zh-CN"/>
              </w:rPr>
              <w:t>卫生健康支出</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63.46</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12.50</w:t>
            </w: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12.50</w:t>
            </w: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50.96</w:t>
            </w: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7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eastAsia="zh-CN"/>
              </w:rPr>
              <w:t>行政事业单位医疗</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63.46</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12.50</w:t>
            </w: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12.50</w:t>
            </w: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50.96</w:t>
            </w: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01</w:t>
            </w:r>
          </w:p>
        </w:tc>
        <w:tc>
          <w:tcPr>
            <w:tcW w:w="7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eastAsia="zh-CN"/>
              </w:rPr>
              <w:t>行政单位医疗</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54.18</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8.30</w:t>
            </w: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8.30</w:t>
            </w: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45.88</w:t>
            </w: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02</w:t>
            </w:r>
          </w:p>
        </w:tc>
        <w:tc>
          <w:tcPr>
            <w:tcW w:w="7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事业</w:t>
            </w:r>
            <w:r>
              <w:rPr>
                <w:rFonts w:hint="eastAsia" w:ascii="仿宋_GB2312" w:hAnsi="仿宋_GB2312" w:eastAsia="仿宋_GB2312" w:cs="仿宋_GB2312"/>
                <w:b w:val="0"/>
                <w:bCs w:val="0"/>
                <w:color w:val="auto"/>
                <w:kern w:val="0"/>
                <w:sz w:val="15"/>
                <w:szCs w:val="15"/>
                <w:highlight w:val="none"/>
                <w:lang w:eastAsia="zh-CN"/>
              </w:rPr>
              <w:t>单位医疗</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1.45</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1.45</w:t>
            </w: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1.45</w:t>
            </w: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03</w:t>
            </w:r>
          </w:p>
        </w:tc>
        <w:tc>
          <w:tcPr>
            <w:tcW w:w="7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eastAsia="zh-CN"/>
              </w:rPr>
              <w:t>公务员医疗补助</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7.76</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2.68</w:t>
            </w: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2.68</w:t>
            </w: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5.08</w:t>
            </w: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99</w:t>
            </w:r>
          </w:p>
        </w:tc>
        <w:tc>
          <w:tcPr>
            <w:tcW w:w="7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eastAsia="zh-CN"/>
              </w:rPr>
              <w:t>其他行政事业单位医疗</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0.07</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0.07</w:t>
            </w: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0.07</w:t>
            </w: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7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eastAsia="zh-CN"/>
              </w:rPr>
              <w:t>住房保障支出</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65.88</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16.20</w:t>
            </w: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16.20</w:t>
            </w: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49.68</w:t>
            </w: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p>
        </w:tc>
        <w:tc>
          <w:tcPr>
            <w:tcW w:w="7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eastAsia="zh-CN"/>
              </w:rPr>
              <w:t>住房改革支出</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65.88</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16.20</w:t>
            </w: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16.20</w:t>
            </w: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r>
              <w:rPr>
                <w:rFonts w:hint="eastAsia" w:ascii="仿宋_GB2312" w:hAnsi="仿宋_GB2312" w:eastAsia="仿宋_GB2312" w:cs="仿宋_GB2312"/>
                <w:b w:val="0"/>
                <w:bCs w:val="0"/>
                <w:color w:val="auto"/>
                <w:sz w:val="15"/>
                <w:szCs w:val="15"/>
                <w:highlight w:val="none"/>
                <w:lang w:val="en-US" w:eastAsia="zh-CN"/>
              </w:rPr>
              <w:t>49.68</w:t>
            </w: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val="en-US" w:eastAsia="zh-CN"/>
              </w:rPr>
              <w:t>01</w:t>
            </w:r>
          </w:p>
        </w:tc>
        <w:tc>
          <w:tcPr>
            <w:tcW w:w="7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val="0"/>
                <w:bCs w:val="0"/>
                <w:color w:val="auto"/>
                <w:kern w:val="0"/>
                <w:sz w:val="15"/>
                <w:szCs w:val="15"/>
                <w:highlight w:val="none"/>
                <w:lang w:val="en-US" w:eastAsia="zh-CN" w:bidi="ar-SA"/>
              </w:rPr>
            </w:pPr>
            <w:r>
              <w:rPr>
                <w:rFonts w:hint="eastAsia" w:ascii="仿宋_GB2312" w:hAnsi="仿宋_GB2312" w:eastAsia="仿宋_GB2312" w:cs="仿宋_GB2312"/>
                <w:b w:val="0"/>
                <w:bCs w:val="0"/>
                <w:color w:val="auto"/>
                <w:kern w:val="0"/>
                <w:sz w:val="15"/>
                <w:szCs w:val="15"/>
                <w:highlight w:val="none"/>
                <w:lang w:eastAsia="zh-CN"/>
              </w:rPr>
              <w:t>住房公积金</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65.88</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16.20</w:t>
            </w: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16.20</w:t>
            </w: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r>
              <w:rPr>
                <w:rFonts w:hint="eastAsia" w:ascii="仿宋_GB2312" w:hAnsi="仿宋_GB2312" w:eastAsia="仿宋_GB2312" w:cs="仿宋_GB2312"/>
                <w:b w:val="0"/>
                <w:bCs w:val="0"/>
                <w:color w:val="auto"/>
                <w:sz w:val="15"/>
                <w:szCs w:val="15"/>
                <w:highlight w:val="none"/>
                <w:lang w:val="en-US" w:eastAsia="zh-CN"/>
              </w:rPr>
              <w:t>49.68</w:t>
            </w: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r>
              <w:rPr>
                <w:rFonts w:hint="eastAsia" w:ascii="仿宋_GB2312" w:hAnsi="仿宋_GB2312" w:eastAsia="仿宋_GB2312" w:cs="仿宋_GB2312"/>
                <w:b w:val="0"/>
                <w:bCs w:val="0"/>
                <w:color w:val="auto"/>
                <w:sz w:val="15"/>
                <w:szCs w:val="15"/>
                <w:highlight w:val="none"/>
              </w:rPr>
              <w:t>合  计</w:t>
            </w:r>
          </w:p>
        </w:tc>
        <w:tc>
          <w:tcPr>
            <w:tcW w:w="697"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r>
              <w:rPr>
                <w:rFonts w:hint="eastAsia" w:ascii="仿宋_GB2312" w:hAnsi="仿宋_GB2312" w:eastAsia="仿宋_GB2312" w:cs="仿宋_GB2312"/>
                <w:b w:val="0"/>
                <w:bCs w:val="0"/>
                <w:color w:val="auto"/>
                <w:sz w:val="15"/>
                <w:szCs w:val="15"/>
                <w:highlight w:val="none"/>
                <w:lang w:val="en-US" w:eastAsia="zh-CN"/>
              </w:rPr>
              <w:t>772.50</w:t>
            </w:r>
          </w:p>
        </w:tc>
        <w:tc>
          <w:tcPr>
            <w:tcW w:w="69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r>
              <w:rPr>
                <w:rFonts w:hint="eastAsia" w:ascii="仿宋_GB2312" w:hAnsi="仿宋_GB2312" w:eastAsia="仿宋_GB2312" w:cs="仿宋_GB2312"/>
                <w:b w:val="0"/>
                <w:bCs w:val="0"/>
                <w:color w:val="auto"/>
                <w:sz w:val="15"/>
                <w:szCs w:val="15"/>
                <w:highlight w:val="none"/>
                <w:lang w:val="en-US" w:eastAsia="zh-CN"/>
              </w:rPr>
              <w:t>243.56</w:t>
            </w:r>
          </w:p>
        </w:tc>
        <w:tc>
          <w:tcPr>
            <w:tcW w:w="71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kern w:val="2"/>
                <w:sz w:val="15"/>
                <w:szCs w:val="15"/>
                <w:highlight w:val="none"/>
                <w:lang w:val="en-US" w:eastAsia="zh-CN" w:bidi="ar-SA"/>
              </w:rPr>
            </w:pPr>
            <w:r>
              <w:rPr>
                <w:rFonts w:hint="eastAsia" w:ascii="仿宋_GB2312" w:hAnsi="仿宋_GB2312" w:eastAsia="仿宋_GB2312" w:cs="仿宋_GB2312"/>
                <w:b w:val="0"/>
                <w:bCs w:val="0"/>
                <w:color w:val="auto"/>
                <w:sz w:val="15"/>
                <w:szCs w:val="15"/>
                <w:highlight w:val="none"/>
                <w:lang w:val="en-US" w:eastAsia="zh-CN"/>
              </w:rPr>
              <w:t>243.56</w:t>
            </w: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0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43"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6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7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8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715"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仿宋_GB2312" w:eastAsia="仿宋_GB2312" w:cs="仿宋_GB2312"/>
                <w:b w:val="0"/>
                <w:bCs w:val="0"/>
                <w:color w:val="auto"/>
                <w:sz w:val="15"/>
                <w:szCs w:val="15"/>
                <w:highlight w:val="none"/>
                <w:lang w:val="en-US" w:eastAsia="zh-CN"/>
              </w:rPr>
            </w:pPr>
            <w:r>
              <w:rPr>
                <w:rFonts w:hint="eastAsia" w:ascii="仿宋_GB2312" w:hAnsi="仿宋_GB2312" w:eastAsia="仿宋_GB2312" w:cs="仿宋_GB2312"/>
                <w:b w:val="0"/>
                <w:bCs w:val="0"/>
                <w:color w:val="auto"/>
                <w:sz w:val="15"/>
                <w:szCs w:val="15"/>
                <w:highlight w:val="none"/>
                <w:lang w:val="en-US" w:eastAsia="zh-CN"/>
              </w:rPr>
              <w:t>528.95</w:t>
            </w:r>
          </w:p>
        </w:tc>
        <w:tc>
          <w:tcPr>
            <w:tcW w:w="396"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c>
          <w:tcPr>
            <w:tcW w:w="527"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color w:val="auto"/>
                <w:sz w:val="15"/>
                <w:szCs w:val="15"/>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呼图壁县商务和工业信息化局</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highlight w:val="none"/>
          <w:lang w:eastAsia="zh-CN"/>
        </w:rPr>
        <w:t>呼图壁县商务和工业信息化局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10765" w:type="dxa"/>
        <w:tblInd w:w="-240" w:type="dxa"/>
        <w:tblLayout w:type="fixed"/>
        <w:tblCellMar>
          <w:top w:w="0" w:type="dxa"/>
          <w:left w:w="108" w:type="dxa"/>
          <w:bottom w:w="0" w:type="dxa"/>
          <w:right w:w="108" w:type="dxa"/>
        </w:tblCellMar>
      </w:tblPr>
      <w:tblGrid>
        <w:gridCol w:w="516"/>
        <w:gridCol w:w="417"/>
        <w:gridCol w:w="417"/>
        <w:gridCol w:w="2552"/>
        <w:gridCol w:w="1821"/>
        <w:gridCol w:w="1827"/>
        <w:gridCol w:w="1870"/>
        <w:gridCol w:w="1345"/>
      </w:tblGrid>
      <w:tr>
        <w:tblPrEx>
          <w:tblCellMar>
            <w:top w:w="0" w:type="dxa"/>
            <w:left w:w="108" w:type="dxa"/>
            <w:bottom w:w="0" w:type="dxa"/>
            <w:right w:w="108" w:type="dxa"/>
          </w:tblCellMar>
        </w:tblPrEx>
        <w:trPr>
          <w:gridAfter w:val="1"/>
          <w:wAfter w:w="1345" w:type="dxa"/>
          <w:trHeight w:val="328" w:hRule="atLeast"/>
        </w:trPr>
        <w:tc>
          <w:tcPr>
            <w:tcW w:w="3902"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18"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gridAfter w:val="1"/>
          <w:wAfter w:w="1345" w:type="dxa"/>
          <w:trHeight w:val="480" w:hRule="atLeast"/>
        </w:trPr>
        <w:tc>
          <w:tcPr>
            <w:tcW w:w="135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5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gridAfter w:val="1"/>
          <w:wAfter w:w="1345" w:type="dxa"/>
          <w:trHeight w:val="270"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5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rPr>
              <w:t>一般公共服务支出</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530.18</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530.18</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rPr>
              <w:t>商贸事务</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530.18</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530.18</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01</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rPr>
              <w:t>行政运行</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509.69</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509.69</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50</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rPr>
              <w:t>事业运行</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20.49</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20.49</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eastAsia="zh-CN"/>
              </w:rPr>
              <w:t>社会保障和就业支出</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112.98</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112.98</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eastAsia="zh-CN"/>
              </w:rPr>
              <w:t>行政事业单位养老支出</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112.98</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112.98</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01</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eastAsia="zh-CN"/>
              </w:rPr>
              <w:t>事业单位离退休</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32.27</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32.27</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05</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eastAsia="zh-CN"/>
              </w:rPr>
              <w:t>机关事业单位基本养老保险缴费支出</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69.05</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69.05</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06</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rPr>
              <w:t>机关事业单位职业年金缴费支出</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11.66</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11.66</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eastAsia="zh-CN"/>
              </w:rPr>
              <w:t>卫生健康支出</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63.46</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63.46</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eastAsia="zh-CN"/>
              </w:rPr>
              <w:t>行政事业单位医疗</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36.46</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36.46</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01</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eastAsia="zh-CN"/>
              </w:rPr>
              <w:t>行政单位医疗</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54.18</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54.18</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02</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事业</w:t>
            </w:r>
            <w:r>
              <w:rPr>
                <w:rFonts w:hint="eastAsia" w:ascii="仿宋_GB2312" w:hAnsi="仿宋_GB2312" w:eastAsia="仿宋_GB2312" w:cs="仿宋_GB2312"/>
                <w:b w:val="0"/>
                <w:bCs w:val="0"/>
                <w:color w:val="auto"/>
                <w:kern w:val="0"/>
                <w:sz w:val="20"/>
                <w:szCs w:val="20"/>
                <w:highlight w:val="none"/>
                <w:lang w:eastAsia="zh-CN"/>
              </w:rPr>
              <w:t>单位医疗</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1.45</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1.45</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03</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eastAsia="zh-CN"/>
              </w:rPr>
              <w:t>公务员医疗补助</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7.76</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7.76</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99</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eastAsia="zh-CN"/>
              </w:rPr>
              <w:t>其他行政事业单位医疗</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0.07</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0.07</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eastAsia="zh-CN"/>
              </w:rPr>
              <w:t>住房保障支出</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65.88</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65.88</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eastAsia="zh-CN"/>
              </w:rPr>
              <w:t>住房改革支出</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65.88</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65.88</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01</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eastAsia="zh-CN"/>
              </w:rPr>
              <w:t>住房公积金</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bidi="ar-SA"/>
              </w:rPr>
            </w:pPr>
            <w:r>
              <w:rPr>
                <w:rFonts w:hint="eastAsia" w:ascii="仿宋_GB2312" w:hAnsi="仿宋_GB2312" w:eastAsia="仿宋_GB2312" w:cs="仿宋_GB2312"/>
                <w:b w:val="0"/>
                <w:bCs w:val="0"/>
                <w:color w:val="auto"/>
                <w:kern w:val="0"/>
                <w:sz w:val="20"/>
                <w:szCs w:val="20"/>
                <w:highlight w:val="none"/>
                <w:lang w:val="en-US" w:eastAsia="zh-CN"/>
              </w:rPr>
              <w:t>65.88</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65.88</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1"/>
          <w:wAfter w:w="1345" w:type="dxa"/>
          <w:trHeight w:val="405" w:hRule="atLeast"/>
        </w:trPr>
        <w:tc>
          <w:tcPr>
            <w:tcW w:w="516"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52" w:type="dxa"/>
            <w:tcBorders>
              <w:top w:val="nil"/>
              <w:left w:val="nil"/>
              <w:bottom w:val="single" w:color="auto" w:sz="4" w:space="0"/>
              <w:right w:val="single" w:color="auto" w:sz="4" w:space="0"/>
            </w:tcBorders>
            <w:noWrap w:val="0"/>
            <w:vAlign w:val="center"/>
          </w:tcPr>
          <w:p>
            <w:pPr>
              <w:rPr>
                <w:color w:val="auto"/>
                <w:highlight w:val="none"/>
              </w:rPr>
            </w:pPr>
          </w:p>
        </w:tc>
        <w:tc>
          <w:tcPr>
            <w:tcW w:w="1821" w:type="dxa"/>
            <w:tcBorders>
              <w:top w:val="nil"/>
              <w:left w:val="nil"/>
              <w:bottom w:val="single" w:color="auto" w:sz="4" w:space="0"/>
              <w:right w:val="single" w:color="auto" w:sz="4" w:space="0"/>
            </w:tcBorders>
            <w:noWrap w:val="0"/>
            <w:vAlign w:val="center"/>
          </w:tcPr>
          <w:p>
            <w:pPr>
              <w:rPr>
                <w:color w:val="auto"/>
                <w:highlight w:val="none"/>
              </w:rPr>
            </w:pPr>
          </w:p>
        </w:tc>
        <w:tc>
          <w:tcPr>
            <w:tcW w:w="1827" w:type="dxa"/>
            <w:tcBorders>
              <w:top w:val="nil"/>
              <w:left w:val="nil"/>
              <w:bottom w:val="single" w:color="auto" w:sz="4" w:space="0"/>
              <w:right w:val="single" w:color="auto" w:sz="4" w:space="0"/>
            </w:tcBorders>
            <w:noWrap w:val="0"/>
            <w:vAlign w:val="center"/>
          </w:tcPr>
          <w:p>
            <w:pPr>
              <w:rPr>
                <w:color w:val="auto"/>
                <w:highlight w:val="none"/>
              </w:rPr>
            </w:pPr>
          </w:p>
        </w:tc>
        <w:tc>
          <w:tcPr>
            <w:tcW w:w="1870" w:type="dxa"/>
            <w:tcBorders>
              <w:top w:val="nil"/>
              <w:left w:val="nil"/>
              <w:bottom w:val="single" w:color="auto" w:sz="4" w:space="0"/>
              <w:right w:val="single" w:color="auto" w:sz="4" w:space="0"/>
            </w:tcBorders>
            <w:noWrap w:val="0"/>
            <w:vAlign w:val="center"/>
          </w:tcPr>
          <w:p>
            <w:pPr>
              <w:rPr>
                <w:color w:val="auto"/>
                <w:highlight w:val="none"/>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2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24"/>
                <w:highlight w:val="none"/>
              </w:rPr>
            </w:pPr>
            <w:r>
              <w:rPr>
                <w:rFonts w:hint="eastAsia" w:ascii="仿宋_GB2312" w:hAnsi="仿宋_GB2312" w:eastAsia="仿宋_GB2312" w:cs="仿宋_GB2312"/>
                <w:b/>
                <w:bCs/>
                <w:color w:val="auto"/>
                <w:kern w:val="0"/>
                <w:sz w:val="20"/>
                <w:szCs w:val="20"/>
                <w:highlight w:val="none"/>
              </w:rPr>
              <w:t>　</w:t>
            </w:r>
            <w:r>
              <w:rPr>
                <w:rFonts w:hint="eastAsia" w:ascii="仿宋_GB2312" w:hAnsi="仿宋_GB2312" w:eastAsia="仿宋_GB2312" w:cs="仿宋_GB2312"/>
                <w:b/>
                <w:bCs/>
                <w:color w:val="auto"/>
                <w:kern w:val="0"/>
                <w:sz w:val="20"/>
                <w:szCs w:val="20"/>
                <w:highlight w:val="none"/>
                <w:lang w:val="en-US" w:eastAsia="zh-CN"/>
              </w:rPr>
              <w:t>772.50</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仿宋_GB2312" w:hAnsi="仿宋_GB2312" w:eastAsia="仿宋_GB2312" w:cs="仿宋_GB2312"/>
                <w:b/>
                <w:bCs/>
                <w:color w:val="auto"/>
                <w:kern w:val="0"/>
                <w:sz w:val="20"/>
                <w:szCs w:val="20"/>
                <w:highlight w:val="none"/>
              </w:rPr>
              <w:t>　</w:t>
            </w:r>
            <w:r>
              <w:rPr>
                <w:rFonts w:hint="eastAsia" w:ascii="仿宋_GB2312" w:hAnsi="仿宋_GB2312" w:eastAsia="仿宋_GB2312" w:cs="仿宋_GB2312"/>
                <w:b/>
                <w:bCs/>
                <w:color w:val="auto"/>
                <w:kern w:val="0"/>
                <w:sz w:val="20"/>
                <w:szCs w:val="20"/>
                <w:highlight w:val="none"/>
                <w:lang w:val="en-US" w:eastAsia="zh-CN"/>
              </w:rPr>
              <w:t>772.50</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p>
        </w:tc>
        <w:tc>
          <w:tcPr>
            <w:tcW w:w="1345" w:type="dxa"/>
            <w:vAlign w:val="center"/>
          </w:tcPr>
          <w:p>
            <w:pPr>
              <w:widowControl/>
              <w:spacing w:line="280" w:lineRule="exact"/>
              <w:jc w:val="left"/>
              <w:rPr>
                <w:highlight w:val="none"/>
              </w:rPr>
            </w:pPr>
            <w:r>
              <w:rPr>
                <w:rFonts w:hint="eastAsia" w:ascii="宋体" w:hAnsi="宋体" w:cs="宋体"/>
                <w:color w:val="auto"/>
                <w:kern w:val="0"/>
                <w:sz w:val="24"/>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kern w:val="0"/>
          <w:sz w:val="24"/>
          <w:highlight w:val="none"/>
          <w:lang w:eastAsia="zh-CN"/>
        </w:rPr>
        <w:t>呼图壁县商务和工业信息化局</w:t>
      </w:r>
      <w:r>
        <w:rPr>
          <w:rFonts w:hint="eastAsia" w:ascii="仿宋_GB2312" w:hAnsi="宋体" w:eastAsia="仿宋_GB2312"/>
          <w:color w:val="auto"/>
          <w:kern w:val="0"/>
          <w:sz w:val="24"/>
          <w:szCs w:val="24"/>
          <w:highlight w:val="none"/>
        </w:rPr>
        <w:t xml:space="preserve">                           单位：万元</w:t>
      </w:r>
    </w:p>
    <w:tbl>
      <w:tblPr>
        <w:tblStyle w:val="5"/>
        <w:tblW w:w="9449" w:type="dxa"/>
        <w:tblInd w:w="-240" w:type="dxa"/>
        <w:tblLayout w:type="fixed"/>
        <w:tblCellMar>
          <w:top w:w="0" w:type="dxa"/>
          <w:left w:w="108" w:type="dxa"/>
          <w:bottom w:w="0" w:type="dxa"/>
          <w:right w:w="108" w:type="dxa"/>
        </w:tblCellMar>
      </w:tblPr>
      <w:tblGrid>
        <w:gridCol w:w="1929"/>
        <w:gridCol w:w="913"/>
        <w:gridCol w:w="2570"/>
        <w:gridCol w:w="900"/>
        <w:gridCol w:w="876"/>
        <w:gridCol w:w="1130"/>
        <w:gridCol w:w="1131"/>
      </w:tblGrid>
      <w:tr>
        <w:tblPrEx>
          <w:tblCellMar>
            <w:top w:w="0" w:type="dxa"/>
            <w:left w:w="108" w:type="dxa"/>
            <w:bottom w:w="0" w:type="dxa"/>
            <w:right w:w="108" w:type="dxa"/>
          </w:tblCellMar>
        </w:tblPrEx>
        <w:trPr>
          <w:trHeight w:val="285" w:hRule="atLeast"/>
        </w:trPr>
        <w:tc>
          <w:tcPr>
            <w:tcW w:w="2842"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07"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243.56</w:t>
            </w: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163.08</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163.08</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243.56</w:t>
            </w: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51.78</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51.78</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12.50</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12.50</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16.20</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16.20</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243.56</w:t>
            </w:r>
            <w:r>
              <w:rPr>
                <w:rFonts w:hint="eastAsia" w:ascii="仿宋_GB2312" w:hAnsi="仿宋_GB2312" w:eastAsia="仿宋_GB2312" w:cs="仿宋_GB2312"/>
                <w:b/>
                <w:bCs/>
                <w:color w:val="auto"/>
                <w:kern w:val="0"/>
                <w:sz w:val="20"/>
                <w:szCs w:val="20"/>
                <w:highlight w:val="none"/>
              </w:rPr>
              <w:t>　</w:t>
            </w:r>
            <w:r>
              <w:rPr>
                <w:rFonts w:hint="eastAsia" w:ascii="仿宋_GB2312" w:hAnsi="宋体" w:eastAsia="仿宋_GB2312" w:cs="宋体"/>
                <w:b/>
                <w:bCs/>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243.56</w:t>
            </w:r>
            <w:r>
              <w:rPr>
                <w:rFonts w:hint="eastAsia" w:ascii="宋体" w:hAnsi="宋体" w:cs="宋体"/>
                <w:color w:val="auto"/>
                <w:kern w:val="0"/>
                <w:sz w:val="22"/>
                <w:szCs w:val="22"/>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243.56</w:t>
            </w:r>
            <w:r>
              <w:rPr>
                <w:rFonts w:hint="eastAsia" w:ascii="宋体" w:hAnsi="宋体" w:cs="宋体"/>
                <w:color w:val="auto"/>
                <w:kern w:val="0"/>
                <w:sz w:val="22"/>
                <w:szCs w:val="22"/>
                <w:highlight w:val="none"/>
              </w:rPr>
              <w:t>　</w:t>
            </w:r>
          </w:p>
        </w:tc>
        <w:tc>
          <w:tcPr>
            <w:tcW w:w="2261"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fixed"/>
        <w:tblCellMar>
          <w:top w:w="0" w:type="dxa"/>
          <w:left w:w="108" w:type="dxa"/>
          <w:bottom w:w="0" w:type="dxa"/>
          <w:right w:w="108" w:type="dxa"/>
        </w:tblCellMar>
      </w:tblPr>
      <w:tblGrid>
        <w:gridCol w:w="516"/>
        <w:gridCol w:w="499"/>
        <w:gridCol w:w="502"/>
        <w:gridCol w:w="2492"/>
        <w:gridCol w:w="657"/>
        <w:gridCol w:w="1020"/>
        <w:gridCol w:w="214"/>
        <w:gridCol w:w="1619"/>
        <w:gridCol w:w="1695"/>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666" w:type="dxa"/>
            <w:gridSpan w:val="5"/>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highlight w:val="none"/>
                <w:lang w:eastAsia="zh-CN"/>
              </w:rPr>
              <w:t>呼图壁县商务和工业信息化局</w:t>
            </w:r>
          </w:p>
        </w:tc>
        <w:tc>
          <w:tcPr>
            <w:tcW w:w="1234"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4" w:type="dxa"/>
            <w:gridSpan w:val="2"/>
            <w:tcBorders>
              <w:top w:val="nil"/>
              <w:left w:val="nil"/>
              <w:bottom w:val="nil"/>
              <w:right w:val="nil"/>
            </w:tcBorders>
            <w:noWrap w:val="0"/>
            <w:vAlign w:val="center"/>
          </w:tcPr>
          <w:p>
            <w:pPr>
              <w:widowControl/>
              <w:ind w:firstLine="1440" w:firstLineChars="600"/>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009"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5"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7"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3"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7"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3"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rPr>
              <w:t>一般公共服务支出</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163.08</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163.08</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b/>
                <w:color w:val="auto"/>
                <w:kern w:val="0"/>
                <w:sz w:val="20"/>
                <w:szCs w:val="20"/>
                <w:highlight w:val="none"/>
              </w:rPr>
            </w:pPr>
            <w:r>
              <w:rPr>
                <w:rFonts w:hint="eastAsia" w:ascii="宋体" w:hAnsi="宋体" w:eastAsia="宋体" w:cs="宋体"/>
                <w:b/>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13</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rPr>
              <w:t>商贸事务</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163.08</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163.08</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13</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01</w:t>
            </w: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rPr>
              <w:t>行政运行</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142.59</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142.59</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13</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50</w:t>
            </w: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rPr>
              <w:t>事业运行</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20.49</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20.49</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eastAsia="zh-CN"/>
              </w:rPr>
              <w:t>社会保障和就业支出</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51.78</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51.78</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eastAsia="zh-CN"/>
              </w:rPr>
              <w:t>行政事业单位养老支出</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51.78</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51.78</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01</w:t>
            </w: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eastAsia="zh-CN"/>
              </w:rPr>
              <w:t>事业单位离退休</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32.27</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32.27</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05</w:t>
            </w: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eastAsia="zh-CN"/>
              </w:rPr>
              <w:t>机关事业单位基本养老保险缴费支出</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19.5</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19.5</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06</w:t>
            </w: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rPr>
              <w:t>机关事业单位职业年金缴费支出</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eastAsia="zh-CN"/>
              </w:rPr>
              <w:t>卫生健康支出</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12.50</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12.50</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eastAsia="zh-CN"/>
              </w:rPr>
              <w:t>行政事业单位医疗</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12.50</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12.50</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01</w:t>
            </w: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eastAsia="zh-CN"/>
              </w:rPr>
              <w:t>行政单位医疗</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8.30</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8.30</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02</w:t>
            </w: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事业</w:t>
            </w:r>
            <w:r>
              <w:rPr>
                <w:rFonts w:hint="eastAsia" w:ascii="宋体" w:hAnsi="宋体" w:eastAsia="宋体" w:cs="宋体"/>
                <w:b w:val="0"/>
                <w:bCs w:val="0"/>
                <w:color w:val="auto"/>
                <w:kern w:val="0"/>
                <w:sz w:val="20"/>
                <w:szCs w:val="20"/>
                <w:highlight w:val="none"/>
                <w:lang w:eastAsia="zh-CN"/>
              </w:rPr>
              <w:t>单位医疗</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1.45</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1.45</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03</w:t>
            </w: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eastAsia="zh-CN"/>
              </w:rPr>
              <w:t>公务员医疗补助</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2.68</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2.68</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99</w:t>
            </w: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eastAsia="zh-CN"/>
              </w:rPr>
              <w:t>其他行政事业单位医疗</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0.07</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0.07</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eastAsia="zh-CN"/>
              </w:rPr>
              <w:t>住房保障支出</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16.20</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16.20</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eastAsia="zh-CN"/>
              </w:rPr>
              <w:t>住房改革支出</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16.20</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16.20</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val="en-US" w:eastAsia="zh-CN"/>
              </w:rPr>
              <w:t>01</w:t>
            </w:r>
          </w:p>
        </w:tc>
        <w:tc>
          <w:tcPr>
            <w:tcW w:w="24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val="0"/>
                <w:bCs w:val="0"/>
                <w:color w:val="auto"/>
                <w:kern w:val="0"/>
                <w:sz w:val="20"/>
                <w:szCs w:val="20"/>
                <w:highlight w:val="none"/>
                <w:lang w:val="en-US" w:eastAsia="zh-CN" w:bidi="ar-SA"/>
              </w:rPr>
            </w:pPr>
            <w:r>
              <w:rPr>
                <w:rFonts w:hint="eastAsia" w:ascii="宋体" w:hAnsi="宋体" w:eastAsia="宋体" w:cs="宋体"/>
                <w:b w:val="0"/>
                <w:bCs w:val="0"/>
                <w:color w:val="auto"/>
                <w:kern w:val="0"/>
                <w:sz w:val="20"/>
                <w:szCs w:val="20"/>
                <w:highlight w:val="none"/>
                <w:lang w:eastAsia="zh-CN"/>
              </w:rPr>
              <w:t>住房公积金</w:t>
            </w:r>
          </w:p>
        </w:tc>
        <w:tc>
          <w:tcPr>
            <w:tcW w:w="1677"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16.20</w:t>
            </w:r>
          </w:p>
        </w:tc>
        <w:tc>
          <w:tcPr>
            <w:tcW w:w="1833" w:type="dxa"/>
            <w:gridSpan w:val="2"/>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16.20</w:t>
            </w:r>
          </w:p>
        </w:tc>
        <w:tc>
          <w:tcPr>
            <w:tcW w:w="1695"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77"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33"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7"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243.56</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243.56</w:t>
            </w:r>
          </w:p>
        </w:tc>
        <w:tc>
          <w:tcPr>
            <w:tcW w:w="16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fixed"/>
        <w:tblCellMar>
          <w:top w:w="0" w:type="dxa"/>
          <w:left w:w="108" w:type="dxa"/>
          <w:bottom w:w="0" w:type="dxa"/>
          <w:right w:w="108" w:type="dxa"/>
        </w:tblCellMar>
      </w:tblPr>
      <w:tblGrid>
        <w:gridCol w:w="757"/>
        <w:gridCol w:w="577"/>
        <w:gridCol w:w="3051"/>
        <w:gridCol w:w="83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5220" w:type="dxa"/>
            <w:gridSpan w:val="4"/>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highlight w:val="none"/>
                <w:lang w:eastAsia="zh-CN"/>
              </w:rPr>
              <w:t>呼图壁县商务和工业信息化局</w:t>
            </w: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38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94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05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54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05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54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工资福利支出</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203.35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203.35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01</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基本工资</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49.12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49.12</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02</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津贴补贴</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42.01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42.01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3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03</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奖金</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38.77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38.77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359"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eastAsia="宋体"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eastAsia="宋体" w:cs="宋体"/>
                <w:color w:val="000000"/>
                <w:kern w:val="0"/>
                <w:sz w:val="20"/>
                <w:szCs w:val="20"/>
                <w:highlight w:val="none"/>
                <w:lang w:val="en-US" w:eastAsia="zh-CN"/>
              </w:rPr>
              <w:t>07</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eastAsia="宋体" w:cs="宋体"/>
                <w:color w:val="000000"/>
                <w:kern w:val="0"/>
                <w:sz w:val="20"/>
                <w:szCs w:val="20"/>
                <w:highlight w:val="none"/>
                <w:lang w:val="en-US" w:eastAsia="zh-CN"/>
              </w:rPr>
              <w:t>绩效工资</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5.08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5.08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08</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机关事业单位基本养老保险缴费</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19.50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19.50</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10</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城镇职工基本医疗保险缴费</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9.75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9.75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11</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公务员医疗补助缴费</w:t>
            </w:r>
          </w:p>
        </w:tc>
        <w:tc>
          <w:tcPr>
            <w:tcW w:w="1541" w:type="dxa"/>
            <w:gridSpan w:val="2"/>
            <w:tcBorders>
              <w:top w:val="nil"/>
              <w:left w:val="nil"/>
              <w:bottom w:val="single" w:color="auto" w:sz="4" w:space="0"/>
              <w:right w:val="single" w:color="auto" w:sz="4" w:space="0"/>
            </w:tcBorders>
            <w:noWrap w:val="0"/>
            <w:vAlign w:val="center"/>
          </w:tcPr>
          <w:p>
            <w:pPr>
              <w:widowControl/>
              <w:ind w:firstLine="400" w:firstLineChars="200"/>
              <w:jc w:val="both"/>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2.68</w:t>
            </w:r>
          </w:p>
        </w:tc>
        <w:tc>
          <w:tcPr>
            <w:tcW w:w="1701" w:type="dxa"/>
            <w:gridSpan w:val="2"/>
            <w:tcBorders>
              <w:top w:val="nil"/>
              <w:left w:val="nil"/>
              <w:bottom w:val="single" w:color="auto" w:sz="4" w:space="0"/>
              <w:right w:val="single" w:color="auto" w:sz="4" w:space="0"/>
            </w:tcBorders>
            <w:noWrap w:val="0"/>
            <w:vAlign w:val="center"/>
          </w:tcPr>
          <w:p>
            <w:pPr>
              <w:widowControl/>
              <w:ind w:firstLine="400" w:firstLineChars="200"/>
              <w:jc w:val="both"/>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2.68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12</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其他社会保障缴费</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0.65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0.65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13</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住房公积金</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16.20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16.20</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99</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其他工资福利支出</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19.58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19.58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326"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商品和服务支出</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7.94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7.94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01</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办公费</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1.06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1.06</w:t>
            </w:r>
          </w:p>
        </w:tc>
      </w:tr>
      <w:tr>
        <w:tblPrEx>
          <w:tblCellMar>
            <w:top w:w="0" w:type="dxa"/>
            <w:left w:w="108" w:type="dxa"/>
            <w:bottom w:w="0" w:type="dxa"/>
            <w:right w:w="108" w:type="dxa"/>
          </w:tblCellMar>
        </w:tblPrEx>
        <w:trPr>
          <w:trHeight w:val="34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eastAsia="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eastAsia="宋体" w:cs="宋体"/>
                <w:color w:val="000000"/>
                <w:kern w:val="0"/>
                <w:sz w:val="20"/>
                <w:szCs w:val="20"/>
                <w:highlight w:val="none"/>
                <w:lang w:val="en-US" w:eastAsia="zh-CN"/>
              </w:rPr>
              <w:t>02</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eastAsia="宋体" w:cs="宋体"/>
                <w:color w:val="000000"/>
                <w:kern w:val="0"/>
                <w:sz w:val="20"/>
                <w:szCs w:val="20"/>
                <w:highlight w:val="none"/>
                <w:lang w:val="en-US" w:eastAsia="zh-CN"/>
              </w:rPr>
              <w:t>印刷费</w:t>
            </w:r>
          </w:p>
        </w:tc>
        <w:tc>
          <w:tcPr>
            <w:tcW w:w="1541" w:type="dxa"/>
            <w:gridSpan w:val="2"/>
            <w:tcBorders>
              <w:top w:val="nil"/>
              <w:left w:val="nil"/>
              <w:bottom w:val="single" w:color="auto" w:sz="4" w:space="0"/>
              <w:right w:val="single" w:color="auto" w:sz="4" w:space="0"/>
            </w:tcBorders>
            <w:noWrap w:val="0"/>
            <w:vAlign w:val="center"/>
          </w:tcPr>
          <w:p>
            <w:pPr>
              <w:widowControl/>
              <w:ind w:firstLine="200" w:firstLineChars="10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0.12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ind w:firstLine="600" w:firstLineChars="300"/>
              <w:jc w:val="both"/>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0.12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eastAsia="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eastAsia="宋体" w:cs="宋体"/>
                <w:color w:val="000000"/>
                <w:kern w:val="0"/>
                <w:sz w:val="20"/>
                <w:szCs w:val="20"/>
                <w:highlight w:val="none"/>
                <w:lang w:val="en-US" w:eastAsia="zh-CN"/>
              </w:rPr>
              <w:t>05</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eastAsia="宋体" w:cs="宋体"/>
                <w:color w:val="000000"/>
                <w:kern w:val="0"/>
                <w:sz w:val="20"/>
                <w:szCs w:val="20"/>
                <w:highlight w:val="none"/>
                <w:lang w:val="en-US" w:eastAsia="zh-CN"/>
              </w:rPr>
              <w:t>水费</w:t>
            </w:r>
          </w:p>
        </w:tc>
        <w:tc>
          <w:tcPr>
            <w:tcW w:w="1541" w:type="dxa"/>
            <w:gridSpan w:val="2"/>
            <w:tcBorders>
              <w:top w:val="nil"/>
              <w:left w:val="nil"/>
              <w:bottom w:val="single" w:color="auto" w:sz="4" w:space="0"/>
              <w:right w:val="single" w:color="auto" w:sz="4" w:space="0"/>
            </w:tcBorders>
            <w:noWrap w:val="0"/>
            <w:vAlign w:val="center"/>
          </w:tcPr>
          <w:p>
            <w:pPr>
              <w:widowControl/>
              <w:ind w:firstLine="200" w:firstLineChars="10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0.02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ind w:firstLine="600" w:firstLineChars="300"/>
              <w:jc w:val="both"/>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0.02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06</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电费</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0.07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0.07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07</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邮电费</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0.41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0.41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eastAsia="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eastAsia="宋体" w:cs="宋体"/>
                <w:color w:val="000000"/>
                <w:kern w:val="0"/>
                <w:sz w:val="20"/>
                <w:szCs w:val="20"/>
                <w:highlight w:val="none"/>
                <w:lang w:val="en-US" w:eastAsia="zh-CN"/>
              </w:rPr>
              <w:t>11</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eastAsia="宋体" w:cs="宋体"/>
                <w:color w:val="000000"/>
                <w:kern w:val="0"/>
                <w:sz w:val="20"/>
                <w:szCs w:val="20"/>
                <w:highlight w:val="none"/>
                <w:lang w:val="en-US" w:eastAsia="zh-CN"/>
              </w:rPr>
              <w:t>差旅费</w:t>
            </w:r>
          </w:p>
        </w:tc>
        <w:tc>
          <w:tcPr>
            <w:tcW w:w="1541" w:type="dxa"/>
            <w:gridSpan w:val="2"/>
            <w:tcBorders>
              <w:top w:val="nil"/>
              <w:left w:val="nil"/>
              <w:bottom w:val="single" w:color="auto" w:sz="4" w:space="0"/>
              <w:right w:val="single" w:color="auto" w:sz="4" w:space="0"/>
            </w:tcBorders>
            <w:noWrap w:val="0"/>
            <w:vAlign w:val="center"/>
          </w:tcPr>
          <w:p>
            <w:pPr>
              <w:widowControl/>
              <w:ind w:firstLine="600" w:firstLineChars="300"/>
              <w:jc w:val="both"/>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0.34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ind w:firstLine="200" w:firstLineChars="100"/>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0.34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eastAsia="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eastAsia="宋体" w:cs="宋体"/>
                <w:color w:val="000000"/>
                <w:kern w:val="0"/>
                <w:sz w:val="20"/>
                <w:szCs w:val="20"/>
                <w:highlight w:val="none"/>
                <w:lang w:val="en-US" w:eastAsia="zh-CN"/>
              </w:rPr>
              <w:t>17</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rPr>
            </w:pPr>
            <w:r>
              <w:rPr>
                <w:rFonts w:hint="eastAsia" w:ascii="宋体" w:hAnsi="宋体" w:eastAsia="宋体" w:cs="宋体"/>
                <w:color w:val="000000"/>
                <w:kern w:val="0"/>
                <w:sz w:val="20"/>
                <w:szCs w:val="20"/>
                <w:highlight w:val="none"/>
                <w:lang w:val="en-US" w:eastAsia="zh-CN"/>
              </w:rPr>
              <w:t>公务接待费</w:t>
            </w:r>
          </w:p>
        </w:tc>
        <w:tc>
          <w:tcPr>
            <w:tcW w:w="1541" w:type="dxa"/>
            <w:gridSpan w:val="2"/>
            <w:tcBorders>
              <w:top w:val="nil"/>
              <w:left w:val="nil"/>
              <w:bottom w:val="single" w:color="auto" w:sz="4" w:space="0"/>
              <w:right w:val="single" w:color="auto" w:sz="4" w:space="0"/>
            </w:tcBorders>
            <w:noWrap w:val="0"/>
            <w:vAlign w:val="center"/>
          </w:tcPr>
          <w:p>
            <w:pPr>
              <w:widowControl/>
              <w:ind w:firstLine="200" w:firstLineChars="10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0.36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ind w:firstLine="200" w:firstLineChars="100"/>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0.36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28</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工会经费</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2.36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2.36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31</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公务用车运行维护费</w:t>
            </w:r>
          </w:p>
        </w:tc>
        <w:tc>
          <w:tcPr>
            <w:tcW w:w="1541" w:type="dxa"/>
            <w:gridSpan w:val="2"/>
            <w:tcBorders>
              <w:top w:val="nil"/>
              <w:left w:val="nil"/>
              <w:bottom w:val="single" w:color="auto" w:sz="4" w:space="0"/>
              <w:right w:val="single" w:color="auto" w:sz="4" w:space="0"/>
            </w:tcBorders>
            <w:noWrap w:val="0"/>
            <w:vAlign w:val="center"/>
          </w:tcPr>
          <w:p>
            <w:pPr>
              <w:widowControl/>
              <w:ind w:firstLine="200" w:firstLineChars="10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3.20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ind w:firstLine="200" w:firstLineChars="100"/>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3.20</w:t>
            </w:r>
          </w:p>
        </w:tc>
      </w:tr>
      <w:tr>
        <w:tblPrEx>
          <w:tblCellMar>
            <w:top w:w="0" w:type="dxa"/>
            <w:left w:w="108" w:type="dxa"/>
            <w:bottom w:w="0" w:type="dxa"/>
            <w:right w:w="108" w:type="dxa"/>
          </w:tblCellMar>
        </w:tblPrEx>
        <w:trPr>
          <w:trHeight w:val="359"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对个人和家庭的补助</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32.27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32.27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3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01</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离休费</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16.93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16.93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359"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02</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退休费</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14.76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rPr>
              <w:t>14.76</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33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val="en-US" w:eastAsia="zh-CN"/>
              </w:rPr>
              <w:t>09</w:t>
            </w: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highlight w:val="none"/>
                <w:lang w:val="en-US" w:eastAsia="zh-CN" w:bidi="ar-SA"/>
              </w:rPr>
            </w:pPr>
            <w:r>
              <w:rPr>
                <w:rFonts w:hint="eastAsia" w:ascii="宋体" w:hAnsi="宋体" w:eastAsia="宋体" w:cs="宋体"/>
                <w:color w:val="000000"/>
                <w:kern w:val="0"/>
                <w:sz w:val="20"/>
                <w:szCs w:val="20"/>
                <w:highlight w:val="none"/>
                <w:lang w:eastAsia="zh-CN"/>
              </w:rPr>
              <w:t>奖励金</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0.59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0.59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p>
        </w:tc>
        <w:tc>
          <w:tcPr>
            <w:tcW w:w="305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rPr>
            </w:pPr>
            <w:r>
              <w:rPr>
                <w:rFonts w:hint="eastAsia" w:ascii="宋体" w:hAnsi="宋体" w:eastAsia="宋体" w:cs="宋体"/>
                <w:b/>
                <w:bCs/>
                <w:color w:val="auto"/>
                <w:kern w:val="0"/>
                <w:sz w:val="20"/>
                <w:szCs w:val="20"/>
                <w:highlight w:val="none"/>
              </w:rPr>
              <w:t>合  计</w:t>
            </w:r>
          </w:p>
        </w:tc>
        <w:tc>
          <w:tcPr>
            <w:tcW w:w="154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243.56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235.63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7.94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561"/>
        <w:gridCol w:w="530"/>
        <w:gridCol w:w="639"/>
        <w:gridCol w:w="639"/>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5294" w:type="dxa"/>
            <w:gridSpan w:val="8"/>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highlight w:val="none"/>
                <w:lang w:eastAsia="zh-CN"/>
              </w:rPr>
              <w:t>呼图壁县商务和工业信息化局</w:t>
            </w:r>
          </w:p>
        </w:tc>
        <w:tc>
          <w:tcPr>
            <w:tcW w:w="168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noWrap w:val="0"/>
            <w:vAlign w:val="center"/>
          </w:tcPr>
          <w:p>
            <w:pPr>
              <w:widowControl/>
              <w:jc w:val="center"/>
              <w:outlineLvl w:val="1"/>
              <w:rPr>
                <w:rFonts w:ascii="仿宋_GB2312" w:hAnsi="宋体" w:eastAsia="仿宋_GB2312"/>
                <w:color w:val="auto"/>
                <w:kern w:val="0"/>
                <w:szCs w:val="21"/>
                <w:highlight w:val="none"/>
              </w:rPr>
            </w:pPr>
          </w:p>
        </w:tc>
        <w:tc>
          <w:tcPr>
            <w:tcW w:w="56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spacing w:line="280" w:lineRule="exact"/>
        <w:outlineLvl w:val="1"/>
        <w:rPr>
          <w:rFonts w:hint="eastAsia" w:ascii="仿宋_GB2312" w:hAnsi="宋体" w:eastAsia="仿宋_GB2312"/>
          <w:b/>
          <w:kern w:val="0"/>
          <w:sz w:val="28"/>
          <w:szCs w:val="32"/>
          <w:highlight w:val="none"/>
          <w:lang w:val="en-US" w:eastAsia="zh-CN"/>
        </w:rPr>
      </w:pPr>
    </w:p>
    <w:p>
      <w:pPr>
        <w:widowControl/>
        <w:spacing w:line="280" w:lineRule="exact"/>
        <w:outlineLvl w:val="1"/>
        <w:rPr>
          <w:rFonts w:hint="eastAsia" w:ascii="仿宋_GB2312" w:hAnsi="宋体" w:eastAsia="仿宋_GB2312"/>
          <w:b/>
          <w:kern w:val="0"/>
          <w:sz w:val="28"/>
          <w:szCs w:val="32"/>
          <w:highlight w:val="none"/>
          <w:lang w:val="en-US" w:eastAsia="zh-CN"/>
        </w:rPr>
      </w:pPr>
      <w:r>
        <w:rPr>
          <w:rFonts w:hint="eastAsia" w:ascii="仿宋_GB2312" w:hAnsi="宋体" w:eastAsia="仿宋_GB2312"/>
          <w:b/>
          <w:kern w:val="0"/>
          <w:sz w:val="28"/>
          <w:szCs w:val="32"/>
          <w:highlight w:val="none"/>
          <w:lang w:val="en-US" w:eastAsia="zh-CN"/>
        </w:rPr>
        <w:t>备注：2024年本单位无一般公共预算项目支出安排，此表为空。</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highlight w:val="none"/>
          <w:lang w:eastAsia="zh-CN"/>
        </w:rPr>
        <w:t>呼图壁县商务和工业信息化局</w:t>
      </w:r>
      <w:r>
        <w:rPr>
          <w:rFonts w:hint="eastAsia" w:ascii="仿宋_GB2312" w:hAnsi="宋体" w:eastAsia="仿宋_GB2312"/>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kern w:val="0"/>
          <w:sz w:val="28"/>
          <w:szCs w:val="32"/>
          <w:highlight w:val="none"/>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kern w:val="0"/>
          <w:sz w:val="28"/>
          <w:szCs w:val="32"/>
          <w:highlight w:val="none"/>
          <w:lang w:val="en-US" w:eastAsia="zh-CN"/>
        </w:rPr>
        <w:t>2024年本单位无政府性基金预算支出安排，此表为空</w:t>
      </w:r>
      <w:r>
        <w:rPr>
          <w:rFonts w:hint="eastAsia" w:ascii="仿宋_GB2312" w:hAnsi="宋体" w:eastAsia="仿宋_GB2312"/>
          <w:b/>
          <w:kern w:val="0"/>
          <w:sz w:val="28"/>
          <w:szCs w:val="32"/>
          <w:highlight w:val="none"/>
        </w:rPr>
        <w:t>。</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kern w:val="0"/>
          <w:sz w:val="28"/>
          <w:szCs w:val="32"/>
          <w:highlight w:val="none"/>
          <w:lang w:val="en-US" w:eastAsia="zh-CN"/>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highlight w:val="none"/>
          <w:lang w:eastAsia="zh-CN"/>
        </w:rPr>
        <w:t>呼图壁县商务和工业信息化局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kern w:val="0"/>
          <w:sz w:val="28"/>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highlight w:val="none"/>
          <w:lang w:val="en-US" w:eastAsia="zh-CN"/>
        </w:rPr>
        <w:t>2024年本单位无国有资本经营预算支出安排，此表为空</w:t>
      </w:r>
      <w:r>
        <w:rPr>
          <w:rFonts w:hint="eastAsia" w:ascii="仿宋_GB2312" w:hAnsi="宋体" w:eastAsia="仿宋_GB2312"/>
          <w:b/>
          <w:kern w:val="0"/>
          <w:sz w:val="28"/>
          <w:szCs w:val="32"/>
          <w:highlight w:val="none"/>
        </w:rPr>
        <w:t>。</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highlight w:val="none"/>
          <w:lang w:eastAsia="zh-CN"/>
        </w:rPr>
        <w:t>呼图壁县商务和工业信息化局</w:t>
      </w:r>
      <w:r>
        <w:rPr>
          <w:rFonts w:hint="eastAsia" w:ascii="仿宋_GB2312" w:hAnsi="宋体" w:eastAsia="仿宋_GB2312"/>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3.56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3.56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0.36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0.36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3.2</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widowControl/>
        <w:jc w:val="center"/>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highlight w:val="none"/>
          <w:lang w:eastAsia="zh-CN"/>
        </w:rPr>
        <w:t>呼图壁县商务和工业信息化局</w:t>
      </w:r>
      <w:r>
        <w:rPr>
          <w:rFonts w:hint="eastAsia" w:ascii="仿宋_GB2312" w:hAnsi="宋体" w:eastAsia="仿宋_GB2312"/>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kern w:val="0"/>
          <w:sz w:val="28"/>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highlight w:val="none"/>
          <w:lang w:val="en-US" w:eastAsia="zh-CN"/>
        </w:rPr>
        <w:t>2024年本单位无上年结转结余，此表为空</w:t>
      </w:r>
      <w:r>
        <w:rPr>
          <w:rFonts w:hint="eastAsia" w:ascii="仿宋_GB2312" w:hAnsi="宋体" w:eastAsia="仿宋_GB2312"/>
          <w:b/>
          <w:kern w:val="0"/>
          <w:sz w:val="28"/>
          <w:szCs w:val="32"/>
          <w:highlight w:val="none"/>
        </w:rPr>
        <w:t>。</w:t>
      </w: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呼图壁县商务和工业信息化局</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w:t>
      </w:r>
      <w:r>
        <w:rPr>
          <w:rFonts w:hint="eastAsia" w:ascii="楷体_GB2312" w:hAnsi="楷体_GB2312" w:eastAsia="楷体_GB2312" w:cs="楷体_GB2312"/>
          <w:b/>
          <w:kern w:val="0"/>
          <w:sz w:val="32"/>
          <w:szCs w:val="32"/>
          <w:highlight w:val="none"/>
          <w:lang w:eastAsia="zh-CN"/>
        </w:rPr>
        <w:t>商务和工业信息化局</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仿宋_GB2312" w:eastAsia="仿宋_GB2312" w:cs="仿宋_GB2312"/>
          <w:b w:val="0"/>
          <w:bCs w:val="0"/>
          <w:color w:val="000000"/>
          <w:kern w:val="0"/>
          <w:sz w:val="32"/>
          <w:szCs w:val="32"/>
          <w:highlight w:val="none"/>
          <w:lang w:val="en-US" w:eastAsia="zh-CN" w:bidi="ar"/>
        </w:rPr>
        <w:t>呼图壁县商务和工业信息化局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仿宋_GB2312" w:eastAsia="仿宋_GB2312" w:cs="仿宋_GB2312"/>
          <w:b w:val="0"/>
          <w:bCs w:val="0"/>
          <w:color w:val="000000"/>
          <w:kern w:val="0"/>
          <w:sz w:val="32"/>
          <w:szCs w:val="32"/>
          <w:highlight w:val="none"/>
          <w:lang w:val="en-US" w:eastAsia="zh-CN" w:bidi="ar"/>
        </w:rPr>
        <w:t>呼图壁县商务和工业信息化局</w:t>
      </w:r>
      <w:r>
        <w:rPr>
          <w:rFonts w:hint="eastAsia" w:ascii="仿宋_GB2312" w:hAnsi="宋体" w:eastAsia="仿宋_GB2312" w:cs="宋体"/>
          <w:color w:val="auto"/>
          <w:kern w:val="0"/>
          <w:sz w:val="32"/>
          <w:szCs w:val="32"/>
          <w:highlight w:val="none"/>
        </w:rPr>
        <w:t xml:space="preserve">预算管理。收支总预算 </w:t>
      </w:r>
      <w:r>
        <w:rPr>
          <w:rFonts w:hint="eastAsia" w:ascii="仿宋_GB2312" w:hAnsi="宋体" w:eastAsia="仿宋_GB2312" w:cs="宋体"/>
          <w:color w:val="auto"/>
          <w:kern w:val="0"/>
          <w:sz w:val="32"/>
          <w:szCs w:val="32"/>
          <w:highlight w:val="none"/>
          <w:lang w:val="en-US" w:eastAsia="zh-CN"/>
        </w:rPr>
        <w:t>772.50</w:t>
      </w:r>
      <w:r>
        <w:rPr>
          <w:rFonts w:hint="eastAsia" w:ascii="仿宋_GB2312" w:hAnsi="宋体" w:eastAsia="仿宋_GB2312" w:cs="宋体"/>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243.56万元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528.95万元。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530.18万元</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112.98万元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63.46万元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65.88万元。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w:t>
      </w:r>
      <w:r>
        <w:rPr>
          <w:rFonts w:hint="eastAsia" w:ascii="楷体_GB2312" w:hAnsi="楷体_GB2312" w:eastAsia="楷体_GB2312" w:cs="楷体_GB2312"/>
          <w:b/>
          <w:kern w:val="0"/>
          <w:sz w:val="32"/>
          <w:szCs w:val="32"/>
          <w:highlight w:val="none"/>
          <w:lang w:eastAsia="zh-CN"/>
        </w:rPr>
        <w:t>商务和工业信息化局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呼图壁县商务和工业信息化局</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772.51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243.56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31.53</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20.16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7.64%，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在职在编人数减少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 xml:space="preserve">预算未安排。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528.95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68.47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388.95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277.82%，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人员费用和给企业奖补资金增加。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val="en-US" w:eastAsia="zh-CN"/>
        </w:rPr>
        <w:t>呼图壁县</w:t>
      </w:r>
      <w:r>
        <w:rPr>
          <w:rFonts w:hint="eastAsia" w:ascii="楷体_GB2312" w:hAnsi="楷体_GB2312" w:eastAsia="楷体_GB2312" w:cs="楷体_GB2312"/>
          <w:b/>
          <w:kern w:val="0"/>
          <w:sz w:val="32"/>
          <w:szCs w:val="32"/>
          <w:highlight w:val="none"/>
          <w:lang w:eastAsia="zh-CN"/>
        </w:rPr>
        <w:t>商务和工业信息化局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呼图壁县商务和工业信息化局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772.51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772.51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368.79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91.35%，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人员费用和给企业奖补资金增加。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比上年增加0万元，0增长%，</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上年和今年均未安排</w:t>
      </w:r>
      <w:r>
        <w:rPr>
          <w:rFonts w:hint="eastAsia" w:ascii="仿宋_GB2312" w:hAnsi="宋体" w:eastAsia="仿宋_GB2312" w:cs="宋体"/>
          <w:color w:val="auto"/>
          <w:kern w:val="0"/>
          <w:sz w:val="32"/>
          <w:szCs w:val="32"/>
          <w:highlight w:val="none"/>
          <w:lang w:eastAsia="zh-CN"/>
        </w:rPr>
        <w:t>年初</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lang w:eastAsia="zh-CN"/>
        </w:rPr>
        <w:t>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val="en-US" w:eastAsia="zh-CN"/>
        </w:rPr>
        <w:t>呼图壁县</w:t>
      </w:r>
      <w:r>
        <w:rPr>
          <w:rFonts w:hint="eastAsia" w:ascii="楷体_GB2312" w:hAnsi="楷体_GB2312" w:eastAsia="楷体_GB2312" w:cs="楷体_GB2312"/>
          <w:b/>
          <w:kern w:val="0"/>
          <w:sz w:val="32"/>
          <w:szCs w:val="32"/>
          <w:highlight w:val="none"/>
          <w:lang w:eastAsia="zh-CN"/>
        </w:rPr>
        <w:t>商务和工业信息化局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呼图壁县商务和工业信息化局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243.56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243.56</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kern w:val="0"/>
          <w:sz w:val="32"/>
          <w:szCs w:val="32"/>
          <w:highlight w:val="none"/>
        </w:rPr>
        <w:t>一般公共服务支出</w:t>
      </w:r>
      <w:r>
        <w:rPr>
          <w:rFonts w:hint="eastAsia" w:ascii="仿宋_GB2312" w:hAnsi="宋体" w:eastAsia="仿宋_GB2312" w:cs="宋体"/>
          <w:kern w:val="0"/>
          <w:sz w:val="32"/>
          <w:szCs w:val="32"/>
          <w:highlight w:val="none"/>
          <w:lang w:val="en-US" w:eastAsia="zh-CN"/>
        </w:rPr>
        <w:t>163.08</w:t>
      </w:r>
      <w:r>
        <w:rPr>
          <w:rFonts w:hint="eastAsia" w:ascii="仿宋_GB2312" w:hAnsi="宋体" w:eastAsia="仿宋_GB2312" w:cs="宋体"/>
          <w:kern w:val="0"/>
          <w:sz w:val="32"/>
          <w:szCs w:val="32"/>
          <w:highlight w:val="none"/>
        </w:rPr>
        <w:t>万元，主要用于</w:t>
      </w:r>
      <w:r>
        <w:rPr>
          <w:rFonts w:hint="eastAsia" w:ascii="仿宋_GB2312" w:hAnsi="宋体" w:eastAsia="仿宋_GB2312" w:cs="宋体"/>
          <w:kern w:val="0"/>
          <w:sz w:val="32"/>
          <w:szCs w:val="32"/>
          <w:highlight w:val="none"/>
          <w:lang w:eastAsia="zh-CN"/>
        </w:rPr>
        <w:t>发放在职人员工资；社会保障和就业支出</w:t>
      </w:r>
      <w:r>
        <w:rPr>
          <w:rFonts w:hint="eastAsia" w:ascii="仿宋_GB2312" w:hAnsi="宋体" w:eastAsia="仿宋_GB2312" w:cs="宋体"/>
          <w:kern w:val="0"/>
          <w:sz w:val="32"/>
          <w:szCs w:val="32"/>
          <w:highlight w:val="none"/>
          <w:lang w:val="en-US" w:eastAsia="zh-CN"/>
        </w:rPr>
        <w:t>51.78万元，主要用于缴纳在职人员养老保险；卫生健康支出12.50万元，主要用于缴纳在职人员医疗保险及公务员医疗补助其他社会保障缴费；住房保障支出16.20万元，主要用于缴纳在职职工住房公积金</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w:t>
      </w:r>
      <w:r>
        <w:rPr>
          <w:rFonts w:hint="eastAsia" w:ascii="楷体_GB2312" w:hAnsi="楷体_GB2312" w:eastAsia="楷体_GB2312" w:cs="楷体_GB2312"/>
          <w:b/>
          <w:kern w:val="0"/>
          <w:sz w:val="32"/>
          <w:szCs w:val="32"/>
          <w:highlight w:val="none"/>
          <w:lang w:eastAsia="zh-CN"/>
        </w:rPr>
        <w:t>商务和工业信息化局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rPr>
      </w:pPr>
      <w:r>
        <w:rPr>
          <w:rFonts w:hint="eastAsia" w:ascii="仿宋_GB2312" w:hAnsi="宋体" w:eastAsia="仿宋_GB2312" w:cs="宋体"/>
          <w:color w:val="auto"/>
          <w:kern w:val="0"/>
          <w:sz w:val="32"/>
          <w:szCs w:val="32"/>
          <w:highlight w:val="none"/>
          <w:lang w:val="en-US" w:eastAsia="zh-CN"/>
        </w:rPr>
        <w:t>呼图壁县商务和工业信息化局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243.56</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243.56</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0.16</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0.07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kern w:val="0"/>
          <w:sz w:val="32"/>
          <w:szCs w:val="32"/>
          <w:highlight w:val="none"/>
          <w:lang w:eastAsia="zh-CN"/>
        </w:rPr>
        <w:t>人员调出，经费较少。</w:t>
      </w: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比上年预算增加</w:t>
      </w:r>
      <w:r>
        <w:rPr>
          <w:rFonts w:hint="eastAsia" w:ascii="仿宋_GB2312" w:hAnsi="宋体" w:eastAsia="仿宋_GB2312" w:cs="宋体"/>
          <w:color w:val="auto"/>
          <w:kern w:val="0"/>
          <w:sz w:val="32"/>
          <w:szCs w:val="32"/>
          <w:highlight w:val="none"/>
          <w:lang w:val="en-US" w:eastAsia="zh-CN"/>
        </w:rPr>
        <w:t>0万元，增长0%，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上年无项目预算，本年也无项目预算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sz w:val="32"/>
          <w:szCs w:val="32"/>
          <w:highlight w:val="none"/>
        </w:rPr>
        <w:t>1.一般公共服务</w:t>
      </w:r>
      <w:r>
        <w:rPr>
          <w:rFonts w:hint="eastAsia" w:ascii="仿宋_GB2312" w:hAnsi="仿宋_GB2312" w:eastAsia="仿宋_GB2312" w:cs="仿宋_GB2312"/>
          <w:sz w:val="32"/>
          <w:szCs w:val="32"/>
          <w:highlight w:val="none"/>
          <w:lang w:val="en-US" w:eastAsia="zh-CN"/>
        </w:rPr>
        <w:t>支出</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201类</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163.08</w:t>
      </w:r>
      <w:r>
        <w:rPr>
          <w:rFonts w:hint="eastAsia" w:ascii="仿宋_GB2312" w:hAnsi="仿宋_GB2312" w:eastAsia="仿宋_GB2312" w:cs="仿宋_GB2312"/>
          <w:kern w:val="0"/>
          <w:sz w:val="32"/>
          <w:szCs w:val="32"/>
          <w:highlight w:val="none"/>
        </w:rPr>
        <w:t>万元，占</w:t>
      </w:r>
      <w:r>
        <w:rPr>
          <w:rFonts w:hint="eastAsia" w:ascii="仿宋_GB2312" w:hAnsi="仿宋_GB2312" w:eastAsia="仿宋_GB2312" w:cs="仿宋_GB2312"/>
          <w:kern w:val="0"/>
          <w:sz w:val="32"/>
          <w:szCs w:val="32"/>
          <w:highlight w:val="none"/>
          <w:lang w:val="en-US" w:eastAsia="zh-CN"/>
        </w:rPr>
        <w:t>66.96</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2.</w:t>
      </w:r>
      <w:r>
        <w:rPr>
          <w:rFonts w:hint="eastAsia" w:ascii="仿宋_GB2312" w:hAnsi="仿宋_GB2312" w:eastAsia="仿宋_GB2312" w:cs="仿宋_GB2312"/>
          <w:kern w:val="0"/>
          <w:sz w:val="32"/>
          <w:szCs w:val="32"/>
          <w:highlight w:val="none"/>
          <w:lang w:eastAsia="zh-CN"/>
        </w:rPr>
        <w:t>社会保障和就业支出（</w:t>
      </w:r>
      <w:r>
        <w:rPr>
          <w:rFonts w:hint="eastAsia" w:ascii="仿宋_GB2312" w:hAnsi="仿宋_GB2312" w:eastAsia="仿宋_GB2312" w:cs="仿宋_GB2312"/>
          <w:kern w:val="0"/>
          <w:sz w:val="32"/>
          <w:szCs w:val="32"/>
          <w:highlight w:val="none"/>
          <w:lang w:val="en-US" w:eastAsia="zh-CN"/>
        </w:rPr>
        <w:t>208</w:t>
      </w:r>
      <w:r>
        <w:rPr>
          <w:rFonts w:hint="eastAsia" w:ascii="仿宋_GB2312" w:hAnsi="仿宋_GB2312" w:eastAsia="仿宋_GB2312" w:cs="仿宋_GB2312"/>
          <w:sz w:val="32"/>
          <w:szCs w:val="32"/>
          <w:highlight w:val="none"/>
          <w:lang w:val="en-US" w:eastAsia="zh-CN"/>
        </w:rPr>
        <w:t>类</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51.78万元，占21.26%。</w:t>
      </w:r>
    </w:p>
    <w:p>
      <w:pPr>
        <w:spacing w:line="560" w:lineRule="exact"/>
        <w:ind w:firstLine="640" w:firstLineChars="200"/>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3.卫生健康支出（210</w:t>
      </w:r>
      <w:r>
        <w:rPr>
          <w:rFonts w:hint="eastAsia" w:ascii="仿宋_GB2312" w:hAnsi="仿宋_GB2312" w:eastAsia="仿宋_GB2312" w:cs="仿宋_GB2312"/>
          <w:sz w:val="32"/>
          <w:szCs w:val="32"/>
          <w:highlight w:val="none"/>
          <w:lang w:val="en-US" w:eastAsia="zh-CN"/>
        </w:rPr>
        <w:t>类</w:t>
      </w:r>
      <w:r>
        <w:rPr>
          <w:rFonts w:hint="eastAsia" w:ascii="仿宋_GB2312" w:hAnsi="仿宋_GB2312" w:eastAsia="仿宋_GB2312" w:cs="仿宋_GB2312"/>
          <w:kern w:val="0"/>
          <w:sz w:val="32"/>
          <w:szCs w:val="32"/>
          <w:highlight w:val="none"/>
          <w:lang w:val="en-US" w:eastAsia="zh-CN"/>
        </w:rPr>
        <w:t>）12.50万元，占5.13%。</w:t>
      </w:r>
    </w:p>
    <w:p>
      <w:pPr>
        <w:spacing w:line="560" w:lineRule="exact"/>
        <w:ind w:firstLine="640" w:firstLineChars="200"/>
        <w:rPr>
          <w:rFonts w:hint="eastAsia" w:ascii="仿宋_GB2312" w:hAnsi="仿宋_GB2312" w:eastAsia="仿宋_GB2312" w:cs="仿宋_GB2312"/>
          <w:b/>
          <w:color w:val="FF0000"/>
          <w:sz w:val="32"/>
          <w:szCs w:val="32"/>
          <w:highlight w:val="none"/>
        </w:rPr>
      </w:pPr>
      <w:r>
        <w:rPr>
          <w:rFonts w:hint="eastAsia" w:ascii="仿宋_GB2312" w:hAnsi="仿宋_GB2312" w:eastAsia="仿宋_GB2312" w:cs="仿宋_GB2312"/>
          <w:kern w:val="0"/>
          <w:sz w:val="32"/>
          <w:szCs w:val="32"/>
          <w:highlight w:val="none"/>
          <w:lang w:val="en-US" w:eastAsia="zh-CN"/>
        </w:rPr>
        <w:t>4.住房保障支出（221</w:t>
      </w:r>
      <w:r>
        <w:rPr>
          <w:rFonts w:hint="eastAsia" w:ascii="仿宋_GB2312" w:hAnsi="仿宋_GB2312" w:eastAsia="仿宋_GB2312" w:cs="仿宋_GB2312"/>
          <w:sz w:val="32"/>
          <w:szCs w:val="32"/>
          <w:highlight w:val="none"/>
          <w:lang w:val="en-US" w:eastAsia="zh-CN"/>
        </w:rPr>
        <w:t>类</w:t>
      </w:r>
      <w:r>
        <w:rPr>
          <w:rFonts w:hint="eastAsia" w:ascii="仿宋_GB2312" w:hAnsi="仿宋_GB2312" w:eastAsia="仿宋_GB2312" w:cs="仿宋_GB2312"/>
          <w:kern w:val="0"/>
          <w:sz w:val="32"/>
          <w:szCs w:val="32"/>
          <w:highlight w:val="none"/>
          <w:lang w:val="en-US" w:eastAsia="zh-CN"/>
        </w:rPr>
        <w:t>）16.20万元，占6.65%。</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1.一般公共服务</w:t>
      </w:r>
      <w:r>
        <w:rPr>
          <w:rFonts w:hint="eastAsia" w:ascii="仿宋_GB2312" w:hAnsi="仿宋_GB2312" w:eastAsia="仿宋_GB2312" w:cs="仿宋_GB2312"/>
          <w:kern w:val="0"/>
          <w:sz w:val="32"/>
          <w:szCs w:val="32"/>
          <w:highlight w:val="none"/>
          <w:lang w:val="en-US" w:eastAsia="zh-CN"/>
        </w:rPr>
        <w:t>支出</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201</w:t>
      </w:r>
      <w:r>
        <w:rPr>
          <w:rFonts w:hint="eastAsia" w:ascii="仿宋_GB2312" w:hAnsi="仿宋_GB2312" w:eastAsia="仿宋_GB2312" w:cs="仿宋_GB2312"/>
          <w:sz w:val="32"/>
          <w:szCs w:val="32"/>
          <w:highlight w:val="none"/>
          <w:lang w:val="en-US" w:eastAsia="zh-CN"/>
        </w:rPr>
        <w:t>类</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商贸</w:t>
      </w:r>
      <w:r>
        <w:rPr>
          <w:rFonts w:hint="eastAsia" w:ascii="仿宋_GB2312" w:hAnsi="仿宋_GB2312" w:eastAsia="仿宋_GB2312" w:cs="仿宋_GB2312"/>
          <w:kern w:val="0"/>
          <w:sz w:val="32"/>
          <w:szCs w:val="32"/>
          <w:highlight w:val="none"/>
        </w:rPr>
        <w:t>事务（</w:t>
      </w:r>
      <w:r>
        <w:rPr>
          <w:rFonts w:hint="eastAsia" w:ascii="仿宋_GB2312" w:hAnsi="仿宋_GB2312" w:eastAsia="仿宋_GB2312" w:cs="仿宋_GB2312"/>
          <w:kern w:val="0"/>
          <w:sz w:val="32"/>
          <w:szCs w:val="32"/>
          <w:highlight w:val="none"/>
          <w:lang w:val="en-US" w:eastAsia="zh-CN"/>
        </w:rPr>
        <w:t>13款</w:t>
      </w:r>
      <w:r>
        <w:rPr>
          <w:rFonts w:hint="eastAsia" w:ascii="仿宋_GB2312" w:hAnsi="仿宋_GB2312" w:eastAsia="仿宋_GB2312" w:cs="仿宋_GB2312"/>
          <w:kern w:val="0"/>
          <w:sz w:val="32"/>
          <w:szCs w:val="32"/>
          <w:highlight w:val="none"/>
        </w:rPr>
        <w:t>）行政运行（</w:t>
      </w:r>
      <w:r>
        <w:rPr>
          <w:rFonts w:hint="eastAsia" w:ascii="仿宋_GB2312" w:hAnsi="仿宋_GB2312" w:eastAsia="仿宋_GB2312" w:cs="仿宋_GB2312"/>
          <w:kern w:val="0"/>
          <w:sz w:val="32"/>
          <w:szCs w:val="32"/>
          <w:highlight w:val="none"/>
          <w:lang w:val="en-US" w:eastAsia="zh-CN"/>
        </w:rPr>
        <w:t>01项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2024</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142.59</w:t>
      </w:r>
      <w:r>
        <w:rPr>
          <w:rFonts w:hint="eastAsia" w:ascii="仿宋_GB2312" w:hAnsi="仿宋_GB2312" w:eastAsia="仿宋_GB2312" w:cs="仿宋_GB2312"/>
          <w:kern w:val="0"/>
          <w:sz w:val="32"/>
          <w:szCs w:val="32"/>
          <w:highlight w:val="none"/>
        </w:rPr>
        <w:t>万元，比上年预算减少</w:t>
      </w:r>
      <w:r>
        <w:rPr>
          <w:rFonts w:hint="eastAsia" w:ascii="仿宋_GB2312" w:hAnsi="仿宋_GB2312" w:eastAsia="仿宋_GB2312" w:cs="仿宋_GB2312"/>
          <w:kern w:val="0"/>
          <w:sz w:val="32"/>
          <w:szCs w:val="32"/>
          <w:highlight w:val="none"/>
          <w:lang w:val="en-US" w:eastAsia="zh-CN"/>
        </w:rPr>
        <w:t>23.31</w:t>
      </w:r>
      <w:r>
        <w:rPr>
          <w:rFonts w:hint="eastAsia" w:ascii="仿宋_GB2312" w:hAnsi="仿宋_GB2312" w:eastAsia="仿宋_GB2312" w:cs="仿宋_GB2312"/>
          <w:kern w:val="0"/>
          <w:sz w:val="32"/>
          <w:szCs w:val="32"/>
          <w:highlight w:val="none"/>
        </w:rPr>
        <w:t>万元，下降</w:t>
      </w:r>
      <w:r>
        <w:rPr>
          <w:rFonts w:hint="eastAsia" w:ascii="仿宋_GB2312" w:hAnsi="仿宋_GB2312" w:eastAsia="仿宋_GB2312" w:cs="仿宋_GB2312"/>
          <w:kern w:val="0"/>
          <w:sz w:val="32"/>
          <w:szCs w:val="32"/>
          <w:highlight w:val="none"/>
          <w:lang w:val="en-US" w:eastAsia="zh-CN"/>
        </w:rPr>
        <w:t>14.05</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eastAsia="zh-CN"/>
        </w:rPr>
        <w:t>行政人员调出，行政人员经费减少；</w:t>
      </w:r>
      <w:r>
        <w:rPr>
          <w:rFonts w:hint="eastAsia" w:ascii="仿宋_GB2312" w:hAnsi="仿宋_GB2312" w:eastAsia="仿宋_GB2312" w:cs="仿宋_GB2312"/>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highlight w:val="none"/>
        </w:rPr>
        <w:t>2.</w:t>
      </w:r>
      <w:r>
        <w:rPr>
          <w:rFonts w:hint="eastAsia" w:ascii="仿宋_GB2312" w:hAnsi="仿宋_GB2312" w:eastAsia="仿宋_GB2312" w:cs="仿宋_GB2312"/>
          <w:color w:val="auto"/>
          <w:kern w:val="0"/>
          <w:sz w:val="32"/>
          <w:szCs w:val="32"/>
          <w:highlight w:val="none"/>
        </w:rPr>
        <w:t>.一般公共服务</w:t>
      </w:r>
      <w:r>
        <w:rPr>
          <w:rFonts w:hint="eastAsia" w:ascii="仿宋_GB2312" w:hAnsi="仿宋_GB2312" w:eastAsia="仿宋_GB2312" w:cs="仿宋_GB2312"/>
          <w:color w:val="auto"/>
          <w:kern w:val="0"/>
          <w:sz w:val="32"/>
          <w:szCs w:val="32"/>
          <w:highlight w:val="none"/>
          <w:lang w:eastAsia="zh-CN"/>
        </w:rPr>
        <w:t>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201</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eastAsia="zh-CN"/>
        </w:rPr>
        <w:t>商贸事务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13</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eastAsia="zh-CN"/>
        </w:rPr>
        <w:t>事业</w:t>
      </w:r>
      <w:r>
        <w:rPr>
          <w:rFonts w:hint="eastAsia" w:ascii="仿宋_GB2312" w:hAnsi="仿宋_GB2312" w:eastAsia="仿宋_GB2312" w:cs="仿宋_GB2312"/>
          <w:color w:val="auto"/>
          <w:kern w:val="0"/>
          <w:sz w:val="32"/>
          <w:szCs w:val="32"/>
          <w:highlight w:val="none"/>
        </w:rPr>
        <w:t>运行（</w:t>
      </w:r>
      <w:r>
        <w:rPr>
          <w:rFonts w:hint="eastAsia" w:ascii="仿宋_GB2312" w:hAnsi="仿宋_GB2312" w:eastAsia="仿宋_GB2312" w:cs="仿宋_GB2312"/>
          <w:color w:val="auto"/>
          <w:kern w:val="0"/>
          <w:sz w:val="32"/>
          <w:szCs w:val="32"/>
          <w:highlight w:val="none"/>
          <w:lang w:val="en-US" w:eastAsia="zh-CN"/>
        </w:rPr>
        <w:t>50</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20.49</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20.49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事业人员新增，事业经费增加；</w:t>
      </w:r>
      <w:r>
        <w:rPr>
          <w:rFonts w:hint="eastAsia" w:ascii="仿宋_GB2312" w:hAnsi="仿宋_GB2312" w:eastAsia="仿宋_GB2312" w:cs="仿宋_GB2312"/>
          <w:color w:val="auto"/>
          <w:kern w:val="0"/>
          <w:sz w:val="32"/>
          <w:szCs w:val="32"/>
          <w:highlight w:val="none"/>
        </w:rPr>
        <w:t xml:space="preserve"> </w:t>
      </w:r>
    </w:p>
    <w:p>
      <w:pPr>
        <w:spacing w:line="560" w:lineRule="exact"/>
        <w:ind w:firstLine="640" w:firstLineChars="200"/>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3.社会保障和就业支出（208类）行政事业单位养老支出（05款）行政单位离退休（01项）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2024</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32.27</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eastAsia="zh-CN"/>
        </w:rPr>
        <w:t>增加</w:t>
      </w:r>
      <w:r>
        <w:rPr>
          <w:rFonts w:hint="eastAsia" w:ascii="仿宋_GB2312" w:hAnsi="仿宋_GB2312" w:eastAsia="仿宋_GB2312" w:cs="仿宋_GB2312"/>
          <w:kern w:val="0"/>
          <w:sz w:val="32"/>
          <w:szCs w:val="32"/>
          <w:highlight w:val="none"/>
          <w:lang w:val="en-US" w:eastAsia="zh-CN"/>
        </w:rPr>
        <w:t>32.27</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增加</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eastAsia="zh-CN"/>
        </w:rPr>
        <w:t>去年预算未安排</w:t>
      </w:r>
      <w:r>
        <w:rPr>
          <w:rFonts w:hint="eastAsia" w:ascii="仿宋_GB2312" w:hAnsi="仿宋_GB2312" w:eastAsia="仿宋_GB2312" w:cs="仿宋_GB2312"/>
          <w:kern w:val="0"/>
          <w:sz w:val="32"/>
          <w:szCs w:val="32"/>
          <w:highlight w:val="none"/>
          <w:lang w:val="en-US" w:eastAsia="zh-CN"/>
        </w:rPr>
        <w:t>行政</w:t>
      </w:r>
      <w:r>
        <w:rPr>
          <w:rFonts w:hint="eastAsia" w:ascii="仿宋_GB2312" w:hAnsi="仿宋_GB2312" w:eastAsia="仿宋_GB2312" w:cs="仿宋_GB2312"/>
          <w:kern w:val="0"/>
          <w:sz w:val="32"/>
          <w:szCs w:val="32"/>
          <w:highlight w:val="none"/>
          <w:lang w:eastAsia="zh-CN"/>
        </w:rPr>
        <w:t>单位离退休养老支出；</w:t>
      </w:r>
    </w:p>
    <w:p>
      <w:pPr>
        <w:spacing w:line="560" w:lineRule="exact"/>
        <w:ind w:firstLine="640" w:firstLineChars="200"/>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4.社会保障和就业支出（208类）行政事业单位养老支出（05款）机关事业单位基本养老保险缴费支出（05项）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2024</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19.50</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1.4</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下降</w:t>
      </w:r>
      <w:r>
        <w:rPr>
          <w:rFonts w:hint="eastAsia" w:ascii="仿宋_GB2312" w:hAnsi="仿宋_GB2312" w:eastAsia="仿宋_GB2312" w:cs="仿宋_GB2312"/>
          <w:kern w:val="0"/>
          <w:sz w:val="32"/>
          <w:szCs w:val="32"/>
          <w:highlight w:val="none"/>
          <w:lang w:val="en-US" w:eastAsia="zh-CN"/>
        </w:rPr>
        <w:t>6.70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eastAsia="zh-CN"/>
        </w:rPr>
        <w:t>人员调出，人员经费减少；</w:t>
      </w:r>
    </w:p>
    <w:p>
      <w:pPr>
        <w:spacing w:line="560" w:lineRule="exact"/>
        <w:ind w:firstLine="640" w:firstLineChars="200"/>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5.卫生健康支出（210类）行政事业单位医疗（11款）行政单位医疗（01项）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2024</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8.30</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val="en-US" w:eastAsia="zh-CN"/>
        </w:rPr>
        <w:t>减少13.65</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下降62.19</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减少</w:t>
      </w:r>
      <w:r>
        <w:rPr>
          <w:rFonts w:hint="eastAsia" w:ascii="仿宋_GB2312" w:hAnsi="仿宋_GB2312" w:eastAsia="仿宋_GB2312" w:cs="仿宋_GB2312"/>
          <w:kern w:val="0"/>
          <w:sz w:val="32"/>
          <w:szCs w:val="32"/>
          <w:highlight w:val="none"/>
          <w:lang w:eastAsia="zh-CN"/>
        </w:rPr>
        <w:t>行政单位</w:t>
      </w:r>
      <w:r>
        <w:rPr>
          <w:rFonts w:hint="eastAsia" w:ascii="仿宋_GB2312" w:hAnsi="仿宋_GB2312" w:eastAsia="仿宋_GB2312" w:cs="仿宋_GB2312"/>
          <w:kern w:val="0"/>
          <w:sz w:val="32"/>
          <w:szCs w:val="32"/>
          <w:highlight w:val="none"/>
          <w:lang w:val="en-US" w:eastAsia="zh-CN"/>
        </w:rPr>
        <w:t>退休人员</w:t>
      </w:r>
      <w:r>
        <w:rPr>
          <w:rFonts w:hint="eastAsia" w:ascii="仿宋_GB2312" w:hAnsi="仿宋_GB2312" w:eastAsia="仿宋_GB2312" w:cs="仿宋_GB2312"/>
          <w:kern w:val="0"/>
          <w:sz w:val="32"/>
          <w:szCs w:val="32"/>
          <w:highlight w:val="none"/>
          <w:lang w:eastAsia="zh-CN"/>
        </w:rPr>
        <w:t>医疗支出；</w:t>
      </w:r>
    </w:p>
    <w:p>
      <w:pPr>
        <w:spacing w:line="560" w:lineRule="exact"/>
        <w:ind w:firstLine="640" w:firstLineChars="200"/>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6.卫生健康支出（210类）行政事业单位医疗（11款）事业单位医疗（02项）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2024</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1.45</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val="en-US" w:eastAsia="zh-CN"/>
        </w:rPr>
        <w:t>增加1.45</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增加100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eastAsia="zh-CN"/>
        </w:rPr>
        <w:t>去年预算未安排</w:t>
      </w:r>
      <w:r>
        <w:rPr>
          <w:rFonts w:hint="eastAsia" w:ascii="仿宋_GB2312" w:hAnsi="仿宋_GB2312" w:eastAsia="仿宋_GB2312" w:cs="仿宋_GB2312"/>
          <w:kern w:val="0"/>
          <w:sz w:val="32"/>
          <w:szCs w:val="32"/>
          <w:highlight w:val="none"/>
          <w:lang w:val="en-US" w:eastAsia="zh-CN"/>
        </w:rPr>
        <w:t>事业单位医疗</w:t>
      </w:r>
      <w:r>
        <w:rPr>
          <w:rFonts w:hint="eastAsia" w:ascii="仿宋_GB2312" w:hAnsi="仿宋_GB2312" w:eastAsia="仿宋_GB2312" w:cs="仿宋_GB2312"/>
          <w:kern w:val="0"/>
          <w:sz w:val="32"/>
          <w:szCs w:val="32"/>
          <w:highlight w:val="none"/>
          <w:lang w:eastAsia="zh-CN"/>
        </w:rPr>
        <w:t>支出；</w:t>
      </w:r>
    </w:p>
    <w:p>
      <w:pPr>
        <w:spacing w:line="560" w:lineRule="exact"/>
        <w:ind w:firstLine="640" w:firstLineChars="200"/>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7.卫生健康支出（210类）行政事业单位医疗（11款）公务员医疗补助（03项）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2024</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2.68</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val="en-US" w:eastAsia="zh-CN"/>
        </w:rPr>
        <w:t>减少3.36</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下降55.63</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减少</w:t>
      </w:r>
      <w:r>
        <w:rPr>
          <w:rFonts w:hint="eastAsia" w:ascii="仿宋_GB2312" w:hAnsi="仿宋_GB2312" w:eastAsia="仿宋_GB2312" w:cs="仿宋_GB2312"/>
          <w:kern w:val="0"/>
          <w:sz w:val="32"/>
          <w:szCs w:val="32"/>
          <w:highlight w:val="none"/>
          <w:lang w:eastAsia="zh-CN"/>
        </w:rPr>
        <w:t>行政单位</w:t>
      </w:r>
      <w:r>
        <w:rPr>
          <w:rFonts w:hint="eastAsia" w:ascii="仿宋_GB2312" w:hAnsi="仿宋_GB2312" w:eastAsia="仿宋_GB2312" w:cs="仿宋_GB2312"/>
          <w:kern w:val="0"/>
          <w:sz w:val="32"/>
          <w:szCs w:val="32"/>
          <w:highlight w:val="none"/>
          <w:lang w:val="en-US" w:eastAsia="zh-CN"/>
        </w:rPr>
        <w:t>退休人员公务员</w:t>
      </w:r>
      <w:r>
        <w:rPr>
          <w:rFonts w:hint="eastAsia" w:ascii="仿宋_GB2312" w:hAnsi="仿宋_GB2312" w:eastAsia="仿宋_GB2312" w:cs="仿宋_GB2312"/>
          <w:kern w:val="0"/>
          <w:sz w:val="32"/>
          <w:szCs w:val="32"/>
          <w:highlight w:val="none"/>
          <w:lang w:eastAsia="zh-CN"/>
        </w:rPr>
        <w:t>医疗</w:t>
      </w:r>
      <w:r>
        <w:rPr>
          <w:rFonts w:hint="eastAsia" w:ascii="仿宋_GB2312" w:hAnsi="仿宋_GB2312" w:eastAsia="仿宋_GB2312" w:cs="仿宋_GB2312"/>
          <w:kern w:val="0"/>
          <w:sz w:val="32"/>
          <w:szCs w:val="32"/>
          <w:highlight w:val="none"/>
          <w:lang w:val="en-US" w:eastAsia="zh-CN"/>
        </w:rPr>
        <w:t>补助</w:t>
      </w:r>
      <w:r>
        <w:rPr>
          <w:rFonts w:hint="eastAsia" w:ascii="仿宋_GB2312" w:hAnsi="仿宋_GB2312" w:eastAsia="仿宋_GB2312" w:cs="仿宋_GB2312"/>
          <w:kern w:val="0"/>
          <w:sz w:val="32"/>
          <w:szCs w:val="32"/>
          <w:highlight w:val="none"/>
          <w:lang w:eastAsia="zh-CN"/>
        </w:rPr>
        <w:t>支出；</w:t>
      </w:r>
    </w:p>
    <w:p>
      <w:pPr>
        <w:spacing w:line="560" w:lineRule="exact"/>
        <w:ind w:firstLine="640" w:firstLineChars="200"/>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8.卫生健康支出（210类）行政事业单位医疗（11款）其他行政事业单位医疗（99项）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2024</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0.07</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val="en-US" w:eastAsia="zh-CN"/>
        </w:rPr>
        <w:t>减少0.04</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减少36.36</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减少</w:t>
      </w:r>
      <w:r>
        <w:rPr>
          <w:rFonts w:hint="eastAsia" w:ascii="仿宋_GB2312" w:hAnsi="仿宋_GB2312" w:eastAsia="仿宋_GB2312" w:cs="仿宋_GB2312"/>
          <w:kern w:val="0"/>
          <w:sz w:val="32"/>
          <w:szCs w:val="32"/>
          <w:highlight w:val="none"/>
          <w:lang w:eastAsia="zh-CN"/>
        </w:rPr>
        <w:t>行政单位</w:t>
      </w:r>
      <w:r>
        <w:rPr>
          <w:rFonts w:hint="eastAsia" w:ascii="仿宋_GB2312" w:hAnsi="仿宋_GB2312" w:eastAsia="仿宋_GB2312" w:cs="仿宋_GB2312"/>
          <w:kern w:val="0"/>
          <w:sz w:val="32"/>
          <w:szCs w:val="32"/>
          <w:highlight w:val="none"/>
          <w:lang w:val="en-US" w:eastAsia="zh-CN"/>
        </w:rPr>
        <w:t>退休人员大病</w:t>
      </w:r>
      <w:r>
        <w:rPr>
          <w:rFonts w:hint="eastAsia" w:ascii="仿宋_GB2312" w:hAnsi="仿宋_GB2312" w:eastAsia="仿宋_GB2312" w:cs="仿宋_GB2312"/>
          <w:kern w:val="0"/>
          <w:sz w:val="32"/>
          <w:szCs w:val="32"/>
          <w:highlight w:val="none"/>
          <w:lang w:eastAsia="zh-CN"/>
        </w:rPr>
        <w:t>医疗支出；</w:t>
      </w:r>
    </w:p>
    <w:p>
      <w:pPr>
        <w:spacing w:line="560" w:lineRule="exact"/>
        <w:ind w:firstLine="640" w:firstLineChars="200"/>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9.住房保障支出（221类）住房改革支出（02款）住房公积金（01项）：2024</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16.20</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val="en-US" w:eastAsia="zh-CN"/>
        </w:rPr>
        <w:t>减少0.72</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减少4.26</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eastAsia="zh-CN"/>
        </w:rPr>
        <w:t>人员调出，人员经费减少。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w:t>
      </w:r>
      <w:r>
        <w:rPr>
          <w:rFonts w:hint="eastAsia" w:ascii="楷体_GB2312" w:hAnsi="楷体_GB2312" w:eastAsia="楷体_GB2312" w:cs="楷体_GB2312"/>
          <w:b/>
          <w:kern w:val="0"/>
          <w:sz w:val="32"/>
          <w:szCs w:val="32"/>
          <w:highlight w:val="none"/>
          <w:lang w:eastAsia="zh-CN"/>
        </w:rPr>
        <w:t>商务和工业信息化局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spacing w:line="560" w:lineRule="exact"/>
        <w:ind w:firstLine="640" w:firstLineChars="200"/>
        <w:rPr>
          <w:rFonts w:ascii="仿宋_GB2312" w:hAnsi="宋体" w:eastAsia="仿宋_GB2312" w:cs="宋体"/>
          <w:spacing w:val="-6"/>
          <w:kern w:val="0"/>
          <w:sz w:val="32"/>
          <w:szCs w:val="32"/>
          <w:highlight w:val="none"/>
        </w:rPr>
      </w:pPr>
      <w:r>
        <w:rPr>
          <w:rFonts w:hint="eastAsia" w:ascii="仿宋_GB2312" w:hAnsi="宋体" w:eastAsia="仿宋_GB2312" w:cs="宋体"/>
          <w:kern w:val="0"/>
          <w:sz w:val="32"/>
          <w:szCs w:val="32"/>
          <w:highlight w:val="none"/>
          <w:lang w:val="en-US" w:eastAsia="zh-CN"/>
        </w:rPr>
        <w:t>呼图壁县</w:t>
      </w:r>
      <w:r>
        <w:rPr>
          <w:rFonts w:hint="eastAsia" w:ascii="仿宋_GB2312" w:hAnsi="宋体" w:eastAsia="仿宋_GB2312" w:cs="宋体"/>
          <w:kern w:val="0"/>
          <w:sz w:val="32"/>
          <w:szCs w:val="32"/>
          <w:highlight w:val="none"/>
          <w:lang w:eastAsia="zh-CN"/>
        </w:rPr>
        <w:t>商务和工业信息化局</w:t>
      </w:r>
      <w:r>
        <w:rPr>
          <w:rFonts w:hint="eastAsia" w:ascii="仿宋_GB2312" w:hAnsi="宋体" w:eastAsia="仿宋_GB2312" w:cs="宋体"/>
          <w:spacing w:val="-6"/>
          <w:kern w:val="0"/>
          <w:sz w:val="32"/>
          <w:szCs w:val="32"/>
          <w:highlight w:val="none"/>
        </w:rPr>
        <w:t>202</w:t>
      </w:r>
      <w:r>
        <w:rPr>
          <w:rFonts w:hint="eastAsia" w:ascii="仿宋_GB2312" w:hAnsi="宋体" w:eastAsia="仿宋_GB2312" w:cs="宋体"/>
          <w:spacing w:val="-6"/>
          <w:kern w:val="0"/>
          <w:sz w:val="32"/>
          <w:szCs w:val="32"/>
          <w:highlight w:val="none"/>
          <w:lang w:val="en-US" w:eastAsia="zh-CN"/>
        </w:rPr>
        <w:t>4</w:t>
      </w:r>
      <w:r>
        <w:rPr>
          <w:rFonts w:hint="eastAsia" w:ascii="仿宋_GB2312" w:hAnsi="宋体" w:eastAsia="仿宋_GB2312" w:cs="宋体"/>
          <w:spacing w:val="-6"/>
          <w:kern w:val="0"/>
          <w:sz w:val="32"/>
          <w:szCs w:val="32"/>
          <w:highlight w:val="none"/>
        </w:rPr>
        <w:t>年一般公共预算基本支出</w:t>
      </w:r>
      <w:r>
        <w:rPr>
          <w:rFonts w:hint="eastAsia" w:ascii="仿宋_GB2312" w:hAnsi="宋体" w:eastAsia="仿宋_GB2312" w:cs="宋体"/>
          <w:spacing w:val="-6"/>
          <w:kern w:val="0"/>
          <w:sz w:val="32"/>
          <w:szCs w:val="32"/>
          <w:highlight w:val="none"/>
          <w:lang w:val="en-US" w:eastAsia="zh-CN"/>
        </w:rPr>
        <w:t>243.56</w:t>
      </w:r>
      <w:r>
        <w:rPr>
          <w:rFonts w:hint="eastAsia" w:ascii="仿宋_GB2312" w:hAnsi="宋体" w:eastAsia="仿宋_GB2312" w:cs="宋体"/>
          <w:spacing w:val="-6"/>
          <w:kern w:val="0"/>
          <w:sz w:val="32"/>
          <w:szCs w:val="32"/>
          <w:highlight w:val="none"/>
        </w:rPr>
        <w:t>万元</w:t>
      </w:r>
      <w:r>
        <w:rPr>
          <w:rFonts w:hint="eastAsia" w:ascii="仿宋_GB2312" w:hAnsi="宋体" w:eastAsia="仿宋_GB2312" w:cs="宋体"/>
          <w:spacing w:val="-6"/>
          <w:kern w:val="0"/>
          <w:sz w:val="32"/>
          <w:szCs w:val="32"/>
          <w:highlight w:val="none"/>
          <w:lang w:eastAsia="zh-CN"/>
        </w:rPr>
        <w:t>，</w:t>
      </w:r>
      <w:r>
        <w:rPr>
          <w:rFonts w:hint="eastAsia" w:ascii="仿宋_GB2312" w:hAnsi="宋体" w:eastAsia="仿宋_GB2312" w:cs="宋体"/>
          <w:spacing w:val="-6"/>
          <w:kern w:val="0"/>
          <w:sz w:val="32"/>
          <w:szCs w:val="32"/>
          <w:highlight w:val="none"/>
        </w:rPr>
        <w:t>其中：</w:t>
      </w:r>
    </w:p>
    <w:p>
      <w:pPr>
        <w:pStyle w:val="4"/>
        <w:widowControl/>
        <w:spacing w:before="0" w:beforeAutospacing="0" w:after="0" w:afterAutospacing="0" w:line="560" w:lineRule="exact"/>
        <w:ind w:firstLine="640" w:firstLineChars="200"/>
        <w:rPr>
          <w:rFonts w:hint="eastAsia" w:ascii="仿宋_GB2312" w:hAnsi="宋体" w:eastAsia="仿宋_GB2312" w:cs="宋体"/>
          <w:sz w:val="32"/>
          <w:szCs w:val="32"/>
          <w:highlight w:val="none"/>
        </w:rPr>
      </w:pPr>
      <w:r>
        <w:rPr>
          <w:rFonts w:hint="eastAsia" w:ascii="仿宋_GB2312" w:hAnsi="宋体" w:eastAsia="仿宋_GB2312" w:cs="宋体"/>
          <w:sz w:val="32"/>
          <w:szCs w:val="32"/>
          <w:highlight w:val="none"/>
        </w:rPr>
        <w:t>人员经费</w:t>
      </w:r>
      <w:r>
        <w:rPr>
          <w:rFonts w:hint="eastAsia" w:ascii="仿宋_GB2312" w:hAnsi="宋体" w:eastAsia="仿宋_GB2312" w:cs="宋体"/>
          <w:sz w:val="32"/>
          <w:szCs w:val="32"/>
          <w:highlight w:val="none"/>
          <w:lang w:val="en-US" w:eastAsia="zh-CN"/>
        </w:rPr>
        <w:t>235.63</w:t>
      </w:r>
      <w:r>
        <w:rPr>
          <w:rFonts w:hint="eastAsia" w:ascii="仿宋_GB2312" w:hAnsi="宋体" w:eastAsia="仿宋_GB2312" w:cs="宋体"/>
          <w:sz w:val="32"/>
          <w:szCs w:val="32"/>
          <w:highlight w:val="none"/>
        </w:rPr>
        <w:t>万元，主要包括：基本工资、津贴补贴、奖金、</w:t>
      </w:r>
      <w:r>
        <w:rPr>
          <w:rFonts w:hint="eastAsia" w:ascii="仿宋_GB2312" w:hAnsi="宋体" w:eastAsia="仿宋_GB2312" w:cs="宋体"/>
          <w:sz w:val="32"/>
          <w:szCs w:val="32"/>
          <w:highlight w:val="none"/>
          <w:lang w:val="en-US" w:eastAsia="zh-CN"/>
        </w:rPr>
        <w:t>绩效工资、</w:t>
      </w:r>
      <w:r>
        <w:rPr>
          <w:rFonts w:hint="eastAsia" w:ascii="仿宋_GB2312" w:hAnsi="宋体" w:eastAsia="仿宋_GB2312" w:cs="宋体"/>
          <w:sz w:val="32"/>
          <w:szCs w:val="32"/>
          <w:highlight w:val="none"/>
        </w:rPr>
        <w:t xml:space="preserve">机关事业单位基本养老保险缴费、职工基本医疗保险缴费、公务员医疗补助缴费、其他社会保障缴费、住房公积金、其他工资福利支出、离休费、退休费、奖励金。  </w:t>
      </w:r>
    </w:p>
    <w:p>
      <w:pPr>
        <w:pStyle w:val="4"/>
        <w:widowControl/>
        <w:spacing w:before="0" w:beforeAutospacing="0" w:after="0" w:afterAutospacing="0"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sz w:val="32"/>
          <w:szCs w:val="32"/>
          <w:highlight w:val="none"/>
        </w:rPr>
        <w:t>公用经费</w:t>
      </w:r>
      <w:r>
        <w:rPr>
          <w:rFonts w:hint="eastAsia" w:ascii="仿宋_GB2312" w:hAnsi="宋体" w:eastAsia="仿宋_GB2312" w:cs="宋体"/>
          <w:sz w:val="32"/>
          <w:szCs w:val="32"/>
          <w:highlight w:val="none"/>
          <w:lang w:val="en-US" w:eastAsia="zh-CN"/>
        </w:rPr>
        <w:t>7.94</w:t>
      </w:r>
      <w:r>
        <w:rPr>
          <w:rFonts w:hint="eastAsia" w:ascii="仿宋_GB2312" w:hAnsi="宋体" w:eastAsia="仿宋_GB2312" w:cs="宋体"/>
          <w:sz w:val="32"/>
          <w:szCs w:val="32"/>
          <w:highlight w:val="none"/>
        </w:rPr>
        <w:t>万元，主要包括：办公费、</w:t>
      </w:r>
      <w:r>
        <w:rPr>
          <w:rFonts w:hint="eastAsia" w:ascii="仿宋_GB2312" w:hAnsi="宋体" w:eastAsia="仿宋_GB2312" w:cs="宋体"/>
          <w:sz w:val="32"/>
          <w:szCs w:val="32"/>
          <w:highlight w:val="none"/>
          <w:lang w:val="en-US" w:eastAsia="zh-CN"/>
        </w:rPr>
        <w:t>印刷费、水费、</w:t>
      </w:r>
      <w:r>
        <w:rPr>
          <w:rFonts w:hint="eastAsia" w:ascii="仿宋_GB2312" w:hAnsi="宋体" w:eastAsia="仿宋_GB2312" w:cs="宋体"/>
          <w:sz w:val="32"/>
          <w:szCs w:val="32"/>
          <w:highlight w:val="none"/>
        </w:rPr>
        <w:t>电费、邮电费、</w:t>
      </w:r>
      <w:r>
        <w:rPr>
          <w:rFonts w:hint="eastAsia" w:ascii="仿宋_GB2312" w:hAnsi="宋体" w:eastAsia="仿宋_GB2312" w:cs="宋体"/>
          <w:sz w:val="32"/>
          <w:szCs w:val="32"/>
          <w:highlight w:val="none"/>
          <w:lang w:val="en-US" w:eastAsia="zh-CN"/>
        </w:rPr>
        <w:t>差旅费、公务接待费、</w:t>
      </w:r>
      <w:r>
        <w:rPr>
          <w:rFonts w:hint="eastAsia" w:ascii="仿宋_GB2312" w:hAnsi="宋体" w:eastAsia="仿宋_GB2312" w:cs="宋体"/>
          <w:sz w:val="32"/>
          <w:szCs w:val="32"/>
          <w:highlight w:val="none"/>
        </w:rPr>
        <w:t>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w:t>
      </w:r>
      <w:r>
        <w:rPr>
          <w:rFonts w:hint="eastAsia" w:ascii="楷体_GB2312" w:hAnsi="楷体_GB2312" w:eastAsia="楷体_GB2312" w:cs="楷体_GB2312"/>
          <w:b/>
          <w:kern w:val="0"/>
          <w:sz w:val="32"/>
          <w:szCs w:val="32"/>
          <w:highlight w:val="none"/>
          <w:lang w:eastAsia="zh-CN"/>
        </w:rPr>
        <w:t>商务和工业信息化局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w:t>
      </w:r>
      <w:r>
        <w:rPr>
          <w:rFonts w:hint="eastAsia" w:ascii="楷体_GB2312" w:hAnsi="楷体_GB2312" w:eastAsia="楷体_GB2312" w:cs="楷体_GB2312"/>
          <w:b/>
          <w:kern w:val="0"/>
          <w:sz w:val="32"/>
          <w:szCs w:val="32"/>
          <w:highlight w:val="none"/>
          <w:lang w:eastAsia="zh-CN"/>
        </w:rPr>
        <w:t>商务和工业信息化局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w:t>
      </w:r>
      <w:r>
        <w:rPr>
          <w:rFonts w:hint="eastAsia" w:ascii="楷体_GB2312" w:hAnsi="楷体_GB2312" w:eastAsia="楷体_GB2312" w:cs="楷体_GB2312"/>
          <w:b/>
          <w:kern w:val="0"/>
          <w:sz w:val="32"/>
          <w:szCs w:val="32"/>
          <w:highlight w:val="none"/>
          <w:lang w:eastAsia="zh-CN"/>
        </w:rPr>
        <w:t>商务和工业信息化局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w:t>
      </w:r>
      <w:r>
        <w:rPr>
          <w:rFonts w:hint="eastAsia" w:ascii="楷体_GB2312" w:hAnsi="楷体_GB2312" w:eastAsia="楷体_GB2312" w:cs="楷体_GB2312"/>
          <w:b/>
          <w:kern w:val="0"/>
          <w:sz w:val="32"/>
          <w:szCs w:val="32"/>
          <w:highlight w:val="none"/>
          <w:lang w:eastAsia="zh-CN"/>
        </w:rPr>
        <w:t>商务和工业信息化局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呼图壁县商务和工业信息化局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3.56</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0.36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0.36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11.25%，</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增长0%，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去年未安排</w:t>
      </w:r>
      <w:r>
        <w:rPr>
          <w:rFonts w:hint="eastAsia" w:ascii="仿宋_GB2312" w:hAnsi="宋体" w:eastAsia="仿宋_GB2312" w:cs="宋体"/>
          <w:color w:val="auto"/>
          <w:kern w:val="0"/>
          <w:sz w:val="32"/>
          <w:szCs w:val="32"/>
          <w:highlight w:val="none"/>
        </w:rPr>
        <w:t>因公出国（境）费</w:t>
      </w:r>
      <w:r>
        <w:rPr>
          <w:rFonts w:hint="eastAsia" w:ascii="仿宋_GB2312" w:hAnsi="宋体" w:eastAsia="仿宋_GB2312" w:cs="宋体"/>
          <w:color w:val="auto"/>
          <w:kern w:val="0"/>
          <w:sz w:val="32"/>
          <w:szCs w:val="32"/>
          <w:highlight w:val="none"/>
          <w:lang w:eastAsia="zh-CN"/>
        </w:rPr>
        <w:t>，今年也未安排</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增长0%，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去年未安排</w:t>
      </w:r>
      <w:r>
        <w:rPr>
          <w:rFonts w:hint="eastAsia" w:ascii="仿宋_GB2312" w:hAnsi="宋体" w:eastAsia="仿宋_GB2312" w:cs="宋体"/>
          <w:color w:val="auto"/>
          <w:kern w:val="0"/>
          <w:sz w:val="32"/>
          <w:szCs w:val="32"/>
          <w:highlight w:val="none"/>
        </w:rPr>
        <w:t>因公务用车购置费</w:t>
      </w:r>
      <w:r>
        <w:rPr>
          <w:rFonts w:hint="eastAsia" w:ascii="仿宋_GB2312" w:hAnsi="宋体" w:eastAsia="仿宋_GB2312" w:cs="宋体"/>
          <w:color w:val="auto"/>
          <w:kern w:val="0"/>
          <w:sz w:val="32"/>
          <w:szCs w:val="32"/>
          <w:highlight w:val="none"/>
          <w:lang w:eastAsia="zh-CN"/>
        </w:rPr>
        <w:t>，今年也未安排；</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增长0%，</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color w:val="auto"/>
          <w:kern w:val="0"/>
          <w:sz w:val="32"/>
          <w:szCs w:val="32"/>
          <w:highlight w:val="none"/>
          <w:lang w:val="en-US" w:eastAsia="zh-CN"/>
        </w:rPr>
        <w:t>是本单位只有两辆公务用车，未新增车辆，公务用车运行费用未发生变化</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0.36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去年未安排公务接待费用，今年按照实际需求增加0.36万元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w:t>
      </w:r>
      <w:r>
        <w:rPr>
          <w:rFonts w:hint="eastAsia" w:ascii="楷体_GB2312" w:hAnsi="楷体_GB2312" w:eastAsia="楷体_GB2312" w:cs="楷体_GB2312"/>
          <w:b/>
          <w:kern w:val="0"/>
          <w:sz w:val="32"/>
          <w:szCs w:val="32"/>
          <w:highlight w:val="none"/>
          <w:lang w:eastAsia="zh-CN"/>
        </w:rPr>
        <w:t>商务和工业信息化局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呼图壁县商务和工业信息化局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7.94</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0.69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9.52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增加了</w:t>
      </w:r>
      <w:r>
        <w:rPr>
          <w:rFonts w:hint="eastAsia" w:ascii="仿宋_GB2312" w:hAnsi="宋体" w:eastAsia="仿宋_GB2312" w:cs="宋体"/>
          <w:sz w:val="32"/>
          <w:szCs w:val="32"/>
          <w:highlight w:val="none"/>
          <w:lang w:val="en-US" w:eastAsia="zh-CN"/>
        </w:rPr>
        <w:t>印刷费、水费</w:t>
      </w:r>
      <w:r>
        <w:rPr>
          <w:rFonts w:hint="eastAsia" w:ascii="仿宋_GB2312" w:hAnsi="宋体" w:eastAsia="仿宋_GB2312" w:cs="宋体"/>
          <w:sz w:val="32"/>
          <w:szCs w:val="32"/>
          <w:highlight w:val="none"/>
        </w:rPr>
        <w:t>、</w:t>
      </w:r>
      <w:r>
        <w:rPr>
          <w:rFonts w:hint="eastAsia" w:ascii="仿宋_GB2312" w:hAnsi="宋体" w:eastAsia="仿宋_GB2312" w:cs="宋体"/>
          <w:sz w:val="32"/>
          <w:szCs w:val="32"/>
          <w:highlight w:val="none"/>
          <w:lang w:val="en-US" w:eastAsia="zh-CN"/>
        </w:rPr>
        <w:t>差旅费、公务接待费</w:t>
      </w:r>
      <w:r>
        <w:rPr>
          <w:rFonts w:hint="eastAsia" w:ascii="仿宋_GB2312" w:hAnsi="宋体" w:eastAsia="仿宋_GB2312" w:cs="宋体"/>
          <w:sz w:val="32"/>
          <w:szCs w:val="32"/>
          <w:highlight w:val="none"/>
        </w:rPr>
        <w:t>。</w:t>
      </w: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呼图壁县商务和工业信息化局</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10.88</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3.53</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7.35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呼图壁县商务和工业信息化局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10.88</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10.88</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截至202</w:t>
      </w:r>
      <w:r>
        <w:rPr>
          <w:rFonts w:hint="eastAsia" w:ascii="仿宋_GB2312" w:hAnsi="仿宋_GB2312" w:eastAsia="仿宋_GB2312" w:cs="仿宋_GB2312"/>
          <w:kern w:val="0"/>
          <w:sz w:val="32"/>
          <w:szCs w:val="32"/>
          <w:highlight w:val="none"/>
          <w:lang w:val="en-US" w:eastAsia="zh-CN"/>
        </w:rPr>
        <w:t>3</w:t>
      </w:r>
      <w:r>
        <w:rPr>
          <w:rFonts w:hint="eastAsia" w:ascii="仿宋_GB2312" w:hAnsi="仿宋_GB2312" w:eastAsia="仿宋_GB2312" w:cs="仿宋_GB2312"/>
          <w:kern w:val="0"/>
          <w:sz w:val="32"/>
          <w:szCs w:val="32"/>
          <w:highlight w:val="none"/>
        </w:rPr>
        <w:t>年底，</w:t>
      </w:r>
      <w:r>
        <w:rPr>
          <w:rFonts w:hint="eastAsia" w:ascii="仿宋_GB2312" w:hAnsi="仿宋_GB2312" w:eastAsia="仿宋_GB2312" w:cs="仿宋_GB2312"/>
          <w:kern w:val="0"/>
          <w:sz w:val="32"/>
          <w:szCs w:val="32"/>
          <w:highlight w:val="none"/>
          <w:lang w:val="en-US" w:eastAsia="zh-CN"/>
        </w:rPr>
        <w:t>呼图壁县</w:t>
      </w:r>
      <w:r>
        <w:rPr>
          <w:rFonts w:hint="eastAsia" w:ascii="仿宋_GB2312" w:hAnsi="仿宋_GB2312" w:eastAsia="仿宋_GB2312" w:cs="仿宋_GB2312"/>
          <w:kern w:val="0"/>
          <w:sz w:val="32"/>
          <w:szCs w:val="32"/>
          <w:highlight w:val="none"/>
          <w:lang w:eastAsia="zh-CN"/>
        </w:rPr>
        <w:t>商务和工业信息化局</w:t>
      </w:r>
      <w:r>
        <w:rPr>
          <w:rFonts w:hint="eastAsia" w:ascii="仿宋_GB2312" w:hAnsi="仿宋_GB2312" w:eastAsia="仿宋_GB2312" w:cs="仿宋_GB2312"/>
          <w:kern w:val="0"/>
          <w:sz w:val="32"/>
          <w:szCs w:val="32"/>
          <w:highlight w:val="none"/>
        </w:rPr>
        <w:t>及下属各预算单位占用使用国有资产总体情况为</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1.房屋</w:t>
      </w:r>
      <w:r>
        <w:rPr>
          <w:rFonts w:hint="eastAsia" w:ascii="仿宋_GB2312" w:hAnsi="仿宋_GB2312" w:eastAsia="仿宋_GB2312" w:cs="仿宋_GB2312"/>
          <w:kern w:val="0"/>
          <w:sz w:val="32"/>
          <w:szCs w:val="32"/>
          <w:highlight w:val="none"/>
          <w:lang w:val="en-US" w:eastAsia="zh-CN"/>
        </w:rPr>
        <w:t>46</w:t>
      </w:r>
      <w:r>
        <w:rPr>
          <w:rFonts w:hint="eastAsia" w:ascii="仿宋_GB2312" w:hAnsi="仿宋_GB2312" w:eastAsia="仿宋_GB2312" w:cs="仿宋_GB2312"/>
          <w:kern w:val="0"/>
          <w:sz w:val="32"/>
          <w:szCs w:val="32"/>
          <w:highlight w:val="none"/>
        </w:rPr>
        <w:t>平方米，价值</w:t>
      </w:r>
      <w:r>
        <w:rPr>
          <w:rFonts w:hint="eastAsia" w:ascii="仿宋_GB2312" w:hAnsi="仿宋_GB2312" w:eastAsia="仿宋_GB2312" w:cs="仿宋_GB2312"/>
          <w:kern w:val="0"/>
          <w:sz w:val="32"/>
          <w:szCs w:val="32"/>
          <w:highlight w:val="none"/>
          <w:lang w:val="en-US" w:eastAsia="zh-CN"/>
        </w:rPr>
        <w:t>0.48</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2.车辆</w:t>
      </w:r>
      <w:r>
        <w:rPr>
          <w:rFonts w:hint="eastAsia" w:ascii="仿宋_GB2312" w:hAnsi="仿宋_GB2312" w:eastAsia="仿宋_GB2312" w:cs="仿宋_GB2312"/>
          <w:kern w:val="0"/>
          <w:sz w:val="32"/>
          <w:szCs w:val="32"/>
          <w:highlight w:val="none"/>
          <w:lang w:val="en-US" w:eastAsia="zh-CN"/>
        </w:rPr>
        <w:t>2</w:t>
      </w:r>
      <w:r>
        <w:rPr>
          <w:rFonts w:hint="eastAsia" w:ascii="仿宋_GB2312" w:hAnsi="仿宋_GB2312" w:eastAsia="仿宋_GB2312" w:cs="仿宋_GB2312"/>
          <w:kern w:val="0"/>
          <w:sz w:val="32"/>
          <w:szCs w:val="32"/>
          <w:highlight w:val="none"/>
        </w:rPr>
        <w:t>辆，价值</w:t>
      </w:r>
      <w:r>
        <w:rPr>
          <w:rFonts w:hint="eastAsia" w:ascii="仿宋_GB2312" w:hAnsi="仿宋_GB2312" w:eastAsia="仿宋_GB2312" w:cs="仿宋_GB2312"/>
          <w:kern w:val="0"/>
          <w:sz w:val="32"/>
          <w:szCs w:val="32"/>
          <w:highlight w:val="none"/>
          <w:lang w:val="en-US" w:eastAsia="zh-CN"/>
        </w:rPr>
        <w:t>33.37</w:t>
      </w:r>
      <w:r>
        <w:rPr>
          <w:rFonts w:hint="eastAsia" w:ascii="仿宋_GB2312" w:hAnsi="仿宋_GB2312" w:eastAsia="仿宋_GB2312" w:cs="仿宋_GB2312"/>
          <w:kern w:val="0"/>
          <w:sz w:val="32"/>
          <w:szCs w:val="32"/>
          <w:highlight w:val="none"/>
        </w:rPr>
        <w:t>万元；其中：一般公务用车</w:t>
      </w:r>
      <w:r>
        <w:rPr>
          <w:rFonts w:hint="eastAsia" w:ascii="仿宋_GB2312" w:hAnsi="仿宋_GB2312" w:eastAsia="仿宋_GB2312" w:cs="仿宋_GB2312"/>
          <w:kern w:val="0"/>
          <w:sz w:val="32"/>
          <w:szCs w:val="32"/>
          <w:highlight w:val="none"/>
          <w:lang w:val="en-US" w:eastAsia="zh-CN"/>
        </w:rPr>
        <w:t>2</w:t>
      </w:r>
      <w:r>
        <w:rPr>
          <w:rFonts w:hint="eastAsia" w:ascii="仿宋_GB2312" w:hAnsi="仿宋_GB2312" w:eastAsia="仿宋_GB2312" w:cs="仿宋_GB2312"/>
          <w:kern w:val="0"/>
          <w:sz w:val="32"/>
          <w:szCs w:val="32"/>
          <w:highlight w:val="none"/>
        </w:rPr>
        <w:t>辆，价值</w:t>
      </w:r>
      <w:r>
        <w:rPr>
          <w:rFonts w:hint="eastAsia" w:ascii="仿宋_GB2312" w:hAnsi="仿宋_GB2312" w:eastAsia="仿宋_GB2312" w:cs="仿宋_GB2312"/>
          <w:kern w:val="0"/>
          <w:sz w:val="32"/>
          <w:szCs w:val="32"/>
          <w:highlight w:val="none"/>
          <w:lang w:val="en-US" w:eastAsia="zh-CN"/>
        </w:rPr>
        <w:t>33.37</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3.办公家具价值</w:t>
      </w:r>
      <w:r>
        <w:rPr>
          <w:rFonts w:hint="eastAsia" w:ascii="仿宋_GB2312" w:hAnsi="仿宋_GB2312" w:eastAsia="仿宋_GB2312" w:cs="仿宋_GB2312"/>
          <w:kern w:val="0"/>
          <w:sz w:val="32"/>
          <w:szCs w:val="32"/>
          <w:highlight w:val="none"/>
          <w:lang w:val="en-US" w:eastAsia="zh-CN"/>
        </w:rPr>
        <w:t>14.26</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4.其他资产价值</w:t>
      </w:r>
      <w:r>
        <w:rPr>
          <w:rFonts w:hint="eastAsia" w:ascii="仿宋_GB2312" w:hAnsi="仿宋_GB2312" w:eastAsia="仿宋_GB2312" w:cs="仿宋_GB2312"/>
          <w:kern w:val="0"/>
          <w:sz w:val="32"/>
          <w:szCs w:val="32"/>
          <w:highlight w:val="none"/>
          <w:lang w:val="en-US" w:eastAsia="zh-CN"/>
        </w:rPr>
        <w:t>38.89</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单位价值50万元以上大型设备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台（套），单位价值100万元以上大型设备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台（套）。</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highlight w:val="none"/>
          <w:lang w:val="en-US" w:eastAsia="zh-CN"/>
        </w:rPr>
        <w:t>2024</w:t>
      </w:r>
      <w:r>
        <w:rPr>
          <w:rFonts w:hint="eastAsia" w:ascii="仿宋_GB2312" w:hAnsi="仿宋_GB2312" w:eastAsia="仿宋_GB2312" w:cs="仿宋_GB2312"/>
          <w:kern w:val="0"/>
          <w:sz w:val="32"/>
          <w:szCs w:val="32"/>
          <w:highlight w:val="none"/>
        </w:rPr>
        <w:t>年</w:t>
      </w:r>
      <w:r>
        <w:rPr>
          <w:rFonts w:hint="eastAsia" w:ascii="仿宋_GB2312" w:hAnsi="仿宋_GB2312" w:eastAsia="仿宋_GB2312" w:cs="仿宋_GB2312"/>
          <w:kern w:val="0"/>
          <w:sz w:val="32"/>
          <w:szCs w:val="32"/>
          <w:highlight w:val="none"/>
          <w:lang w:val="en-US" w:eastAsia="zh-CN"/>
        </w:rPr>
        <w:t>呼图壁县</w:t>
      </w:r>
      <w:r>
        <w:rPr>
          <w:rFonts w:hint="eastAsia" w:ascii="仿宋_GB2312" w:hAnsi="仿宋_GB2312" w:eastAsia="仿宋_GB2312" w:cs="仿宋_GB2312"/>
          <w:kern w:val="0"/>
          <w:sz w:val="32"/>
          <w:szCs w:val="32"/>
          <w:highlight w:val="none"/>
          <w:lang w:eastAsia="zh-CN"/>
        </w:rPr>
        <w:t>商务和工业信息化局</w:t>
      </w:r>
      <w:r>
        <w:rPr>
          <w:rFonts w:hint="eastAsia" w:ascii="仿宋_GB2312" w:hAnsi="仿宋_GB2312" w:eastAsia="仿宋_GB2312" w:cs="仿宋_GB2312"/>
          <w:kern w:val="0"/>
          <w:sz w:val="32"/>
          <w:szCs w:val="32"/>
          <w:highlight w:val="none"/>
        </w:rPr>
        <w:t>预算未安排购置车辆</w:t>
      </w:r>
      <w:r>
        <w:rPr>
          <w:rFonts w:hint="eastAsia" w:ascii="仿宋_GB2312" w:hAnsi="仿宋_GB2312" w:eastAsia="仿宋_GB2312" w:cs="仿宋_GB2312"/>
          <w:kern w:val="0"/>
          <w:sz w:val="32"/>
          <w:szCs w:val="32"/>
          <w:highlight w:val="none"/>
          <w:lang w:eastAsia="zh-CN"/>
        </w:rPr>
        <w:t>经费</w:t>
      </w:r>
      <w:r>
        <w:rPr>
          <w:rFonts w:hint="eastAsia" w:ascii="仿宋_GB2312" w:hAnsi="仿宋_GB2312" w:eastAsia="仿宋_GB2312" w:cs="仿宋_GB2312"/>
          <w:kern w:val="0"/>
          <w:sz w:val="32"/>
          <w:szCs w:val="32"/>
          <w:highlight w:val="none"/>
        </w:rPr>
        <w:t>，安排购置50万元以上大型设备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台（套），单位价值100万元以上大型设备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整体预算绩效目标1个，涉及金额243.56万元；当年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呼图壁县商务和工业信息化局整体绩效目标表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呼图壁县商务和工业信息化局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郑忠红</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15559339896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贯彻执行国家、自治区、自治州有关经济信息化及内外贸易、国内外经济技术合作和外商投资工作的法律法规和方针政策，提出县新型工业化、信息化发展战略和建议；落实全县对外贸易、吸引国内外投资与合作的政策和规定；制定全县工业和经济信息化发展的政策措施，并组织实施和监督检查；协调解决经济信息化和招商引资进程中的重大问题；推进信息化和工业化融合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243.56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5"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rPr>
              <w:t>党政主要领导带队外出精准招商次数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rPr>
              <w:t>外出开展招商推介次数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rPr>
              <w:t>开展促消费主题活动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rPr>
              <w:t>电商人才培训期数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&gt;=2</w:t>
            </w:r>
            <w:r>
              <w:rPr>
                <w:rFonts w:hint="eastAsia" w:ascii="宋体" w:hAnsi="宋体" w:cs="宋体"/>
                <w:i w:val="0"/>
                <w:iCs w:val="0"/>
                <w:color w:val="000000"/>
                <w:sz w:val="20"/>
                <w:szCs w:val="20"/>
                <w:highlight w:val="none"/>
                <w:u w:val="none"/>
                <w:lang w:val="en-US" w:eastAsia="zh-CN"/>
              </w:rPr>
              <w:t>期</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rPr>
              <w:t>补贴企业数量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&gt;=2</w:t>
            </w:r>
            <w:r>
              <w:rPr>
                <w:rFonts w:hint="eastAsia" w:ascii="宋体" w:hAnsi="宋体" w:cs="宋体"/>
                <w:i w:val="0"/>
                <w:iCs w:val="0"/>
                <w:color w:val="000000"/>
                <w:sz w:val="20"/>
                <w:szCs w:val="20"/>
                <w:highlight w:val="none"/>
                <w:u w:val="none"/>
                <w:lang w:val="en-US" w:eastAsia="zh-CN"/>
              </w:rPr>
              <w:t>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bl>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spacing w:line="560" w:lineRule="exact"/>
        <w:ind w:firstLine="640" w:firstLineChars="200"/>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呼图壁县商务和工业信息化局</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202</w:t>
      </w:r>
      <w:r>
        <w:rPr>
          <w:rFonts w:hint="eastAsia" w:ascii="仿宋_GB2312" w:hAnsi="宋体" w:eastAsia="仿宋_GB2312" w:cs="宋体"/>
          <w:kern w:val="0"/>
          <w:sz w:val="32"/>
          <w:szCs w:val="32"/>
          <w:highlight w:val="none"/>
          <w:lang w:val="en-US" w:eastAsia="zh-CN"/>
        </w:rPr>
        <w:t>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pPr>
        <w:rPr>
          <w:highlight w:val="none"/>
        </w:rPr>
      </w:pPr>
    </w:p>
    <w:p>
      <w:pPr>
        <w:rPr>
          <w:highlight w:val="none"/>
        </w:rPr>
      </w:pPr>
    </w:p>
    <w:bookmarkEnd w:id="0"/>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s>
  <w:rsids>
    <w:rsidRoot w:val="10587512"/>
    <w:rsid w:val="00EE2224"/>
    <w:rsid w:val="04267B2D"/>
    <w:rsid w:val="05397FD9"/>
    <w:rsid w:val="070E6657"/>
    <w:rsid w:val="08450B28"/>
    <w:rsid w:val="0B247F12"/>
    <w:rsid w:val="0D6E5FD0"/>
    <w:rsid w:val="0E9208E7"/>
    <w:rsid w:val="10587512"/>
    <w:rsid w:val="10916BDA"/>
    <w:rsid w:val="13ED02AD"/>
    <w:rsid w:val="1697741D"/>
    <w:rsid w:val="16D82934"/>
    <w:rsid w:val="1732414C"/>
    <w:rsid w:val="1BEB54C3"/>
    <w:rsid w:val="1C3C6084"/>
    <w:rsid w:val="1CEB6DC6"/>
    <w:rsid w:val="1D3E1AFE"/>
    <w:rsid w:val="1EB61656"/>
    <w:rsid w:val="1FD47AE4"/>
    <w:rsid w:val="20DD55C0"/>
    <w:rsid w:val="22DB78DD"/>
    <w:rsid w:val="244D65B8"/>
    <w:rsid w:val="2492221D"/>
    <w:rsid w:val="26B4291F"/>
    <w:rsid w:val="26C10EEC"/>
    <w:rsid w:val="26E769FA"/>
    <w:rsid w:val="2834255F"/>
    <w:rsid w:val="293B2E83"/>
    <w:rsid w:val="2A012DF7"/>
    <w:rsid w:val="2AFC4894"/>
    <w:rsid w:val="2D480265"/>
    <w:rsid w:val="2D977453"/>
    <w:rsid w:val="2EF22236"/>
    <w:rsid w:val="2F1E438C"/>
    <w:rsid w:val="3A621967"/>
    <w:rsid w:val="3FDF4D23"/>
    <w:rsid w:val="43C26223"/>
    <w:rsid w:val="43D8307E"/>
    <w:rsid w:val="46CE3131"/>
    <w:rsid w:val="494F7907"/>
    <w:rsid w:val="4C0055E5"/>
    <w:rsid w:val="4C3677AE"/>
    <w:rsid w:val="4C706B3A"/>
    <w:rsid w:val="51C15CED"/>
    <w:rsid w:val="52285DEB"/>
    <w:rsid w:val="52AD62F0"/>
    <w:rsid w:val="546308FE"/>
    <w:rsid w:val="5F2346ED"/>
    <w:rsid w:val="61086613"/>
    <w:rsid w:val="61B94290"/>
    <w:rsid w:val="6408782B"/>
    <w:rsid w:val="65322CBF"/>
    <w:rsid w:val="68CC52CB"/>
    <w:rsid w:val="68DE4FFE"/>
    <w:rsid w:val="694B58D7"/>
    <w:rsid w:val="69CE4E15"/>
    <w:rsid w:val="6B7F3246"/>
    <w:rsid w:val="6EF07839"/>
    <w:rsid w:val="6F63000B"/>
    <w:rsid w:val="72B56DCF"/>
    <w:rsid w:val="75B570E6"/>
    <w:rsid w:val="780A1873"/>
    <w:rsid w:val="787D11B8"/>
    <w:rsid w:val="792C5912"/>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dcterms:modified xsi:type="dcterms:W3CDTF">2025-10-14T05:47:50Z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6B92E19E160A41BEACD8E61D503A1D99_13</vt:lpwstr>
  </property>
</Properties>
</file>