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2026年呼图壁县农场管理中心</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关于呼图壁县农场管理中心2026年收支预算情况的总体说明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关于呼图壁县农场管理中心2026年收入预算情况说明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关于呼图壁县农场管理中心2026年支出预算情况说明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关于呼图壁县农场管理中心2026年财政拨款收支预算情况的总体说明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关于呼图壁县农场管理中心2026年一般公共预算当年拨款情况说明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关于呼图壁县农场管理中心2026年一般公共预算基本支出情况说明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关于呼图壁县农场管理中心2026年一般公共预算项目支出情况说明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关于呼图壁县农场管理中心2026年政府性基金预算拨款情况说明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关于呼图壁县农场管理中心2026年国有资本经营预算拨款情况说明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关于呼图壁县农场管理中心2026年财政拨款“三公”经费预算情况说明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关于呼图壁县农场管理中心2026年财政拨款委托业务费支出情况说明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关于呼图壁县农场管理中心2026年上年结转结余预算情况说明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（一）贯彻执行《中华人民共和国土地管理法》等法律法规和方针政策，坚持国有土地资源的保护和利用原则，保护为主，依法用地，科学利用。</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（二）受县人民政府委托，对全县农场实行等级制管理，履行行政管理、经济管理和社会事务管理职责。</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（三）配合自然资源部门健全完善农场国用土地用途、分类、评估的管理办法，编制农场土地利用总体规划、综合开发规划、中长期经济发展规划和年度计划。</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（四）负责农场国有土地有偿使用工作。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（五）负责农场国用土地信息的收集、整理、利用和公开的日常管理工作。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（六）负责农场基础设施立项申报及实施、农场统计、指导对外经济合作、科技交流、项目引进等工作。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（七）负责农场的农牧业高新技术的引进、推广等工作。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负责农场国用土地开发利用的可行性论证，配合有关部门组织对国有土地耕地数量、质量、生态保护实施计划的审定、土地的发包、承包合同的签定；承担对农场的土地租赁、抵押等工作进行审查和监督管理等行政辅助工作。</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（九）指导农场农业产业结构调整升级。</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（十）承办县委、县人民政府交办的其他任务。</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2"/>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呼图壁县农场管理中心无下属预算单位。</w:t>
      </w:r>
    </w:p>
    <w:p>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编制部门：呼图壁县农场管理中心</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266.94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244.79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244.79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22.15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22.15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0.50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0.50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0.50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267.44</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267.44</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9"/>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编制部门：呼图壁县农场管理中心</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37.99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37.99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37.99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37.99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37.99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37.99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6.81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20.79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20.79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20.79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10.39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10.39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10.39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17.67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17.67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17.67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17.67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17.67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17.67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12.34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12.34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12.34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5.20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0.13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农林水支出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172.20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171.70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171.70</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0.50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213</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农业农村</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172.20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171.70</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171.70</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0.50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167.30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167.30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167.30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213</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4.90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0.50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39.58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22.15</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39.58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22.15</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39.58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22.15</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267.44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244.79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244.79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22.15</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0.50</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编制部门：呼图壁县农场管理中心</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37.99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37.99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37.99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37.99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6.81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6.81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20.79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20.79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10.39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10.39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17.67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17.67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17.67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17.67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12.34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12.34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5.20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5.20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0.13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0.13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农林水支出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172.20</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167.30</w:t>
            </w:r>
          </w:p>
        </w:tc>
        <w:tc>
          <w:tcPr>
            <w:tcW w:w="340" w:type="dxa"/>
            <w:shd w:val="clear" w:color="auto" w:fill="auto"/>
            <w:vAlign w:val="center"/>
          </w:tcPr>
          <w:p>
            <w:pPr>
              <w:jc w:val="right"/>
              <w:rPr>
                <w:b/>
                <w:sz w:val="18"/>
                <w:szCs w:val="18"/>
              </w:rPr>
            </w:pPr>
            <w:r>
              <w:rPr>
                <w:rFonts w:hint="eastAsia" w:ascii="宋体" w:hAnsi="宋体"/>
                <w:b/>
                <w:color w:val="000000"/>
                <w:sz w:val="18"/>
                <w:szCs w:val="1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213</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农业农村</w:t>
            </w:r>
          </w:p>
        </w:tc>
        <w:tc>
          <w:tcPr>
            <w:tcW w:w="340" w:type="dxa"/>
            <w:shd w:val="clear" w:color="auto" w:fill="auto"/>
            <w:vAlign w:val="center"/>
          </w:tcPr>
          <w:p>
            <w:pPr>
              <w:jc w:val="right"/>
              <w:rPr>
                <w:b/>
                <w:sz w:val="18"/>
                <w:szCs w:val="18"/>
              </w:rPr>
            </w:pPr>
            <w:r>
              <w:rPr>
                <w:rFonts w:hint="eastAsia" w:ascii="宋体" w:hAnsi="宋体"/>
                <w:b/>
                <w:color w:val="000000"/>
                <w:sz w:val="18"/>
                <w:szCs w:val="18"/>
              </w:rPr>
              <w:t>172.20</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167.30</w:t>
            </w:r>
          </w:p>
        </w:tc>
        <w:tc>
          <w:tcPr>
            <w:tcW w:w="340" w:type="dxa"/>
            <w:shd w:val="clear" w:color="auto" w:fill="auto"/>
            <w:vAlign w:val="center"/>
          </w:tcPr>
          <w:p>
            <w:pPr>
              <w:jc w:val="right"/>
              <w:rPr>
                <w:b/>
                <w:sz w:val="18"/>
                <w:szCs w:val="18"/>
              </w:rPr>
            </w:pPr>
            <w:r>
              <w:rPr>
                <w:rFonts w:hint="eastAsia" w:ascii="宋体" w:hAnsi="宋体"/>
                <w:b/>
                <w:color w:val="000000"/>
                <w:sz w:val="18"/>
                <w:szCs w:val="1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167.30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167.30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213</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4.90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39.58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39.58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39.58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39.58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39.58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39.58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267.44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262.54</w:t>
            </w:r>
          </w:p>
        </w:tc>
        <w:tc>
          <w:tcPr>
            <w:tcW w:w="340" w:type="dxa"/>
            <w:shd w:val="clear" w:color="auto" w:fill="auto"/>
            <w:vAlign w:val="center"/>
          </w:tcPr>
          <w:p>
            <w:pPr>
              <w:jc w:val="right"/>
              <w:rPr>
                <w:b/>
                <w:sz w:val="18"/>
                <w:szCs w:val="18"/>
              </w:rPr>
            </w:pPr>
            <w:r>
              <w:rPr>
                <w:rFonts w:hint="eastAsia" w:ascii="宋体" w:hAnsi="宋体"/>
                <w:b/>
                <w:color w:val="000000"/>
                <w:sz w:val="18"/>
                <w:szCs w:val="18"/>
              </w:rPr>
              <w:t>4.90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编制部门：呼图壁县农场管理中心</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244.79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244.79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37.99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37.99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17.67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17.67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171.70</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171.70</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17.43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17.43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244.79</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244.79</w:t>
            </w:r>
          </w:p>
        </w:tc>
        <w:tc>
          <w:tcPr>
            <w:tcW w:w="1063" w:type="dxa"/>
            <w:gridSpan w:val="2"/>
            <w:shd w:val="clear" w:color="auto" w:fill="auto"/>
          </w:tcPr>
          <w:p>
            <w:pPr>
              <w:jc w:val="right"/>
              <w:rPr>
                <w:sz w:val="18"/>
                <w:szCs w:val="18"/>
              </w:rPr>
            </w:pPr>
            <w:r>
              <w:rPr>
                <w:rFonts w:hint="eastAsia" w:ascii="宋体" w:hAnsi="宋体"/>
                <w:b/>
                <w:color w:val="000000"/>
                <w:sz w:val="18"/>
                <w:szCs w:val="18"/>
              </w:rPr>
              <w:t>244.79</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编制部门：呼图壁县农场管理中心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37.99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37.99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37.99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37.99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6.81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6.81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20.79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20.79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10.39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10.39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17.67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17.67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17.67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12.34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12.34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5.20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5.20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0.13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0.13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农林水支出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171.70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167.30</w:t>
            </w:r>
          </w:p>
        </w:tc>
        <w:tc>
          <w:tcPr>
            <w:tcW w:w="1427" w:type="dxa"/>
            <w:shd w:val="clear" w:color="auto" w:fill="auto"/>
            <w:vAlign w:val="center"/>
          </w:tcPr>
          <w:p>
            <w:pPr>
              <w:jc w:val="right"/>
              <w:rPr>
                <w:b/>
                <w:sz w:val="18"/>
                <w:szCs w:val="18"/>
              </w:rPr>
            </w:pPr>
            <w:r>
              <w:rPr>
                <w:rFonts w:hint="eastAsia" w:ascii="宋体" w:hAnsi="宋体"/>
                <w:b/>
                <w:color w:val="000000"/>
                <w:sz w:val="18"/>
                <w:szCs w:val="18"/>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213</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农业农村</w:t>
            </w:r>
          </w:p>
        </w:tc>
        <w:tc>
          <w:tcPr>
            <w:tcW w:w="1367" w:type="dxa"/>
            <w:shd w:val="clear" w:color="auto" w:fill="auto"/>
            <w:vAlign w:val="center"/>
          </w:tcPr>
          <w:p>
            <w:pPr>
              <w:jc w:val="right"/>
              <w:rPr>
                <w:b/>
                <w:sz w:val="18"/>
                <w:szCs w:val="18"/>
              </w:rPr>
            </w:pPr>
            <w:r>
              <w:rPr>
                <w:rFonts w:hint="eastAsia" w:ascii="宋体" w:hAnsi="宋体"/>
                <w:b/>
                <w:color w:val="000000"/>
                <w:sz w:val="18"/>
                <w:szCs w:val="18"/>
              </w:rPr>
              <w:t>171.70</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167.30</w:t>
            </w:r>
          </w:p>
        </w:tc>
        <w:tc>
          <w:tcPr>
            <w:tcW w:w="1427" w:type="dxa"/>
            <w:shd w:val="clear" w:color="auto" w:fill="auto"/>
            <w:vAlign w:val="center"/>
          </w:tcPr>
          <w:p>
            <w:pPr>
              <w:jc w:val="right"/>
              <w:rPr>
                <w:b/>
                <w:sz w:val="18"/>
                <w:szCs w:val="18"/>
              </w:rPr>
            </w:pPr>
            <w:r>
              <w:rPr>
                <w:rFonts w:hint="eastAsia" w:ascii="宋体" w:hAnsi="宋体"/>
                <w:b/>
                <w:color w:val="000000"/>
                <w:sz w:val="18"/>
                <w:szCs w:val="18"/>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167.30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167.30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213</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4.40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17.43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17.43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17.43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17.43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17.43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244.79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240.39</w:t>
            </w:r>
          </w:p>
        </w:tc>
        <w:tc>
          <w:tcPr>
            <w:tcW w:w="1427" w:type="dxa"/>
            <w:shd w:val="clear" w:color="auto" w:fill="auto"/>
            <w:vAlign w:val="center"/>
          </w:tcPr>
          <w:p>
            <w:pPr>
              <w:jc w:val="right"/>
              <w:rPr>
                <w:b/>
                <w:sz w:val="18"/>
                <w:szCs w:val="18"/>
              </w:rPr>
            </w:pPr>
            <w:r>
              <w:rPr>
                <w:rFonts w:hint="eastAsia" w:ascii="宋体" w:hAnsi="宋体"/>
                <w:b/>
                <w:color w:val="000000"/>
                <w:sz w:val="18"/>
                <w:szCs w:val="18"/>
              </w:rPr>
              <w:t>4.40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编制部门：呼图壁县农场管理中心</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212.05</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212.05</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57.46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57.46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46.32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46.32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41.47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41.47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20.79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20.79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10.39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10.39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12.34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12.34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5.20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5.20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0.65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0.65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17.43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17.43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20.85</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0.81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0.73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14.67</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2.50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7.49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7.49</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6.81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6.81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240.39</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219.54</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20.85</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编制部门：呼图壁县农场管理中心</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呼图壁县农场管理中心</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农林水支出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213</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农业农村</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213</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4.40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4.40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4.40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编制部门：呼图壁县农场管理中心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呼图壁县农场管理中心2026年没有使用政府性基金预算拨款安排的支出，政府性基金预算支出情况表为空表。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编制部门：呼图壁县农场管理中心</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呼图壁县农场管理中心2026年没有使用国有资本经营预算拨款安排的支出，国有资本经营预算支出情况表为空表。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编制部门：呼图壁县农场管理中心</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编制部门：呼图壁县农场管理中心</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呼图壁县农场管理中心2026年没有委托业务费预算的支出，财政拨款委托业务费支出情况表为空表。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编制部门：呼图壁县农场管理中心</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呼图壁县农场管理中心</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0.50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0.50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0.50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2025年访惠聚为民办实事--村级支出</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0.50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0.50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0.50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0.50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按照全口径预算的原则，呼图壁县农场管理中心2026年所有收入和支出均纳入部门预算管理。收支总预算267.44万元。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呼图壁县农场管理中心部门收入预算267.44万元，其中：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244.79万元，占91.53%，比上年预算增加50.43万元，增长25.95%，主要原因是一是新增了两名编制外工作人员，预算增加；二是单位工作人员晋升的基本工资标准调整；三是本年度职业年金单位部分按实有人员据实缴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单位资金22.15万元，占8.28%，比上年预算减少422.46万元，下降95.02%，主要原因是单位资金代收代付耕地轮作试点项目资金、加厚高强度地膜资金减少。</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财政拨款结转0.50万元，占0.19%，比上年预算减少4.50万元，下降90.00%，主要原因是</w:t>
      </w:r>
      <w:r>
        <w:rPr>
          <w:rFonts w:hint="eastAsia" w:ascii="仿宋" w:hAnsi="微软雅黑" w:eastAsia="仿宋"/>
          <w:sz w:val="28"/>
          <w:szCs w:val="28"/>
          <w:lang w:val="en-US" w:eastAsia="zh-CN"/>
        </w:rPr>
        <w:t>2025年民办事经费项目资金支出执行率提高，结转至2026年财政拨款结转资金减少</w:t>
      </w:r>
      <w:r>
        <w:rPr>
          <w:rFonts w:hint="eastAsia" w:ascii="仿宋" w:hAnsi="微软雅黑" w:eastAsia="仿宋"/>
          <w:sz w:val="28"/>
          <w:szCs w:val="28"/>
          <w:lang w:eastAsia="zh-CN"/>
        </w:rPr>
        <w:t>。</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呼图壁县农场管理中心2026年支出预算267.44万元，其中：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262.54万元，占98.17%，比上年预算增加3.26万元，增长1.26%，主要原因是随着上一年度单位工作人员晋升的基本工资的增长，养老保险、医疗保险、住房公积金等缴费基数相应提高，单位需匹配的配套资金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项目支出4.90万元，占1.83%，比上年预算减少379.80万元，下降98.73%，主要原因是代收代付耕地轮作试点项目资金、加厚高强度地膜资金减少。</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2026年财政拨款收支总预算244.79万元。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收入预算包括：一般公共预算拨款244.79万元。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37.99万元，主要用于基本养老保险缴费支出20.79万元，职业年金缴费支出10.4万元，行政单位离退休支出6.8万元；卫生健康支出17.67万元，主要用于行政医疗支出12.34万元，其他行政事业单位医疗支出0.13万元，公务员医疗补助支出5.2万元；农林水支出171.70万元，主要用于基本工资、津贴补贴、奖金、机关事业单位基本养老保险缴费、职工基本医疗保险缴费、公务员医疗补助缴费、其他社会保障缴费、住房公积金、退休费等；住房保障支出17.43万元，主要用于住房公积金缴纳。</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呼图壁县农场管理中心2026年一般公共预算拨款合计244.79万元，其中：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240.39万元，比上年预算增加46.03万元，增长23.68%，主要原因是一是新增了两名编制外工作人员，预算增加；二是单位工作人员晋升的基本工资标准调整；三是本年度职业年金单位部分按实有人员据实缴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4.40万元，比上年预算增加4.40万元，增长100.00%，主要原因是本年度新增2026年支付各类其他刚性资金项目，主要用于办公耗材采购、公务出差往来、设备设施维修、水电能源消耗、宣传资料印制以及临时性劳务用工等。</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1.社会保障和就业支出（类）37.99万元，占15.52%。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2.卫生健康支出（类）17.67万元，占7.22%。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3.农林水支出（类）171.70万元，占70.14%。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4.住房保障支出（类）17.43万元，占7.12%。</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6.81万元，比上年预算增加1.73万元，增长34.06%，主要原因是根据相关政策调整，2026年退休人员基础绩效奖标准有所提高，导致该项支出比上年预算增加1.73万元，增长34.06%。</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20.79万元，比上年预算增加1.54万元，增长8.00%，主要原因是随着上一年度单位工作人员晋升的基本工资的增长，养老保险缴费基数相应提高。</w:t>
      </w:r>
    </w:p>
    <w:p>
      <w:pPr>
        <w:widowControl/>
        <w:spacing w:line="560" w:lineRule="exact"/>
        <w:ind w:firstLine="560" w:firstLineChars="200"/>
        <w:rPr>
          <w:rFonts w:hint="default" w:ascii="仿宋" w:hAnsi="微软雅黑" w:eastAsia="仿宋" w:cs="Times New Roman"/>
          <w:sz w:val="28"/>
          <w:szCs w:val="28"/>
        </w:rPr>
      </w:pPr>
      <w:r>
        <w:rPr>
          <w:rFonts w:hint="eastAsia" w:ascii="仿宋" w:hAnsi="微软雅黑" w:eastAsia="仿宋"/>
          <w:sz w:val="28"/>
          <w:szCs w:val="28"/>
        </w:rPr>
        <w:t>3.社会保障和就业支出（类）行政事业单位养老支出（款）机关事业单位职业年金缴费支出（项）：2026年预算数为10.39万元，比上年预算增加10.39万元，增长100.00%，</w:t>
      </w:r>
      <w:r>
        <w:rPr>
          <w:rFonts w:hint="eastAsia" w:ascii="仿宋" w:hAnsi="微软雅黑" w:eastAsia="仿宋" w:cs="Times New Roman"/>
          <w:sz w:val="28"/>
          <w:szCs w:val="28"/>
        </w:rPr>
        <w:t>主要原因是上年度未安排职业年金缴费款，本年度根据政策及人员用工需求新增记实职业年金缴费款，职业年金缴费支出随之增加。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12.34万元，比上年预算增加2.72万元，增长28.27%，主要原因是随着上一年度单位工作人员晋升的基本工资的增长，基本医疗保险缴费基数相应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5.20万元，比上年预算增加0.39万元，增长8.11%，主要原因是随着上一年度单位工作人员晋升的基本工资的增长，公务员医疗补助缴费基数相应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其他行政事业单位医疗支出（项）：2026年预算数为0.13万元，比上年预算增加0.01万元，增长8.33%，主要原因是随着上一年度单位工作人员晋升的基本工资的增长，大病保险缴费基数相应提高。</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农林水支出（类）农业农村（款）行政运行（项）：2026年预算数为167.30万元，比上年预算增加27.70万元，增长19.84%，主要原因是一是新增两名编制外工作人员，相应增加人员经费预算；二是工作人员职务晋升及正常调资带来基本工资标准提高。</w:t>
      </w:r>
    </w:p>
    <w:p>
      <w:pPr>
        <w:keepNext w:val="0"/>
        <w:keepLines w:val="0"/>
        <w:pageBreakBefore w:val="0"/>
        <w:widowControl w:val="0"/>
        <w:kinsoku/>
        <w:wordWrap/>
        <w:overflowPunct/>
        <w:topLinePunct w:val="0"/>
        <w:autoSpaceDE/>
        <w:autoSpaceDN/>
        <w:adjustRightInd/>
        <w:snapToGrid/>
        <w:ind w:firstLine="560" w:firstLineChars="200"/>
        <w:textAlignment w:val="auto"/>
        <w:rPr>
          <w:rFonts w:hint="default" w:ascii="仿宋" w:hAnsi="微软雅黑" w:eastAsia="仿宋"/>
          <w:sz w:val="28"/>
          <w:szCs w:val="28"/>
        </w:rPr>
      </w:pPr>
      <w:r>
        <w:rPr>
          <w:rFonts w:hint="eastAsia" w:ascii="仿宋" w:hAnsi="微软雅黑" w:eastAsia="仿宋"/>
          <w:sz w:val="28"/>
          <w:szCs w:val="28"/>
        </w:rPr>
        <w:t>8.农林水支出（类）农业农村（款）一般行政管理事务（项）：2026年预算数为4.40万元，比上年预算增加4.40万元，增长100.00%，主要原因是本年度新增2026年支付各类其他刚性资金项目，主要</w:t>
      </w:r>
      <w:r>
        <w:rPr>
          <w:rFonts w:hint="eastAsia" w:ascii="仿宋" w:hAnsi="微软雅黑" w:eastAsia="仿宋" w:cs="Times New Roman"/>
          <w:sz w:val="28"/>
          <w:szCs w:val="28"/>
        </w:rPr>
        <w:t xml:space="preserve">用于历史拖欠公用经费问题。设立的政策依据为：《2025年呼图壁县财经委员会第五次会议纪要》（呼党财【2025】5号） </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住房保障支出（类）住房改革支出（款）住房公积金（项）：2026年预算数为17.43万元，比上年预算增加1.55万元，增长9.76%，主要原因是随着上一年度单位工作人员晋升的基本工资的增长，住房公积金缴费基数相应提高。</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呼图壁县农场管理中心2026年一般公共预算基本支出240.39万元，其中：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人员经费219.54万元，主要包括：基本工资、津贴补贴、奖金、机关事业单位基本养老保险缴费、职业年金缴费、职工基本医疗保险缴费、公务员医疗补助缴费、其他社会保障缴费、住房公积金、退休费、奖励金。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公用经费20.85万元，主要包括：办公费、电费、邮电费、劳务费、工会经费、公务用车运行维护费。</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设立的政策依据：依据《2025年呼图壁县财经委员会第五次会议纪要》（呼党财〔2025〕5号）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项目承担单位：呼图壁县农场管理中心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资金分配情况：主要用于办公费1.54万元、印刷费0.32万元、其他交通费1.8万元、劳务费0.3万元、电费0.28万元、差旅费0.01万元、维修费0.15万元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资金执行时间：2026年1月1日到2026年12月31日</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呼图壁县农场管理中心2026年没有使用政府性基金预算拨款安排的支出，政府性基金预算支出情况表为空表。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呼图壁县农场管理中心2026年没有使用国有资本经营预算拨款安排的支出，国有资本经营预算支出情况表为空表。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呼图壁县农场管理中心2026年财政拨款“三公”经费数为1.60万元，其中：因公出国（境）费用0.00万元，公务用车购置0.00万元，公务用车运行维护费1.60万元，公务接待费0.00万元。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0.00万元，增长0.00%，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严格落实“三公”经费预算管理要求，单位公务用车数量未发生变化，且预计年度运行需求与上年基本持平，故2026年预算安排与2025年持平，无增加；公务接待费增加0.00万元，增长0.00%，主要原因是2025年与2026年均未安排公务接待费。</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呼图壁县农场管理中心2026年没有委托业务费预算的支出，财政拨款委托业务费支出情况表为空表。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关于呼图壁县农场管理中心2026年上年结转结余预算情况说明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呼图壁县农场管理中心2026年上年结转结余0.50万元，包括：财政拨款0.50万元，非财政拨款0.00万元，其中：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1.特定目标7310677G结转0.50万元，完全不予公开。</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农场管理中心2026年的机关运行经费财政拨款预算20.85万元，比上年预算增加14.73万元，增长240.69%，主要原因是为保障工作顺利开展，本年新增两名编制外工作人员，需全额安排其工资、社保及公用经费等待遇，故预算大幅增加。</w:t>
      </w:r>
    </w:p>
    <w:p>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2026年，呼图壁县农场管理中心政府采购预算1.80万元，其中：政府采购货物预算0.20万元，政府采购工程预算0.00万元，政府采购服务预算1.60万元。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2026年，呼图壁县农场管理中心面向中小企业预留政府采购项目预算金额1.20万元，其中：小微企业预留政府采购项目预算金额1.20万元。</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截至2025年底，呼图壁县农场管理中心占用使用国有资产总体情况为：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2.车辆1辆，价值19.87万元；其中：一般公务用车0辆，价值0.00万元；执法执勤用车0辆，价值0.00万元；其他车辆1辆，价值19.87万元。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3.办公家具价值14.43万元。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4.其他资产价值28.79万元。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2026年，本部门预算绩效管理整体预算绩效目标1个，涉及预算金额267.44万元；当年预算安排项目共1个，其中：财政拨款项目涉及预算金额4.40万元；非财政拨款项目涉及预算金额0.00万元。具体情况见下表：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呼图壁县农场管理中心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苏广智</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18999367775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2026年是“十四五”规划的收官之年，也是为“十五五”发展谋篇布局的关键之年。农场管理中心将继续围绕中心服务大局，以更高的标准更严的要求更实的作风，推动国有农用地管理工作再上新台阶。持续强化205家家庭农场安全生产主体责任，严格落实“时时放心不下”到“事事心中有底”的安全管理机制，深入分析安全生产薄弱环节，实施精准整改、动态销号，确保安全制度措施落实到位。全年每户家庭农场安全生产检查、场所督导、入户督导均不低于2次，同步加强单位内部安全生产自查，深化安全培训及应急演练，提升风险防范能力。注重农场经营户思想引领，开展感恩教育和遵纪守法专题培训，推动标准化建设与安全生产、基层治理深度融合，为农场高质量发展筑牢安全根基和社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244.79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22.15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267.44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保障安全生产检查次数</w:t>
            </w:r>
          </w:p>
        </w:tc>
        <w:tc>
          <w:tcPr>
            <w:tcW w:w="1448" w:type="dxa"/>
            <w:gridSpan w:val="2"/>
            <w:shd w:val="clear" w:color="auto" w:fill="auto"/>
            <w:vAlign w:val="center"/>
          </w:tcPr>
          <w:p>
            <w:pPr>
              <w:jc w:val="center"/>
              <w:rPr>
                <w:sz w:val="18"/>
                <w:szCs w:val="18"/>
              </w:rPr>
            </w:pPr>
            <w:r>
              <w:rPr>
                <w:rFonts w:hint="eastAsia"/>
                <w:sz w:val="18"/>
                <w:szCs w:val="18"/>
              </w:rPr>
              <w:t>＞=2次/家</w:t>
            </w:r>
          </w:p>
        </w:tc>
        <w:tc>
          <w:tcPr>
            <w:tcW w:w="1360" w:type="dxa"/>
            <w:shd w:val="clear" w:color="auto" w:fill="auto"/>
            <w:vAlign w:val="center"/>
          </w:tcPr>
          <w:p>
            <w:pPr>
              <w:jc w:val="center"/>
              <w:rPr>
                <w:sz w:val="18"/>
                <w:szCs w:val="18"/>
              </w:rPr>
            </w:pPr>
            <w:r>
              <w:rPr>
                <w:rFonts w:hint="eastAsia"/>
                <w:sz w:val="18"/>
                <w:szCs w:val="18"/>
              </w:rPr>
              <w:t>农场管理中心中心2026年度重点工作计划</w:t>
            </w:r>
          </w:p>
        </w:tc>
        <w:tc>
          <w:tcPr>
            <w:tcW w:w="1360" w:type="dxa"/>
            <w:shd w:val="clear" w:color="auto" w:fill="auto"/>
            <w:vAlign w:val="center"/>
          </w:tcPr>
          <w:p>
            <w:pPr>
              <w:jc w:val="center"/>
              <w:rPr>
                <w:sz w:val="18"/>
                <w:szCs w:val="18"/>
              </w:rPr>
            </w:pPr>
            <w:r>
              <w:rPr>
                <w:rFonts w:hint="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保障场所督导检查次数</w:t>
            </w:r>
          </w:p>
        </w:tc>
        <w:tc>
          <w:tcPr>
            <w:tcW w:w="1448" w:type="dxa"/>
            <w:gridSpan w:val="2"/>
            <w:shd w:val="clear" w:color="auto" w:fill="auto"/>
            <w:vAlign w:val="center"/>
          </w:tcPr>
          <w:p>
            <w:pPr>
              <w:jc w:val="center"/>
              <w:rPr>
                <w:sz w:val="18"/>
                <w:szCs w:val="18"/>
              </w:rPr>
            </w:pPr>
            <w:r>
              <w:rPr>
                <w:rFonts w:hint="eastAsia"/>
                <w:sz w:val="18"/>
                <w:szCs w:val="18"/>
              </w:rPr>
              <w:t>＞=2次/家</w:t>
            </w:r>
          </w:p>
        </w:tc>
        <w:tc>
          <w:tcPr>
            <w:tcW w:w="1360" w:type="dxa"/>
            <w:shd w:val="clear" w:color="auto" w:fill="auto"/>
            <w:vAlign w:val="center"/>
          </w:tcPr>
          <w:p>
            <w:pPr>
              <w:jc w:val="center"/>
              <w:rPr>
                <w:sz w:val="18"/>
                <w:szCs w:val="18"/>
              </w:rPr>
            </w:pPr>
            <w:r>
              <w:rPr>
                <w:rFonts w:hint="eastAsia"/>
                <w:sz w:val="18"/>
                <w:szCs w:val="18"/>
              </w:rPr>
              <w:t>农场管理中心2026年度重点工作计划</w:t>
            </w:r>
          </w:p>
        </w:tc>
        <w:tc>
          <w:tcPr>
            <w:tcW w:w="1360" w:type="dxa"/>
            <w:shd w:val="clear" w:color="auto" w:fill="auto"/>
            <w:vAlign w:val="center"/>
          </w:tcPr>
          <w:p>
            <w:pPr>
              <w:jc w:val="center"/>
              <w:rPr>
                <w:sz w:val="18"/>
                <w:szCs w:val="18"/>
              </w:rPr>
            </w:pPr>
            <w:r>
              <w:rPr>
                <w:rFonts w:hint="eastAsia"/>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保障入户督导检查次数</w:t>
            </w:r>
          </w:p>
        </w:tc>
        <w:tc>
          <w:tcPr>
            <w:tcW w:w="1448" w:type="dxa"/>
            <w:gridSpan w:val="2"/>
            <w:shd w:val="clear" w:color="auto" w:fill="auto"/>
            <w:vAlign w:val="center"/>
          </w:tcPr>
          <w:p>
            <w:pPr>
              <w:jc w:val="center"/>
              <w:rPr>
                <w:sz w:val="18"/>
                <w:szCs w:val="18"/>
              </w:rPr>
            </w:pPr>
            <w:r>
              <w:rPr>
                <w:rFonts w:hint="eastAsia"/>
                <w:sz w:val="18"/>
                <w:szCs w:val="18"/>
              </w:rPr>
              <w:t>＞=2次/家</w:t>
            </w:r>
          </w:p>
        </w:tc>
        <w:tc>
          <w:tcPr>
            <w:tcW w:w="1360" w:type="dxa"/>
            <w:shd w:val="clear" w:color="auto" w:fill="auto"/>
            <w:vAlign w:val="center"/>
          </w:tcPr>
          <w:p>
            <w:pPr>
              <w:jc w:val="center"/>
              <w:rPr>
                <w:sz w:val="18"/>
                <w:szCs w:val="18"/>
              </w:rPr>
            </w:pPr>
            <w:r>
              <w:rPr>
                <w:rFonts w:hint="eastAsia"/>
                <w:sz w:val="18"/>
                <w:szCs w:val="18"/>
              </w:rPr>
              <w:t>农场管理中心2026年度重点工作计划</w:t>
            </w:r>
          </w:p>
        </w:tc>
        <w:tc>
          <w:tcPr>
            <w:tcW w:w="1360" w:type="dxa"/>
            <w:shd w:val="clear" w:color="auto" w:fill="auto"/>
            <w:vAlign w:val="center"/>
          </w:tcPr>
          <w:p>
            <w:pPr>
              <w:jc w:val="center"/>
              <w:rPr>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避免安全生产案件发生保障率</w:t>
            </w:r>
          </w:p>
        </w:tc>
        <w:tc>
          <w:tcPr>
            <w:tcW w:w="1448" w:type="dxa"/>
            <w:gridSpan w:val="2"/>
            <w:shd w:val="clear" w:color="auto" w:fill="auto"/>
            <w:vAlign w:val="center"/>
          </w:tcPr>
          <w:p>
            <w:pPr>
              <w:jc w:val="center"/>
              <w:rPr>
                <w:sz w:val="18"/>
                <w:szCs w:val="18"/>
              </w:rPr>
            </w:pPr>
            <w:r>
              <w:rPr>
                <w:rFonts w:hint="eastAsia"/>
                <w:sz w:val="18"/>
                <w:szCs w:val="18"/>
              </w:rPr>
              <w:t>＞=90%</w:t>
            </w:r>
          </w:p>
        </w:tc>
        <w:tc>
          <w:tcPr>
            <w:tcW w:w="1360" w:type="dxa"/>
            <w:shd w:val="clear" w:color="auto" w:fill="auto"/>
            <w:vAlign w:val="center"/>
          </w:tcPr>
          <w:p>
            <w:pPr>
              <w:jc w:val="center"/>
              <w:rPr>
                <w:sz w:val="18"/>
                <w:szCs w:val="18"/>
              </w:rPr>
            </w:pPr>
            <w:r>
              <w:rPr>
                <w:rFonts w:hint="eastAsia"/>
                <w:sz w:val="18"/>
                <w:szCs w:val="18"/>
              </w:rPr>
              <w:t>农场管理中心2026年度重点工作计划</w:t>
            </w:r>
          </w:p>
        </w:tc>
        <w:tc>
          <w:tcPr>
            <w:tcW w:w="1360" w:type="dxa"/>
            <w:shd w:val="clear" w:color="auto" w:fill="auto"/>
            <w:vAlign w:val="center"/>
          </w:tcPr>
          <w:p>
            <w:pPr>
              <w:jc w:val="center"/>
              <w:rPr>
                <w:sz w:val="18"/>
                <w:szCs w:val="18"/>
              </w:rPr>
            </w:pPr>
            <w:r>
              <w:rPr>
                <w:rFonts w:hint="eastAsia"/>
                <w:sz w:val="18"/>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消除场所生产安全隐患保障率</w:t>
            </w:r>
          </w:p>
        </w:tc>
        <w:tc>
          <w:tcPr>
            <w:tcW w:w="1448" w:type="dxa"/>
            <w:gridSpan w:val="2"/>
            <w:shd w:val="clear" w:color="auto" w:fill="auto"/>
            <w:vAlign w:val="center"/>
          </w:tcPr>
          <w:p>
            <w:pPr>
              <w:jc w:val="center"/>
              <w:rPr>
                <w:sz w:val="18"/>
                <w:szCs w:val="18"/>
              </w:rPr>
            </w:pPr>
            <w:r>
              <w:rPr>
                <w:rFonts w:hint="eastAsia"/>
                <w:sz w:val="18"/>
                <w:szCs w:val="18"/>
              </w:rPr>
              <w:t>＞=90%</w:t>
            </w:r>
          </w:p>
        </w:tc>
        <w:tc>
          <w:tcPr>
            <w:tcW w:w="1360" w:type="dxa"/>
            <w:shd w:val="clear" w:color="auto" w:fill="auto"/>
            <w:vAlign w:val="center"/>
          </w:tcPr>
          <w:p>
            <w:pPr>
              <w:jc w:val="center"/>
              <w:rPr>
                <w:sz w:val="18"/>
                <w:szCs w:val="18"/>
              </w:rPr>
            </w:pPr>
            <w:r>
              <w:rPr>
                <w:rFonts w:hint="eastAsia"/>
                <w:sz w:val="18"/>
                <w:szCs w:val="18"/>
              </w:rPr>
              <w:t>农场管理中心2026年度重点工作计划</w:t>
            </w:r>
          </w:p>
        </w:tc>
        <w:tc>
          <w:tcPr>
            <w:tcW w:w="1360" w:type="dxa"/>
            <w:shd w:val="clear" w:color="auto" w:fill="auto"/>
            <w:vAlign w:val="center"/>
          </w:tcPr>
          <w:p>
            <w:pPr>
              <w:jc w:val="center"/>
              <w:rPr>
                <w:sz w:val="18"/>
                <w:szCs w:val="18"/>
              </w:rPr>
            </w:pPr>
            <w:r>
              <w:rPr>
                <w:rFonts w:hint="eastAsia"/>
                <w:sz w:val="18"/>
                <w:szCs w:val="18"/>
              </w:rPr>
              <w:t>20</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9"/>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呼图壁县农场管理中心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赵远军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4.40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4.40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机关事务条例》、《节约型机关创建行动方案》、《党政机关厉行节约反对浪费条例》结合我单位职能，本项目拟投入4.4万元，用于保障单位的正常运转，通过实施该项目，将有力促进农场管理中心作为基层农业管理服务机构的履职能力提升，进而推动县域农业农村基础管理效能的整体跃升。本项目的实施将有效完善农场管理中心的基础运行保障机制，推动内部管理向精细化、规范化方向迈进。本项目的实施将从多个层面产生显著的社会效益，切实改善辖区营商环境、干部职工工作条件及基层干群关系。在营商环境改善方面，通过足额保障差旅费支持干部职工深入田间地头开展土地巡查、合同续签现场核验、承租户纠纷调解等工作，以及印刷费支持的政策宣传资料入户发放，将显著提升对承租企业和广大农户的服务响应速度与问题解决效率，树立诚信守约、务实高效的政府单位形象，吸引更多优质农业企业安心扎根发展，促进辖区土地资源的市场化盘活与集约化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办公费办公用品购买批次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＞=10批次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eastAsia="宋体"/>
                <w:sz w:val="16"/>
                <w:szCs w:val="16"/>
                <w:lang w:val="en-US" w:eastAsia="zh-CN"/>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电费使用数（度）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＞=16943.35度</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干部职工出差次数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＞=205次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维修灯具、门锁等设施设备数（次）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机关运行所需其他劳务费用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印刷红头文件、合同等相关文件数（张）</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＞=3200张</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办公设备故障修复率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办公用品验收合格率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＜=0.40元/度</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bookmarkStart w:id="0" w:name="_GoBack"/>
            <w:bookmarkEnd w:id="0"/>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差旅费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＜=139元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劳务费支出标准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＜=600元/次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外出业务安全检查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＜=2000元/次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印刷合同等标准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＜=1元/份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维修灯具、门锁、下水道平均标准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＜=500元/次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办公用品采购平均标准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＜=1538.36元/次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有效提升干部职工工作效率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干部职工满意度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eastAsia" w:ascii="宋体" w:hAnsi="宋体"/>
                <w:sz w:val="16"/>
                <w:szCs w:val="16"/>
                <w:lang w:val="en-US" w:eastAsia="zh-CN"/>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呼图壁县农场管理中心</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7"/>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DD3E8"/>
    <w:multiLevelType w:val="multilevel"/>
    <w:tmpl w:val="E54DD3E8"/>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E6A9E59"/>
    <w:multiLevelType w:val="multilevel"/>
    <w:tmpl w:val="2E6A9E59"/>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0C75105"/>
    <w:multiLevelType w:val="multilevel"/>
    <w:tmpl w:val="30C7510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160172"/>
    <w:rsid w:val="20A355F2"/>
    <w:rsid w:val="399C4C17"/>
    <w:rsid w:val="3B0D03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3"/>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link w:val="14"/>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link w:val="15"/>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qFormat/>
    <w:uiPriority w:val="0"/>
  </w:style>
  <w:style w:type="table" w:default="1" w:styleId="9">
    <w:name w:val="Normal Table"/>
    <w:qFormat/>
    <w:uiPriority w:val="0"/>
    <w:rPr>
      <w:lang w:val="en-US" w:eastAsia="zh-CN" w:bidi="ar-SA"/>
    </w:rPr>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annotation text"/>
    <w:basedOn w:val="1"/>
    <w:qFormat/>
    <w:uiPriority w:val="0"/>
    <w:pPr>
      <w:jc w:val="left"/>
    </w:pPr>
  </w:style>
  <w:style w:type="paragraph" w:styleId="7">
    <w:name w:val="footer"/>
    <w:basedOn w:val="1"/>
    <w:link w:val="17"/>
    <w:qFormat/>
    <w:uiPriority w:val="0"/>
    <w:pPr>
      <w:snapToGrid w:val="0"/>
      <w:jc w:val="left"/>
    </w:pPr>
    <w:rPr>
      <w:sz w:val="18"/>
      <w:szCs w:val="18"/>
    </w:rPr>
  </w:style>
  <w:style w:type="paragraph" w:styleId="8">
    <w:name w:val="header"/>
    <w:basedOn w:val="1"/>
    <w:link w:val="16"/>
    <w:qFormat/>
    <w:uiPriority w:val="0"/>
    <w:pPr>
      <w:pBdr>
        <w:bottom w:val="single" w:color="auto" w:sz="6" w:space="1"/>
      </w:pBdr>
      <w:snapToGrid w:val="0"/>
      <w:jc w:val="center"/>
    </w:pPr>
    <w:rPr>
      <w:sz w:val="18"/>
      <w:szCs w:val="18"/>
    </w:rPr>
  </w:style>
  <w:style w:type="table" w:styleId="10">
    <w:name w:val="Table Grid"/>
    <w:basedOn w:val="9"/>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List Paragraph"/>
    <w:basedOn w:val="1"/>
    <w:qFormat/>
    <w:uiPriority w:val="0"/>
    <w:pPr>
      <w:ind w:firstLine="420" w:firstLineChars="200"/>
    </w:pPr>
  </w:style>
  <w:style w:type="character" w:customStyle="1" w:styleId="13">
    <w:name w:val="标题 1 Char"/>
    <w:link w:val="3"/>
    <w:qFormat/>
    <w:uiPriority w:val="0"/>
    <w:rPr>
      <w:rFonts w:hint="default" w:ascii="Times New Roman" w:hAnsi="Times New Roman"/>
      <w:b/>
      <w:kern w:val="44"/>
      <w:sz w:val="44"/>
      <w:szCs w:val="44"/>
    </w:rPr>
  </w:style>
  <w:style w:type="character" w:customStyle="1" w:styleId="14">
    <w:name w:val="标题 2 Char"/>
    <w:link w:val="4"/>
    <w:qFormat/>
    <w:uiPriority w:val="0"/>
    <w:rPr>
      <w:rFonts w:hint="default" w:ascii="Cambria" w:hAnsi="Cambria"/>
      <w:b/>
      <w:kern w:val="2"/>
      <w:sz w:val="32"/>
      <w:szCs w:val="32"/>
    </w:rPr>
  </w:style>
  <w:style w:type="character" w:customStyle="1" w:styleId="15">
    <w:name w:val="标题 3 Char"/>
    <w:link w:val="5"/>
    <w:qFormat/>
    <w:uiPriority w:val="0"/>
    <w:rPr>
      <w:rFonts w:hint="default" w:ascii="Times New Roman" w:hAnsi="Times New Roman"/>
      <w:b/>
      <w:kern w:val="2"/>
      <w:sz w:val="32"/>
      <w:szCs w:val="32"/>
    </w:rPr>
  </w:style>
  <w:style w:type="character" w:customStyle="1" w:styleId="16">
    <w:name w:val="页眉 Char"/>
    <w:link w:val="8"/>
    <w:qFormat/>
    <w:uiPriority w:val="0"/>
    <w:rPr>
      <w:kern w:val="2"/>
      <w:sz w:val="18"/>
      <w:szCs w:val="18"/>
    </w:rPr>
  </w:style>
  <w:style w:type="character" w:customStyle="1" w:styleId="17">
    <w:name w:val="页脚 Char"/>
    <w:link w:val="7"/>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29</Pages>
  <Words>1942</Words>
  <Characters>2287</Characters>
  <Lines>40</Lines>
  <Paragraphs>11</Paragraphs>
  <TotalTime>0</TotalTime>
  <ScaleCrop>false</ScaleCrop>
  <LinksUpToDate>false</LinksUpToDate>
  <CharactersWithSpaces>2445</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2026-06-04T05:36:08Z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eyJoZGlkIjoiZWVkNzFmYmU3ZmFiNTI4YTExMTUxMzU0YWNhNmVlYWQiLCJ1c2VySWQiOiI0MjA5MTg4MjgifQ==</vt:lpwstr>
  </property>
  <property fmtid="{D5CDD505-2E9C-101B-9397-08002B2CF9AE}" pid="3" name="KSOProductBuildVer">
    <vt:lpwstr>2052-11.8.2.10154</vt:lpwstr>
  </property>
  <property fmtid="{D5CDD505-2E9C-101B-9397-08002B2CF9AE}" pid="4" name="ICV">
    <vt:lpwstr>7E324E5F2FF34E2B8F5DB0466C2B908B</vt:lpwstr>
  </property>
</Properties>
</file>