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2026年呼图壁县水利局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关于呼图壁县水利局2026年收支预算情况的总体说明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关于呼图壁县水利局2026年收入预算情况说明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关于呼图壁县水利局2026年支出预算情况说明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关于呼图壁县水利局2026年财政拨款收支预算情况的总体说明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关于呼图壁县水利局2026年一般公共预算当年拨款情况说明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关于呼图壁县水利局2026年一般公共预算基本支出情况说明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关于呼图壁县水利局2026年一般公共预算项目支出情况说明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关于呼图壁县水利局2026年政府性基金预算拨款情况说明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关于呼图壁县水利局2026年国有资本经营预算拨款情况说明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关于呼图壁县水利局2026年财政拨款“三公”经费预算情况说明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关于呼图壁县水利局2026年财政拨款委托业务费支出情况说明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关于呼图壁县水利局2026年上年结转结余预算情况说明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3"/>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昌吉州呼图壁县水利局是主管地下水开采与管理，水政检查，农田水利灌溉管理与运行，水利工程建设与管理、水土保持、水资源的合理开发利用、高效节水新技术的实施与推广、水政、监察水利工程质量监督等主要职责及承担县委县政府交办费其他的行政事业单位。</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3"/>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呼图壁县水利局无下属预算单位。</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编制部门：呼图壁县水利局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1,986.92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393.32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393.32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1,593.60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1,673.03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1,593.60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1,988.92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1,988.92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编制部门：呼图壁县水利局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00" w:type="dxa"/>
            <w:vMerge w:val="continue"/>
            <w:shd w:val="clear" w:color="auto" w:fill="auto"/>
            <w:vAlign w:val="center"/>
          </w:tcPr>
          <w:p>
            <w:pPr>
              <w:jc w:val="center"/>
              <w:rPr>
                <w:rFonts w:hint="default" w:ascii="宋体" w:hAnsi="宋体"/>
                <w:sz w:val="18"/>
                <w:szCs w:val="18"/>
              </w:rPr>
            </w:pPr>
          </w:p>
        </w:tc>
        <w:tc>
          <w:tcPr>
            <w:tcW w:w="104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132.67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67.07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67.07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65.60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132.67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67.07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67.07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65.60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14.74</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14.74</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14.74</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2.83</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2.83</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2.83</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89.00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33.00</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33.00</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26.10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79.47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29.47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29.47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79.47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29.47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29.47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21.73</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6.73</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6.73</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38.86</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13.86</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13.86</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18.67</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8.67</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8.67</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0.22</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0.22</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0.22</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1,673.03</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269.03</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269.03</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2.00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水利</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1,673.03</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269.03</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269.03</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1,402.00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2.00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1,180.35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94.35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94.35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6.68</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6.68</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6.68</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水利行业业务管理</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182.00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166.00</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166.00</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水利工程建设</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300.00</w:t>
            </w:r>
          </w:p>
        </w:tc>
        <w:tc>
          <w:tcPr>
            <w:tcW w:w="1048" w:type="dxa"/>
            <w:shd w:val="clear" w:color="auto" w:fill="auto"/>
            <w:vAlign w:val="center"/>
          </w:tcPr>
          <w:p>
            <w:pPr>
              <w:jc w:val="right"/>
              <w:rPr>
                <w:rFonts w:hint="default" w:ascii="宋体" w:hAnsi="宋体"/>
                <w:sz w:val="18"/>
                <w:szCs w:val="18"/>
              </w:rPr>
            </w:pP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水资源节约管理与保护</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1048" w:type="dxa"/>
            <w:shd w:val="clear" w:color="auto" w:fill="auto"/>
            <w:vAlign w:val="center"/>
          </w:tcPr>
          <w:p>
            <w:pPr>
              <w:jc w:val="right"/>
              <w:rPr>
                <w:rFonts w:hint="default" w:ascii="宋体" w:hAnsi="宋体"/>
                <w:sz w:val="18"/>
                <w:szCs w:val="18"/>
              </w:rPr>
            </w:pP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2.00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其他水利支出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103.75</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27.75</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27.75</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103.75</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27.75</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27.75</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103.75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27.75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27.75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1,988.92</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393.32</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393.32</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1,593.60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2.00</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132.67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132.67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132.67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132.67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14.74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14.74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2.83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89.00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89.00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26.10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26.10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79.47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79.47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79.47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79.47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21.73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21.73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38.86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38.86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18.67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18.67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1306" w:type="dxa"/>
            <w:shd w:val="clear" w:color="auto" w:fill="auto"/>
            <w:vAlign w:val="center"/>
          </w:tcPr>
          <w:p>
            <w:pPr>
              <w:jc w:val="right"/>
              <w:rPr>
                <w:sz w:val="18"/>
                <w:szCs w:val="18"/>
              </w:rPr>
            </w:pPr>
            <w:r>
              <w:rPr>
                <w:rFonts w:hint="eastAsia" w:ascii="宋体" w:hAnsi="宋体"/>
                <w:color w:val="000000"/>
                <w:sz w:val="18"/>
                <w:szCs w:val="18"/>
              </w:rPr>
              <w:t>0.22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0.22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1,673.03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1,362.35</w:t>
            </w:r>
          </w:p>
        </w:tc>
        <w:tc>
          <w:tcPr>
            <w:tcW w:w="1405" w:type="dxa"/>
            <w:shd w:val="clear" w:color="auto" w:fill="auto"/>
            <w:vAlign w:val="center"/>
          </w:tcPr>
          <w:p>
            <w:pPr>
              <w:jc w:val="right"/>
              <w:rPr>
                <w:b/>
                <w:sz w:val="18"/>
                <w:szCs w:val="18"/>
              </w:rPr>
            </w:pPr>
            <w:r>
              <w:rPr>
                <w:rFonts w:hint="eastAsia" w:ascii="宋体" w:hAnsi="宋体"/>
                <w:b/>
                <w:color w:val="000000"/>
                <w:sz w:val="18"/>
                <w:szCs w:val="18"/>
              </w:rPr>
              <w:t>310.68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水利</w:t>
            </w:r>
          </w:p>
        </w:tc>
        <w:tc>
          <w:tcPr>
            <w:tcW w:w="1306" w:type="dxa"/>
            <w:shd w:val="clear" w:color="auto" w:fill="auto"/>
            <w:vAlign w:val="center"/>
          </w:tcPr>
          <w:p>
            <w:pPr>
              <w:jc w:val="right"/>
              <w:rPr>
                <w:b/>
                <w:sz w:val="18"/>
                <w:szCs w:val="18"/>
              </w:rPr>
            </w:pPr>
            <w:r>
              <w:rPr>
                <w:rFonts w:hint="eastAsia" w:ascii="宋体" w:hAnsi="宋体"/>
                <w:b/>
                <w:color w:val="000000"/>
                <w:sz w:val="18"/>
                <w:szCs w:val="18"/>
              </w:rPr>
              <w:t>1,673.03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1,362.35</w:t>
            </w:r>
          </w:p>
        </w:tc>
        <w:tc>
          <w:tcPr>
            <w:tcW w:w="1405" w:type="dxa"/>
            <w:shd w:val="clear" w:color="auto" w:fill="auto"/>
            <w:vAlign w:val="center"/>
          </w:tcPr>
          <w:p>
            <w:pPr>
              <w:jc w:val="right"/>
              <w:rPr>
                <w:b/>
                <w:sz w:val="18"/>
                <w:szCs w:val="18"/>
              </w:rPr>
            </w:pPr>
            <w:r>
              <w:rPr>
                <w:rFonts w:hint="eastAsia" w:ascii="宋体" w:hAnsi="宋体"/>
                <w:b/>
                <w:color w:val="000000"/>
                <w:sz w:val="18"/>
                <w:szCs w:val="18"/>
              </w:rPr>
              <w:t>310.68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1,180.35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1,180.35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1306" w:type="dxa"/>
            <w:shd w:val="clear" w:color="auto" w:fill="auto"/>
            <w:vAlign w:val="center"/>
          </w:tcPr>
          <w:p>
            <w:pPr>
              <w:jc w:val="right"/>
              <w:rPr>
                <w:sz w:val="18"/>
                <w:szCs w:val="18"/>
              </w:rPr>
            </w:pPr>
            <w:r>
              <w:rPr>
                <w:rFonts w:hint="eastAsia" w:ascii="宋体" w:hAnsi="宋体"/>
                <w:color w:val="000000"/>
                <w:sz w:val="18"/>
                <w:szCs w:val="18"/>
              </w:rPr>
              <w:t>6.68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水利行业业务管理</w:t>
            </w:r>
          </w:p>
        </w:tc>
        <w:tc>
          <w:tcPr>
            <w:tcW w:w="1306" w:type="dxa"/>
            <w:shd w:val="clear" w:color="auto" w:fill="auto"/>
            <w:vAlign w:val="center"/>
          </w:tcPr>
          <w:p>
            <w:pPr>
              <w:jc w:val="right"/>
              <w:rPr>
                <w:sz w:val="18"/>
                <w:szCs w:val="18"/>
              </w:rPr>
            </w:pPr>
            <w:r>
              <w:rPr>
                <w:rFonts w:hint="eastAsia" w:ascii="宋体" w:hAnsi="宋体"/>
                <w:color w:val="000000"/>
                <w:sz w:val="18"/>
                <w:szCs w:val="18"/>
              </w:rPr>
              <w:t>182.00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182.00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水利工程建设</w:t>
            </w:r>
          </w:p>
        </w:tc>
        <w:tc>
          <w:tcPr>
            <w:tcW w:w="1306" w:type="dxa"/>
            <w:shd w:val="clear" w:color="auto" w:fill="auto"/>
            <w:vAlign w:val="center"/>
          </w:tcPr>
          <w:p>
            <w:pPr>
              <w:jc w:val="right"/>
              <w:rPr>
                <w:sz w:val="18"/>
                <w:szCs w:val="18"/>
              </w:rPr>
            </w:pPr>
            <w:r>
              <w:rPr>
                <w:rFonts w:hint="eastAsia" w:ascii="宋体" w:hAnsi="宋体"/>
                <w:color w:val="000000"/>
                <w:sz w:val="18"/>
                <w:szCs w:val="18"/>
              </w:rPr>
              <w:t>300.00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水资源节约管理与保护</w:t>
            </w:r>
          </w:p>
        </w:tc>
        <w:tc>
          <w:tcPr>
            <w:tcW w:w="1306" w:type="dxa"/>
            <w:shd w:val="clear" w:color="auto" w:fill="auto"/>
            <w:vAlign w:val="center"/>
          </w:tcPr>
          <w:p>
            <w:pPr>
              <w:jc w:val="right"/>
              <w:rPr>
                <w:sz w:val="18"/>
                <w:szCs w:val="18"/>
              </w:rPr>
            </w:pPr>
            <w:r>
              <w:rPr>
                <w:rFonts w:hint="eastAsia" w:ascii="宋体" w:hAnsi="宋体"/>
                <w:color w:val="000000"/>
                <w:sz w:val="18"/>
                <w:szCs w:val="18"/>
              </w:rPr>
              <w:t>2.00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其他水利支出</w:t>
            </w:r>
          </w:p>
        </w:tc>
        <w:tc>
          <w:tcPr>
            <w:tcW w:w="1306" w:type="dxa"/>
            <w:shd w:val="clear" w:color="auto" w:fill="auto"/>
            <w:vAlign w:val="center"/>
          </w:tcPr>
          <w:p>
            <w:pPr>
              <w:jc w:val="right"/>
              <w:rPr>
                <w:sz w:val="18"/>
                <w:szCs w:val="18"/>
              </w:rPr>
            </w:pPr>
            <w:r>
              <w:rPr>
                <w:rFonts w:hint="eastAsia" w:ascii="宋体" w:hAnsi="宋体"/>
                <w:color w:val="000000"/>
                <w:sz w:val="18"/>
                <w:szCs w:val="18"/>
              </w:rPr>
              <w:t>2.00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103.75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103.75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103.75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103.75</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103.75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103.75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1,988.92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1,678.24</w:t>
            </w:r>
          </w:p>
        </w:tc>
        <w:tc>
          <w:tcPr>
            <w:tcW w:w="1405" w:type="dxa"/>
            <w:shd w:val="clear" w:color="auto" w:fill="auto"/>
            <w:vAlign w:val="center"/>
          </w:tcPr>
          <w:p>
            <w:pPr>
              <w:jc w:val="right"/>
              <w:rPr>
                <w:b/>
                <w:sz w:val="18"/>
                <w:szCs w:val="18"/>
              </w:rPr>
            </w:pPr>
            <w:r>
              <w:rPr>
                <w:rFonts w:hint="eastAsia" w:ascii="宋体" w:hAnsi="宋体"/>
                <w:b/>
                <w:color w:val="000000"/>
                <w:sz w:val="18"/>
                <w:szCs w:val="18"/>
              </w:rPr>
              <w:t>310.68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编制部门：呼图壁县水利局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393.32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393.32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67.07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67.07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29.47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29.47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269.03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269.03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27.75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27.75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393.32</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393.32</w:t>
            </w:r>
          </w:p>
        </w:tc>
        <w:tc>
          <w:tcPr>
            <w:tcW w:w="1063" w:type="dxa"/>
            <w:gridSpan w:val="2"/>
            <w:shd w:val="clear" w:color="auto" w:fill="auto"/>
          </w:tcPr>
          <w:p>
            <w:pPr>
              <w:jc w:val="right"/>
              <w:rPr>
                <w:sz w:val="18"/>
                <w:szCs w:val="18"/>
              </w:rPr>
            </w:pPr>
            <w:r>
              <w:rPr>
                <w:rFonts w:hint="eastAsia" w:ascii="宋体" w:hAnsi="宋体"/>
                <w:b/>
                <w:color w:val="000000"/>
                <w:sz w:val="18"/>
                <w:szCs w:val="18"/>
              </w:rPr>
              <w:t>393.32</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67.07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67.07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67.07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67.07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14.74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14.74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2.83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33.00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33.00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16.50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16.50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29.47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29.47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29.47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29.47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6.73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6.73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13.86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13.86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8.67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8.67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269.03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260.35</w:t>
            </w:r>
          </w:p>
        </w:tc>
        <w:tc>
          <w:tcPr>
            <w:tcW w:w="1427" w:type="dxa"/>
            <w:shd w:val="clear" w:color="auto" w:fill="auto"/>
            <w:vAlign w:val="center"/>
          </w:tcPr>
          <w:p>
            <w:pPr>
              <w:jc w:val="right"/>
              <w:rPr>
                <w:b/>
                <w:sz w:val="18"/>
                <w:szCs w:val="18"/>
              </w:rPr>
            </w:pPr>
            <w:r>
              <w:rPr>
                <w:rFonts w:hint="eastAsia" w:ascii="宋体" w:hAnsi="宋体"/>
                <w:b/>
                <w:color w:val="000000"/>
                <w:sz w:val="18"/>
                <w:szCs w:val="18"/>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水利</w:t>
            </w:r>
          </w:p>
        </w:tc>
        <w:tc>
          <w:tcPr>
            <w:tcW w:w="1367" w:type="dxa"/>
            <w:shd w:val="clear" w:color="auto" w:fill="auto"/>
            <w:vAlign w:val="center"/>
          </w:tcPr>
          <w:p>
            <w:pPr>
              <w:jc w:val="right"/>
              <w:rPr>
                <w:b/>
                <w:sz w:val="18"/>
                <w:szCs w:val="18"/>
              </w:rPr>
            </w:pPr>
            <w:r>
              <w:rPr>
                <w:rFonts w:hint="eastAsia" w:ascii="宋体" w:hAnsi="宋体"/>
                <w:b/>
                <w:color w:val="000000"/>
                <w:sz w:val="18"/>
                <w:szCs w:val="18"/>
              </w:rPr>
              <w:t>269.03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260.35</w:t>
            </w:r>
          </w:p>
        </w:tc>
        <w:tc>
          <w:tcPr>
            <w:tcW w:w="1427" w:type="dxa"/>
            <w:shd w:val="clear" w:color="auto" w:fill="auto"/>
            <w:vAlign w:val="center"/>
          </w:tcPr>
          <w:p>
            <w:pPr>
              <w:jc w:val="right"/>
              <w:rPr>
                <w:b/>
                <w:sz w:val="18"/>
                <w:szCs w:val="18"/>
              </w:rPr>
            </w:pPr>
            <w:r>
              <w:rPr>
                <w:rFonts w:hint="eastAsia" w:ascii="宋体" w:hAnsi="宋体"/>
                <w:b/>
                <w:color w:val="000000"/>
                <w:sz w:val="18"/>
                <w:szCs w:val="18"/>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94.35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94.35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6.68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水利行业业务管理</w:t>
            </w:r>
          </w:p>
        </w:tc>
        <w:tc>
          <w:tcPr>
            <w:tcW w:w="1367" w:type="dxa"/>
            <w:shd w:val="clear" w:color="auto" w:fill="auto"/>
            <w:vAlign w:val="center"/>
          </w:tcPr>
          <w:p>
            <w:pPr>
              <w:jc w:val="right"/>
              <w:rPr>
                <w:sz w:val="18"/>
                <w:szCs w:val="18"/>
              </w:rPr>
            </w:pPr>
            <w:r>
              <w:rPr>
                <w:rFonts w:hint="eastAsia" w:ascii="宋体" w:hAnsi="宋体"/>
                <w:color w:val="000000"/>
                <w:sz w:val="18"/>
                <w:szCs w:val="18"/>
              </w:rPr>
              <w:t>166.00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166.00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其他水利支出</w:t>
            </w:r>
          </w:p>
        </w:tc>
        <w:tc>
          <w:tcPr>
            <w:tcW w:w="1367" w:type="dxa"/>
            <w:shd w:val="clear" w:color="auto" w:fill="auto"/>
            <w:vAlign w:val="center"/>
          </w:tcPr>
          <w:p>
            <w:pPr>
              <w:jc w:val="right"/>
              <w:rPr>
                <w:sz w:val="18"/>
                <w:szCs w:val="18"/>
              </w:rPr>
            </w:pPr>
            <w:r>
              <w:rPr>
                <w:rFonts w:hint="eastAsia" w:ascii="宋体" w:hAnsi="宋体"/>
                <w:color w:val="000000"/>
                <w:sz w:val="18"/>
                <w:szCs w:val="18"/>
              </w:rPr>
              <w:t>2.00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27.75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27.75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393.32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384.64</w:t>
            </w:r>
          </w:p>
        </w:tc>
        <w:tc>
          <w:tcPr>
            <w:tcW w:w="1427" w:type="dxa"/>
            <w:shd w:val="clear" w:color="auto" w:fill="auto"/>
            <w:vAlign w:val="center"/>
          </w:tcPr>
          <w:p>
            <w:pPr>
              <w:jc w:val="right"/>
              <w:rPr>
                <w:b/>
                <w:sz w:val="18"/>
                <w:szCs w:val="18"/>
              </w:rPr>
            </w:pPr>
            <w:r>
              <w:rPr>
                <w:rFonts w:hint="eastAsia" w:ascii="宋体" w:hAnsi="宋体"/>
                <w:b/>
                <w:color w:val="000000"/>
                <w:sz w:val="18"/>
                <w:szCs w:val="18"/>
              </w:rPr>
              <w:t>8.68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339.56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339.56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88.55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88.55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39.35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39.35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67.39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67.39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35.99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35.99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16.50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16.50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20.58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20.58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27.75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27.75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25.43</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9.99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3.98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19.65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19.65</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17.58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17.58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384.64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359.21</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25.43</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科目代码</w:t>
            </w:r>
          </w:p>
        </w:tc>
        <w:tc>
          <w:tcPr>
            <w:tcW w:w="2073" w:type="dxa"/>
            <w:vMerge w:val="restart"/>
            <w:shd w:val="clear" w:color="auto" w:fill="auto"/>
            <w:vAlign w:val="center"/>
          </w:tcPr>
          <w:p>
            <w:pPr>
              <w:jc w:val="center"/>
              <w:rPr>
                <w:sz w:val="18"/>
                <w:szCs w:val="18"/>
              </w:rPr>
            </w:pPr>
            <w:r>
              <w:rPr>
                <w:rFonts w:hint="eastAsia"/>
                <w:sz w:val="18"/>
                <w:szCs w:val="18"/>
              </w:rPr>
              <w:t>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呼图壁县水利局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03</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水利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6.68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6.68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其他水利支出</w:t>
            </w:r>
          </w:p>
        </w:tc>
        <w:tc>
          <w:tcPr>
            <w:tcW w:w="2073" w:type="dxa"/>
            <w:shd w:val="clear" w:color="auto" w:fill="auto"/>
            <w:vAlign w:val="center"/>
          </w:tcPr>
          <w:p>
            <w:pPr>
              <w:jc w:val="left"/>
              <w:rPr>
                <w:sz w:val="18"/>
                <w:szCs w:val="18"/>
              </w:rPr>
            </w:pPr>
            <w:r>
              <w:rPr>
                <w:rFonts w:hint="default" w:ascii="宋体" w:hAnsi="宋体"/>
                <w:kern w:val="0"/>
                <w:sz w:val="13"/>
                <w:szCs w:val="13"/>
              </w:rPr>
              <w:t>2026年河湖长制工作经费（非定额）</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8.68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呼图壁县水利局2026年没有使用政府性基金预算拨款安排的支出，政府性基金预算支出情况表为空表。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编制部门：呼图壁县水利局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呼图壁县水利局2026年没有使用国有资本经营预算拨款安排的支出，国有资本经营预算支出情况表为空表。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327"/>
        <w:gridCol w:w="1407"/>
        <w:gridCol w:w="140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548"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编制部门：呼图壁县水利局</w:t>
            </w:r>
          </w:p>
        </w:tc>
        <w:tc>
          <w:tcPr>
            <w:tcW w:w="1407"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3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7"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21"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327" w:type="dxa"/>
            <w:vMerge w:val="continue"/>
            <w:shd w:val="clear" w:color="auto" w:fill="auto"/>
            <w:vAlign w:val="center"/>
          </w:tcPr>
          <w:p>
            <w:pPr>
              <w:jc w:val="center"/>
              <w:rPr>
                <w:rFonts w:hint="default" w:ascii="宋体" w:hAnsi="宋体"/>
                <w:color w:val="000000"/>
                <w:sz w:val="18"/>
                <w:szCs w:val="18"/>
              </w:rPr>
            </w:pPr>
          </w:p>
        </w:tc>
        <w:tc>
          <w:tcPr>
            <w:tcW w:w="1407" w:type="dxa"/>
            <w:vMerge w:val="continue"/>
            <w:shd w:val="clear" w:color="auto" w:fill="auto"/>
            <w:vAlign w:val="center"/>
          </w:tcPr>
          <w:p>
            <w:pPr>
              <w:jc w:val="center"/>
              <w:rPr>
                <w:rFonts w:hint="default" w:ascii="宋体" w:hAnsi="宋体"/>
                <w:color w:val="000000"/>
                <w:sz w:val="18"/>
                <w:szCs w:val="18"/>
              </w:rPr>
            </w:pPr>
          </w:p>
        </w:tc>
        <w:tc>
          <w:tcPr>
            <w:tcW w:w="1407"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7"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7"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3.70</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3.70</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3.70</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3.70</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3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3.70</w:t>
            </w:r>
          </w:p>
        </w:tc>
        <w:tc>
          <w:tcPr>
            <w:tcW w:w="1407"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3.70</w:t>
            </w:r>
          </w:p>
        </w:tc>
        <w:tc>
          <w:tcPr>
            <w:tcW w:w="1407" w:type="dxa"/>
            <w:shd w:val="clear" w:color="auto" w:fill="auto"/>
            <w:vAlign w:val="center"/>
          </w:tcPr>
          <w:p>
            <w:pPr>
              <w:jc w:val="right"/>
              <w:rPr>
                <w:rFonts w:hint="default" w:ascii="宋体" w:hAnsi="宋体"/>
                <w:color w:val="000000"/>
                <w:sz w:val="18"/>
                <w:szCs w:val="18"/>
              </w:rPr>
            </w:pPr>
          </w:p>
        </w:tc>
        <w:tc>
          <w:tcPr>
            <w:tcW w:w="1407"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9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092"/>
        <w:gridCol w:w="1216"/>
        <w:gridCol w:w="1216"/>
        <w:gridCol w:w="1216"/>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74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编制部门：呼图壁县水利局</w:t>
            </w:r>
          </w:p>
        </w:tc>
        <w:tc>
          <w:tcPr>
            <w:tcW w:w="1215"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09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216"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3647"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092" w:type="dxa"/>
            <w:vMerge w:val="continue"/>
            <w:shd w:val="clear" w:color="auto" w:fill="auto"/>
            <w:vAlign w:val="center"/>
          </w:tcPr>
          <w:p>
            <w:pPr>
              <w:jc w:val="center"/>
              <w:rPr>
                <w:rFonts w:hint="default" w:ascii="宋体" w:hAnsi="宋体"/>
                <w:color w:val="000000"/>
                <w:sz w:val="18"/>
                <w:szCs w:val="18"/>
              </w:rPr>
            </w:pPr>
          </w:p>
        </w:tc>
        <w:tc>
          <w:tcPr>
            <w:tcW w:w="1216" w:type="dxa"/>
            <w:vMerge w:val="continue"/>
            <w:shd w:val="clear" w:color="auto" w:fill="auto"/>
            <w:vAlign w:val="center"/>
          </w:tcPr>
          <w:p>
            <w:pPr>
              <w:jc w:val="center"/>
              <w:rPr>
                <w:rFonts w:hint="default" w:ascii="宋体" w:hAnsi="宋体"/>
                <w:color w:val="000000"/>
                <w:sz w:val="18"/>
                <w:szCs w:val="18"/>
              </w:rPr>
            </w:pPr>
          </w:p>
        </w:tc>
        <w:tc>
          <w:tcPr>
            <w:tcW w:w="1216"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216"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215"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09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呼图壁县水利局</w:t>
            </w:r>
          </w:p>
        </w:tc>
        <w:tc>
          <w:tcPr>
            <w:tcW w:w="1216"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3.00</w:t>
            </w:r>
          </w:p>
        </w:tc>
        <w:tc>
          <w:tcPr>
            <w:tcW w:w="1216"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3.00</w:t>
            </w:r>
          </w:p>
        </w:tc>
        <w:tc>
          <w:tcPr>
            <w:tcW w:w="1216" w:type="dxa"/>
            <w:shd w:val="clear" w:color="auto" w:fill="auto"/>
            <w:vAlign w:val="center"/>
          </w:tcPr>
          <w:p>
            <w:pPr>
              <w:jc w:val="right"/>
              <w:rPr>
                <w:rFonts w:hint="default" w:ascii="宋体" w:hAnsi="宋体"/>
                <w:b/>
                <w:color w:val="000000"/>
                <w:sz w:val="18"/>
                <w:szCs w:val="18"/>
              </w:rPr>
            </w:pPr>
          </w:p>
        </w:tc>
        <w:tc>
          <w:tcPr>
            <w:tcW w:w="1215"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09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2026年支付各类其他刚性资金</w:t>
            </w:r>
          </w:p>
        </w:tc>
        <w:tc>
          <w:tcPr>
            <w:tcW w:w="1216"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216"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216" w:type="dxa"/>
            <w:shd w:val="clear" w:color="auto" w:fill="auto"/>
            <w:vAlign w:val="center"/>
          </w:tcPr>
          <w:p>
            <w:pPr>
              <w:jc w:val="right"/>
              <w:rPr>
                <w:rFonts w:hint="default" w:ascii="宋体" w:hAnsi="宋体"/>
                <w:color w:val="000000"/>
                <w:sz w:val="18"/>
                <w:szCs w:val="18"/>
              </w:rPr>
            </w:pPr>
          </w:p>
        </w:tc>
        <w:tc>
          <w:tcPr>
            <w:tcW w:w="1215"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09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216"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3.00</w:t>
            </w:r>
          </w:p>
        </w:tc>
        <w:tc>
          <w:tcPr>
            <w:tcW w:w="1216"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3.00</w:t>
            </w:r>
          </w:p>
        </w:tc>
        <w:tc>
          <w:tcPr>
            <w:tcW w:w="1216" w:type="dxa"/>
            <w:shd w:val="clear" w:color="auto" w:fill="auto"/>
            <w:vAlign w:val="center"/>
          </w:tcPr>
          <w:p>
            <w:pPr>
              <w:jc w:val="right"/>
              <w:rPr>
                <w:rFonts w:hint="default" w:ascii="宋体" w:hAnsi="宋体"/>
                <w:b/>
                <w:color w:val="000000"/>
                <w:sz w:val="18"/>
                <w:szCs w:val="18"/>
              </w:rPr>
            </w:pPr>
          </w:p>
        </w:tc>
        <w:tc>
          <w:tcPr>
            <w:tcW w:w="1215"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编制部门：呼图壁县水利局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呼图壁县水利局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2024年访惠聚为民办实事-村级支出</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关于提前下达2025年中央水利发展资金（水资源刚性约束与调度）-农业灌溉机井折水</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2.00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按照全口径预算的原则，呼图壁县水利局2026年所有收入和支出均纳入部门预算管理。收支总预算1,988.92万元。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呼图壁县水利局部门收入预算1,988.92万元，其中：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一般公共预算393.32万元，占19.78%，比上年预算增加16.82万元，增长4.47%，主要原因是2026年度增加在职人员和进行调资以及调整社保基数，工作经费支出等，导致本年</w:t>
      </w:r>
      <w:r>
        <w:rPr>
          <w:rFonts w:hint="eastAsia" w:ascii="仿宋" w:hAnsi="微软雅黑" w:eastAsia="仿宋"/>
          <w:sz w:val="28"/>
          <w:szCs w:val="28"/>
          <w:lang w:val="en-US" w:eastAsia="zh-CN"/>
        </w:rPr>
        <w:t>一般公共预算金额</w:t>
      </w:r>
      <w:r>
        <w:rPr>
          <w:rFonts w:hint="eastAsia" w:ascii="仿宋" w:hAnsi="微软雅黑" w:eastAsia="仿宋"/>
          <w:sz w:val="28"/>
          <w:szCs w:val="28"/>
        </w:rPr>
        <w:t>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0.00万元，占0.00%，比上年预算减少20.00万元，下降100.00%，主要原因是2026年水利局项目减少，如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等项目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单位资金1,593.60万元，占80.12%，比上年预算增加300.00万元，增长23.19%，主要原因是</w:t>
      </w:r>
      <w:r>
        <w:rPr>
          <w:rFonts w:hint="eastAsia" w:ascii="仿宋" w:hAnsi="微软雅黑" w:eastAsia="仿宋"/>
          <w:sz w:val="28"/>
          <w:szCs w:val="28"/>
          <w:lang w:eastAsia="zh-CN"/>
        </w:rPr>
        <w:t>我</w:t>
      </w:r>
      <w:r>
        <w:rPr>
          <w:rFonts w:hint="eastAsia" w:ascii="仿宋" w:hAnsi="微软雅黑" w:eastAsia="仿宋"/>
          <w:sz w:val="28"/>
          <w:szCs w:val="28"/>
          <w:lang w:val="en-US" w:eastAsia="zh-CN"/>
        </w:rPr>
        <w:t>部门</w:t>
      </w:r>
      <w:r>
        <w:rPr>
          <w:rFonts w:hint="eastAsia" w:ascii="仿宋" w:hAnsi="微软雅黑" w:eastAsia="仿宋"/>
          <w:sz w:val="28"/>
          <w:szCs w:val="28"/>
        </w:rPr>
        <w:t>2026年期间项目有完工项目，需要退工程质量保证金及履约保证金，需从</w:t>
      </w:r>
      <w:r>
        <w:rPr>
          <w:rFonts w:hint="eastAsia" w:ascii="仿宋" w:hAnsi="微软雅黑" w:eastAsia="仿宋"/>
          <w:sz w:val="28"/>
          <w:szCs w:val="28"/>
          <w:lang w:eastAsia="zh-CN"/>
        </w:rPr>
        <w:t>我</w:t>
      </w:r>
      <w:r>
        <w:rPr>
          <w:rFonts w:hint="eastAsia" w:ascii="仿宋" w:hAnsi="微软雅黑" w:eastAsia="仿宋"/>
          <w:sz w:val="28"/>
          <w:szCs w:val="28"/>
          <w:lang w:val="en-US" w:eastAsia="zh-CN"/>
        </w:rPr>
        <w:t>部门基本户</w:t>
      </w:r>
      <w:r>
        <w:rPr>
          <w:rFonts w:hint="eastAsia" w:ascii="仿宋" w:hAnsi="微软雅黑" w:eastAsia="仿宋"/>
          <w:sz w:val="28"/>
          <w:szCs w:val="28"/>
        </w:rPr>
        <w:t>支出，所以</w:t>
      </w:r>
      <w:r>
        <w:rPr>
          <w:rFonts w:hint="eastAsia" w:ascii="仿宋" w:hAnsi="微软雅黑" w:eastAsia="仿宋"/>
          <w:sz w:val="28"/>
          <w:szCs w:val="28"/>
          <w:lang w:val="en-US" w:eastAsia="zh-CN"/>
        </w:rPr>
        <w:t>单位资金</w:t>
      </w:r>
      <w:r>
        <w:rPr>
          <w:rFonts w:hint="eastAsia" w:ascii="仿宋" w:hAnsi="微软雅黑" w:eastAsia="仿宋"/>
          <w:sz w:val="28"/>
          <w:szCs w:val="28"/>
        </w:rPr>
        <w:t>预算增加，导致资金总量增加。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2.00万元，占0.10%，比上年预算减少788.23万元，下降99.75%，主要原因是2026年水利局专项资金项目减少，如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等项目减少；呼图壁县独山子渠首除险加固工程、红山水库除险加固工程已付，今年未结转该项目。</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呼图壁县水利局2026年支出预算1,988.92万元，其中：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基本支出1,678.24万元，占84.38%，比上年预算增加29.14万元，增长1.77%，主要原因是本年度增加在职人员和进行调资以及调整社保基数，工作经费支出等，导致本年基本支出预算增加。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310.68万元，占15.62%，比上年预算减少520.55万元，下降62.62%，主要原因是上年度财政拨款项目预算较多，而本年度水利局项目减少，减少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呼图壁县独山子渠首除险加固工程、红山水库除险加固工程等项目，所以项目预算占预算小部分。</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2026年财政拨款收支总预算393.32万元。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收入预算包括：一般公共预算拨款393.32万元。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一般公共预算支出包括：社会保障和就业支出67.07万元，主要用于</w:t>
      </w:r>
      <w:r>
        <w:rPr>
          <w:rFonts w:hint="eastAsia" w:ascii="仿宋" w:hAnsi="微软雅黑" w:eastAsia="仿宋"/>
          <w:sz w:val="28"/>
          <w:szCs w:val="28"/>
          <w:lang w:eastAsia="zh-CN"/>
        </w:rPr>
        <w:t>我部门</w:t>
      </w:r>
      <w:r>
        <w:rPr>
          <w:rFonts w:hint="eastAsia" w:ascii="仿宋" w:hAnsi="微软雅黑" w:eastAsia="仿宋"/>
          <w:sz w:val="28"/>
          <w:szCs w:val="28"/>
        </w:rPr>
        <w:t>在职职工养老保险</w:t>
      </w:r>
      <w:r>
        <w:rPr>
          <w:rFonts w:hint="eastAsia" w:ascii="仿宋" w:hAnsi="微软雅黑" w:eastAsia="仿宋"/>
          <w:sz w:val="28"/>
          <w:szCs w:val="28"/>
          <w:lang w:val="en-US" w:eastAsia="zh-CN"/>
        </w:rPr>
        <w:t>支出</w:t>
      </w:r>
      <w:r>
        <w:rPr>
          <w:rFonts w:hint="eastAsia" w:ascii="仿宋" w:hAnsi="微软雅黑" w:eastAsia="仿宋"/>
          <w:sz w:val="28"/>
          <w:szCs w:val="28"/>
        </w:rPr>
        <w:t>；卫生健康支出29.47万元，主要用于</w:t>
      </w:r>
      <w:r>
        <w:rPr>
          <w:rFonts w:hint="eastAsia" w:ascii="仿宋" w:hAnsi="微软雅黑" w:eastAsia="仿宋"/>
          <w:sz w:val="28"/>
          <w:szCs w:val="28"/>
          <w:lang w:eastAsia="zh-CN"/>
        </w:rPr>
        <w:t>我部门</w:t>
      </w:r>
      <w:r>
        <w:rPr>
          <w:rFonts w:hint="eastAsia" w:ascii="仿宋" w:hAnsi="微软雅黑" w:eastAsia="仿宋"/>
          <w:sz w:val="28"/>
          <w:szCs w:val="28"/>
        </w:rPr>
        <w:t>支付在职人员基本医疗和大病及公务员补偿医疗费用；农林水支出269.03万元，主要用于</w:t>
      </w:r>
      <w:r>
        <w:rPr>
          <w:rFonts w:hint="eastAsia" w:ascii="仿宋" w:hAnsi="微软雅黑" w:eastAsia="仿宋"/>
          <w:sz w:val="28"/>
          <w:szCs w:val="28"/>
          <w:lang w:eastAsia="zh-CN"/>
        </w:rPr>
        <w:t>我部门</w:t>
      </w:r>
      <w:r>
        <w:rPr>
          <w:rFonts w:hint="eastAsia" w:ascii="仿宋" w:hAnsi="微软雅黑" w:eastAsia="仿宋"/>
          <w:sz w:val="28"/>
          <w:szCs w:val="28"/>
        </w:rPr>
        <w:t>日常经费的开支和单位人员经费及河湖长制工作经费（非定额）、非法举报奖励资金（非定额）、水土保持专家评审费及监督管理与监测费用（非定额）等；住房保障支出27.75万元，主要用于</w:t>
      </w:r>
      <w:r>
        <w:rPr>
          <w:rFonts w:hint="eastAsia" w:ascii="仿宋" w:hAnsi="微软雅黑" w:eastAsia="仿宋"/>
          <w:sz w:val="28"/>
          <w:szCs w:val="28"/>
          <w:lang w:eastAsia="zh-CN"/>
        </w:rPr>
        <w:t>我部门</w:t>
      </w:r>
      <w:r>
        <w:rPr>
          <w:rFonts w:hint="eastAsia" w:ascii="仿宋" w:hAnsi="微软雅黑" w:eastAsia="仿宋"/>
          <w:sz w:val="28"/>
          <w:szCs w:val="28"/>
        </w:rPr>
        <w:t>在职人员住房公积金缴费情况。</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呼图壁县水利局2026年一般公共预算拨款合计393.32万元，其中：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基本支出384.64万元，比上年预算增加29.14万元，增长8.20%，主要原因是本年度增加在职人员和进行调资以及调整社保基数，工作经费支出等，导致本年基本支出比上年增加。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8.68万元，比上年预算减少32.32万元，下降78.83%，主要原因是上年度财政拨款项目较多，而本年度水利局项目减少，减少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呼图壁县独山子渠首除险加固工程、红山水库除险加固工程等项目，所以项目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1.社会保障和就业支出（类）67.07万元，占17.05%。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2.卫生健康支出（类）29.47万元，占7.49%。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3.农林水支出（类）269.03万元，占68.40%。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4.住房保障支出（类）27.75万元，占7.06%。</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1.社会保障和就业支出（类）行政事业单位养老支出（款）行政单位离退休（项）：2026年预算数为14.74万元，比上年预算增加2.53万元，增长20.72%，主要原因是</w:t>
      </w:r>
      <w:r>
        <w:rPr>
          <w:rFonts w:hint="eastAsia" w:ascii="仿宋" w:hAnsi="微软雅黑" w:eastAsia="仿宋"/>
          <w:sz w:val="28"/>
          <w:szCs w:val="28"/>
          <w:lang w:eastAsia="zh-CN"/>
        </w:rPr>
        <w:t>我部门</w:t>
      </w:r>
      <w:r>
        <w:rPr>
          <w:rFonts w:hint="eastAsia" w:ascii="仿宋" w:hAnsi="微软雅黑" w:eastAsia="仿宋"/>
          <w:sz w:val="28"/>
          <w:szCs w:val="28"/>
        </w:rPr>
        <w:t>行政退休人员增加，导致行政事业单位养老支出款项增加。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2.社会保障和就业支出（类）行政事业单位养老支出（款）事业单位离退休（项）：2026年预算数为2.83万元，比上年预算增加2.83万元，增长100.00%，主要原因是</w:t>
      </w:r>
      <w:r>
        <w:rPr>
          <w:rFonts w:hint="eastAsia" w:ascii="仿宋" w:hAnsi="微软雅黑" w:eastAsia="仿宋"/>
          <w:sz w:val="28"/>
          <w:szCs w:val="28"/>
          <w:lang w:eastAsia="zh-CN"/>
        </w:rPr>
        <w:t>我部门</w:t>
      </w:r>
      <w:r>
        <w:rPr>
          <w:rFonts w:hint="eastAsia" w:ascii="仿宋" w:hAnsi="微软雅黑" w:eastAsia="仿宋"/>
          <w:sz w:val="28"/>
          <w:szCs w:val="28"/>
        </w:rPr>
        <w:t>事业退休人员增加，导致行政事业单位养老支出款项增加。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3.社会保障和就业支出（类）行政事业单位养老支出（款）机关事业单位基本养老保险缴费支出（项）：2026年预算数为33.00万元，比上年预算增加0.32万元，增长0.98%，主要原因是原因是</w:t>
      </w:r>
      <w:r>
        <w:rPr>
          <w:rFonts w:hint="eastAsia" w:ascii="仿宋" w:hAnsi="微软雅黑" w:eastAsia="仿宋"/>
          <w:sz w:val="28"/>
          <w:szCs w:val="28"/>
          <w:lang w:eastAsia="zh-CN"/>
        </w:rPr>
        <w:t>我部门</w:t>
      </w:r>
      <w:r>
        <w:rPr>
          <w:rFonts w:hint="eastAsia" w:ascii="仿宋" w:hAnsi="微软雅黑" w:eastAsia="仿宋"/>
          <w:sz w:val="28"/>
          <w:szCs w:val="28"/>
        </w:rPr>
        <w:t>行政在职人员增加，社保基数调高，社保费用增加。及在职人员工资基数调高等，导致行政养老保险预算比上年增加。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16.50万元，比上年预算增加16.50万元，增长100.00%，主要原因是2026年增加了机关事业单位职业年金预算，2025年没有此项预算，职业年金缴费支出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5.卫生健康支出（类）行政事业单位医疗（款）行政单位医疗（项）：2026年预算数为6.73万元，比上年预算增加1.36万元，增长25.33%，主要原因是原因是</w:t>
      </w:r>
      <w:r>
        <w:rPr>
          <w:rFonts w:hint="eastAsia" w:ascii="仿宋" w:hAnsi="微软雅黑" w:eastAsia="仿宋"/>
          <w:sz w:val="28"/>
          <w:szCs w:val="28"/>
          <w:lang w:eastAsia="zh-CN"/>
        </w:rPr>
        <w:t>我部门</w:t>
      </w:r>
      <w:r>
        <w:rPr>
          <w:rFonts w:hint="eastAsia" w:ascii="仿宋" w:hAnsi="微软雅黑" w:eastAsia="仿宋"/>
          <w:sz w:val="28"/>
          <w:szCs w:val="28"/>
        </w:rPr>
        <w:t>行政在职人员增加和社保基数调高及基本医疗保险比例上调等，导致行政单位医疗预算比上年增加。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6.卫生健康支出（类）行政事业单位医疗（款）事业单位医疗（项）：2026年预算数为13.86万元，比上年预算增加2.10万元，增长17.86%，主要原因是原因是</w:t>
      </w:r>
      <w:r>
        <w:rPr>
          <w:rFonts w:hint="eastAsia" w:ascii="仿宋" w:hAnsi="微软雅黑" w:eastAsia="仿宋"/>
          <w:sz w:val="28"/>
          <w:szCs w:val="28"/>
          <w:lang w:eastAsia="zh-CN"/>
        </w:rPr>
        <w:t>我部门</w:t>
      </w:r>
      <w:r>
        <w:rPr>
          <w:rFonts w:hint="eastAsia" w:ascii="仿宋" w:hAnsi="微软雅黑" w:eastAsia="仿宋"/>
          <w:sz w:val="28"/>
          <w:szCs w:val="28"/>
        </w:rPr>
        <w:t>事业在职人员增加和社保基数调整及基本医疗保险比例上调等，导致事业单位医疗预算比上年增加。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8.67万元，比上年预算增加0.27万元，增长3.21%，主要原因是原因是公务员医疗缴费比例上调，社保基数调高以及在职人员增加，所以公务员补助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8.卫生健康支出（类）行政事业单位医疗（款）其他行政事业单位医疗支出（项）：2026年预算数为0.22万元，比上年预算增加0.01万元，增长4.76%，主要原因是原因是</w:t>
      </w:r>
      <w:r>
        <w:rPr>
          <w:rFonts w:hint="eastAsia" w:ascii="仿宋" w:hAnsi="微软雅黑" w:eastAsia="仿宋"/>
          <w:sz w:val="28"/>
          <w:szCs w:val="28"/>
          <w:lang w:eastAsia="zh-CN"/>
        </w:rPr>
        <w:t>我部门</w:t>
      </w:r>
      <w:r>
        <w:rPr>
          <w:rFonts w:hint="eastAsia" w:ascii="仿宋" w:hAnsi="微软雅黑" w:eastAsia="仿宋"/>
          <w:sz w:val="28"/>
          <w:szCs w:val="28"/>
        </w:rPr>
        <w:t>事业在职人员增加和社保基数高等，导致行政事业单位医疗预算比上年增加。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9.农林水支出（类）水利（款）行政运行（项）：2026年预算数为94.35万元，比上年预算减少0.03万元，下降0.03%，主要原因是</w:t>
      </w:r>
      <w:r>
        <w:rPr>
          <w:rFonts w:hint="eastAsia" w:ascii="仿宋" w:hAnsi="微软雅黑" w:eastAsia="仿宋"/>
          <w:sz w:val="28"/>
          <w:szCs w:val="28"/>
          <w:lang w:val="en-US" w:eastAsia="zh-CN"/>
        </w:rPr>
        <w:t>2026年编外人员减少，人员类其他刚性支出减少，此科目预算数较上年减少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农林水支出（类）水利（款）一般行政管理事务（项）：2026年预算数为6.68万元，比上年预算增加6.68万元，增长100.00%，主要原因是上年度一般行政管理事务未列入预算，本年度一般行政管理事务列入预算，因此一般行政管理事务款项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11.农林水支出（类）水利（款）水利行业业务管理（项）：2026年预算数为166.00万元，比上年预算增加2.49万元，增长1.52%，主要原因是</w:t>
      </w:r>
      <w:r>
        <w:rPr>
          <w:rFonts w:hint="eastAsia" w:ascii="仿宋" w:hAnsi="微软雅黑" w:eastAsia="仿宋"/>
          <w:sz w:val="28"/>
          <w:szCs w:val="28"/>
          <w:lang w:val="en-US" w:eastAsia="zh-CN"/>
        </w:rPr>
        <w:t>此科目用于我部门事业人员主科目，我</w:t>
      </w:r>
      <w:r>
        <w:rPr>
          <w:rFonts w:hint="eastAsia" w:ascii="仿宋" w:hAnsi="微软雅黑" w:eastAsia="仿宋"/>
          <w:sz w:val="28"/>
          <w:szCs w:val="28"/>
          <w:lang w:eastAsia="zh-CN"/>
        </w:rPr>
        <w:t>部门</w:t>
      </w:r>
      <w:r>
        <w:rPr>
          <w:rFonts w:hint="eastAsia" w:ascii="仿宋" w:hAnsi="微软雅黑" w:eastAsia="仿宋"/>
          <w:sz w:val="28"/>
          <w:szCs w:val="28"/>
        </w:rPr>
        <w:t>事业在职人员增加和社保基数</w:t>
      </w:r>
      <w:r>
        <w:rPr>
          <w:rFonts w:hint="eastAsia" w:ascii="仿宋" w:hAnsi="微软雅黑" w:eastAsia="仿宋"/>
          <w:sz w:val="28"/>
          <w:szCs w:val="28"/>
          <w:lang w:val="en-US" w:eastAsia="zh-CN"/>
        </w:rPr>
        <w:t>增加等</w:t>
      </w:r>
      <w:r>
        <w:rPr>
          <w:rFonts w:hint="eastAsia" w:ascii="仿宋" w:hAnsi="微软雅黑" w:eastAsia="仿宋"/>
          <w:sz w:val="28"/>
          <w:szCs w:val="28"/>
        </w:rPr>
        <w:t>，</w:t>
      </w:r>
      <w:r>
        <w:rPr>
          <w:rFonts w:hint="eastAsia" w:ascii="仿宋" w:hAnsi="微软雅黑" w:eastAsia="仿宋"/>
          <w:sz w:val="28"/>
          <w:szCs w:val="28"/>
          <w:lang w:val="en-US" w:eastAsia="zh-CN"/>
        </w:rPr>
        <w:t>导致此科目较上年增加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农林水支出（类）水利（款）水利前期工作（项）：2026年预算数为0.00万元，比上年预算减少10.00万元，下降100.00%，主要原因是上年度项目预算较多，本年度水利局项目预算占预算的极少部分，因此水利前期工作款项比去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农林水支出（类）水利（款）水利执法监督（项）：2026年预算数为0.00万元，比上年预算减少5.00万元，下降100.00%，主要原因是上年度项目预算较多，本年度水利局项目预算占预算的极少部分，因此水利执法监督款项比去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农林水支出（类）水利（款）水土保持（项）：2026年预算数为0.00万元，比上年预算减少6.00万元，下降100.00%，主要原因是上年度项目预算较多，本年度水利局项目预算占预算的极少部分，因此水土保持款项比去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农林水支出（类）水利（款）水资源节约管理与保护（项）：2026年预算数为0.00万元，比上年预算减少20.00万元，下降100.00%，主要原因是上年度项目预算较多，本年度水利局项目预算占预算的极少部分，因此水资源节约管理与保护款项比去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农林水支出（类）水利（款）其他水利支出（项）：2026年预算数为2.00万元，比上年预算增加2.00万元，增长100.00%，主要原因是原因是上年度河长制非定额预算较少，本年度增加河长制非定额预算，所以其他水利支出款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住房保障支出（类）住房改革支出（款）住房公积金（项）：2026年预算数为27.75万元，比上年预算增加0.76万元，增长2.82%，主要原因是原因是在职人员工资调整基数，公积金基数调高公积金费用增加，因此住房公积金款项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呼图壁县水利局2026年一般公共预算基本支出384.64万元，其中：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359.21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公用经费25.43万元，主要包括：水费、电费、邮电费、取暖费、差旅费、工会经费、公务用车运行维护费、其他交通费用。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预算安排规模：6.68万元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项目承担单位：呼图壁县水利局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资金分配情况：水利局办公楼水费0.1150万元、邮电费1.79万、劳务费1.775万元、委托业务费3万元。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资金执行时间：2026年1月1日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（二）项目名称：2026年河湖长制工作经费（非定额）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本项目按照《关于印发自治州全面实施河长制工作方案的通知》（昌州党办发【2017】86号）第七条第四款落实资金：落实河长制专项经费，重点保障水质水量监测，规划编制、信息平台建设、河湖及水利工程划界确权、突出问题整治及技术服务费用。水库工程、堤防工程等公益性工程维修养护经费和河湖巡察保洁等日常养护经费要纳入各级财政预算，足额保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项目承担单位：呼图壁县水利局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资金分配情况：本项目总投资2万元，主要用于对日常巡河、碍洪排查等发现的涉河问题进行清理整治，清理整治标准0.5万元/个，整治4个区域，0.5万元*4个=2万元。</w:t>
      </w:r>
    </w:p>
    <w:p>
      <w:pPr>
        <w:widowControl/>
        <w:spacing w:line="560" w:lineRule="exact"/>
        <w:ind w:firstLine="560" w:firstLineChars="200"/>
        <w:rPr>
          <w:rFonts w:hint="eastAsia" w:ascii="仿宋" w:hAnsi="微软雅黑" w:eastAsia="宋体"/>
          <w:sz w:val="28"/>
          <w:szCs w:val="28"/>
          <w:lang w:val="en-US" w:eastAsia="zh-CN"/>
        </w:rPr>
      </w:pPr>
      <w:r>
        <w:rPr>
          <w:rFonts w:hint="eastAsia" w:ascii="仿宋" w:hAnsi="微软雅黑" w:eastAsia="仿宋"/>
          <w:sz w:val="28"/>
          <w:szCs w:val="28"/>
        </w:rPr>
        <w:t>资金执行时间：2026年1月1日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2026年12月31日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呼图壁县水利局2026年财政拨款“三公”经费数为3.70万元，其中：因公出国（境）费用0.00万元，公务用车购置0.00万元，公务用车运行维护费3.70万元，公务接待费0.00万元。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0.91万元，增长32.62%，其中：因公出国（境）费用增加0.00万元，增长0.00%，主要原因是2025年与2026年均未安排因公出国（境）费用；公务用车购置增加0.00万元，增长0.00%，主要原因是2025年与2026年均未安排公务用车购置；公务用车运行维护费增加0.91万元，增长32.62%，主要原因是工作业务量大，车辆老化，维修费用增加，导致公务用车运行维护费</w:t>
      </w:r>
      <w:r>
        <w:rPr>
          <w:rFonts w:hint="eastAsia" w:ascii="仿宋" w:hAnsi="微软雅黑" w:eastAsia="仿宋"/>
          <w:sz w:val="28"/>
          <w:szCs w:val="28"/>
          <w:lang w:val="en-US" w:eastAsia="zh-CN"/>
        </w:rPr>
        <w:t>较上年</w:t>
      </w:r>
      <w:r>
        <w:rPr>
          <w:rFonts w:hint="eastAsia" w:ascii="仿宋" w:hAnsi="微软雅黑" w:eastAsia="仿宋"/>
          <w:sz w:val="28"/>
          <w:szCs w:val="28"/>
        </w:rPr>
        <w:t>增加；公务接待费增加0.00万元，增长0.00%，主要原因是2025年与2026年均未安排公务接待费。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呼图壁县水利局2026年委托业务费3.00万元，其中：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1.2026年支付各类其他刚性资金委托业务费3.00万元，主要用于：用这笔资金去支付水利局的园林绿化，保安、保洁工资。</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关于呼图壁县水利局2026年上年结转结余预算情况说明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呼图壁县水利局2026年上年结转结余2.00万元，包括：财政拨款2.00万元，非财政拨款0.00万元，其中：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1.2024年访惠聚为民办实事-村级支出结转0.00万元，主要用于：</w:t>
      </w:r>
      <w:r>
        <w:rPr>
          <w:rFonts w:hint="eastAsia" w:ascii="仿宋" w:hAnsi="微软雅黑" w:eastAsia="仿宋"/>
          <w:sz w:val="28"/>
          <w:szCs w:val="28"/>
          <w:lang w:eastAsia="zh-CN"/>
        </w:rPr>
        <w:t>我部门</w:t>
      </w:r>
      <w:r>
        <w:rPr>
          <w:rFonts w:hint="eastAsia" w:ascii="仿宋" w:hAnsi="微软雅黑" w:eastAsia="仿宋"/>
          <w:sz w:val="28"/>
          <w:szCs w:val="28"/>
        </w:rPr>
        <w:t>访惠聚为民办实事-村级支出结转已支付完。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关于提前下达2025年中央水利发展资金（水资源刚性约束与调度）-农业灌溉机井折水结转2.00万元，主要用于：以电折水系统平台成熟运行，水电比系数正常等工程建设内容经区，州上级主管部门验收通过后，县水利局向承包方支付合同总价10%，即人民币贰万元整(￥20000.00)。</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2"/>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呼图壁县水利局2026年的机关运行经费财政拨款预算25.43万元，比上年预算减少4.15万元，下降14.03%，主要原因是严格落实党政机关过紧日子要求，大力减少三公经费，优化支出结构，厉行节约，严控耗材与能耗。</w:t>
      </w:r>
    </w:p>
    <w:p>
      <w:pPr>
        <w:pStyle w:val="2"/>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2026年，呼图壁县水利局政府采购预算8.00万元，其中：政府采购货物预算0.00万元，政府采购工程预算0.00万元，政府采购服务预算8.00万元。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2026年，呼图壁县水利局面向中小企业预留政府采购项目预算金额2.20万元，其中：小微企业预留政府采购项目预算金额2.20万元。</w:t>
      </w:r>
    </w:p>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截至2025年底，呼图壁县水利局占用使用国有资产总体情况为：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1.房屋100.00平方米，价值8.82万元。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2.车辆5辆，价值68.47万元；其中：一般公务用车3辆，价值34.51万元；执法执勤用车2辆，价值33.96万元；其他车辆0辆，价值0.00万元。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3.办公家具价值15.61万元。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4.其他资产价值132.56万元。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2026年，本部门预算绩效管理整体预算绩效目标1个，涉及预算金额1,988.92万元；当年预算安排项目共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个，其中：财政拨款项目涉及预算金额8.68万元；非财政拨款项目涉及预算金额300.00万元。具体情况见下表：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南喜梅</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19199719109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完整准确全面贯彻新时代党的治疆方略，完成河湖巡查频次落实、防洪规划编制及山洪灾害监测预警系统上线率提升等工作，“用足水、用好水、聚产业”，为国家、自治区重大战略实施，呼图壁县经济社会高质量发展提供水利支撑。主要做好以下重点工作：一是加强河湖巡查次数，二是完善编制防洪规划，三是提高山洪灾害监测预警上线率，四是加强“井电双控”运维工作，确保“井电双控”数据到报度保持在95%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393.32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1,593.60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1,988.92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河湖水岸巡查次数</w:t>
            </w:r>
          </w:p>
        </w:tc>
        <w:tc>
          <w:tcPr>
            <w:tcW w:w="1448" w:type="dxa"/>
            <w:gridSpan w:val="2"/>
            <w:shd w:val="clear" w:color="auto" w:fill="auto"/>
            <w:vAlign w:val="center"/>
          </w:tcPr>
          <w:p>
            <w:pPr>
              <w:jc w:val="center"/>
              <w:rPr>
                <w:sz w:val="18"/>
                <w:szCs w:val="18"/>
              </w:rPr>
            </w:pPr>
            <w:r>
              <w:rPr>
                <w:rFonts w:hint="eastAsia"/>
                <w:sz w:val="18"/>
                <w:szCs w:val="18"/>
              </w:rPr>
              <w:t>＞=32次</w:t>
            </w:r>
          </w:p>
        </w:tc>
        <w:tc>
          <w:tcPr>
            <w:tcW w:w="1360" w:type="dxa"/>
            <w:shd w:val="clear" w:color="auto" w:fill="auto"/>
            <w:vAlign w:val="center"/>
          </w:tcPr>
          <w:p>
            <w:pPr>
              <w:jc w:val="center"/>
              <w:rPr>
                <w:sz w:val="18"/>
                <w:szCs w:val="18"/>
              </w:rPr>
            </w:pPr>
            <w:r>
              <w:rPr>
                <w:rFonts w:hint="eastAsia"/>
                <w:sz w:val="18"/>
                <w:szCs w:val="18"/>
              </w:rPr>
              <w:t>2026年水利工作计划</w:t>
            </w:r>
          </w:p>
        </w:tc>
        <w:tc>
          <w:tcPr>
            <w:tcW w:w="1360" w:type="dxa"/>
            <w:shd w:val="clear" w:color="auto" w:fill="auto"/>
            <w:vAlign w:val="center"/>
          </w:tcPr>
          <w:p>
            <w:pPr>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编制防洪规划</w:t>
            </w:r>
          </w:p>
        </w:tc>
        <w:tc>
          <w:tcPr>
            <w:tcW w:w="1448" w:type="dxa"/>
            <w:gridSpan w:val="2"/>
            <w:shd w:val="clear" w:color="auto" w:fill="auto"/>
            <w:vAlign w:val="center"/>
          </w:tcPr>
          <w:p>
            <w:pPr>
              <w:jc w:val="center"/>
              <w:rPr>
                <w:sz w:val="18"/>
                <w:szCs w:val="18"/>
              </w:rPr>
            </w:pPr>
            <w:r>
              <w:rPr>
                <w:rFonts w:hint="eastAsia"/>
                <w:sz w:val="18"/>
                <w:szCs w:val="18"/>
              </w:rPr>
              <w:t>＞=1个</w:t>
            </w:r>
          </w:p>
        </w:tc>
        <w:tc>
          <w:tcPr>
            <w:tcW w:w="1360" w:type="dxa"/>
            <w:shd w:val="clear" w:color="auto" w:fill="auto"/>
            <w:vAlign w:val="center"/>
          </w:tcPr>
          <w:p>
            <w:pPr>
              <w:jc w:val="center"/>
              <w:rPr>
                <w:sz w:val="18"/>
                <w:szCs w:val="18"/>
              </w:rPr>
            </w:pPr>
            <w:r>
              <w:rPr>
                <w:rFonts w:hint="eastAsia"/>
                <w:sz w:val="18"/>
                <w:szCs w:val="18"/>
              </w:rPr>
              <w:t>2026年水利工作计划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山洪灾害监测预警上线率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2026年水利工作计划</w:t>
            </w:r>
          </w:p>
        </w:tc>
        <w:tc>
          <w:tcPr>
            <w:tcW w:w="1360" w:type="dxa"/>
            <w:shd w:val="clear" w:color="auto" w:fill="auto"/>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确保州直一级取水口“井电双控”数据到报率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2025年最严格水资源管理考核相关附件</w:t>
            </w:r>
          </w:p>
        </w:tc>
        <w:tc>
          <w:tcPr>
            <w:tcW w:w="1360" w:type="dxa"/>
            <w:shd w:val="clear" w:color="auto" w:fill="auto"/>
            <w:vAlign w:val="center"/>
          </w:tcPr>
          <w:p>
            <w:pPr>
              <w:jc w:val="center"/>
              <w:rPr>
                <w:sz w:val="18"/>
                <w:szCs w:val="18"/>
              </w:rPr>
            </w:pPr>
            <w:r>
              <w:rPr>
                <w:rFonts w:hint="eastAsia"/>
                <w:sz w:val="18"/>
                <w:szCs w:val="18"/>
              </w:rPr>
              <w:t>18</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刘杰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6.68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6.68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6.68（项目预算）万元用于完成邮电费预算1.47万元，主要用于支付单位固定电话、网络宽带及移动通讯费用，保障日常办公通信、数据上传下达及远程协作的顺畅；同时涵盖公文信函、资料邮寄等支出，确保与各级部门、乡镇站点及群众之间的信息传递及时可靠。水费0.1150万元，用这笔资金去交水利局的水费费；委托业务费3万元，用这笔资金去支付水利局的园林绿化，保安、保洁工资及用于聘请具有资质的社会中介机构或专业组织，承接部分专业性较强的辅助性业务；劳务费2.0950万元，用这笔资金去支付水利局的临聘人员工资。通过项目的实施，促进水利经济的发展，完善水利设施，改善办公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水资源消耗立方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＞=158.62立方米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外聘劳务人员人数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卫生清理月份</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＞=3个月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外聘劳务人员时间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＞=6个月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通信保障月份</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通信保障覆盖率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通信保障时限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2026年11月30日前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水费缴纳标准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＜=0.12万元/立方米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邮电费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＜=3350元/人/月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委托业务费标准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减少涉水违法效益</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河湖长制工作项目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印发自治州全面实施河长制工作方案的通知》（昌州党办发【2017】86号），结合呼图壁县实际情况，本项目拟投入2万元，用于完成日常巡河、碍洪排查等发现的涉河问题进行清理整治，提高区域水环境生态质量。通过项目实施，强化河湖治理能力，巩固整治成果，推动河湖生态环境持续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涉河问题整治个数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河湖长制碍洪图斑核查率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河湖问题整改完成率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河湖长制巡查任务完成率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涉河问题清理整治费用标准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＜=0.50万元/个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提高水环境质量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周边居民对河湖环境满意度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bookmarkStart w:id="0" w:name="_GoBack"/>
      <w:bookmarkEnd w:id="0"/>
      <w:r>
        <w:rPr>
          <w:rFonts w:hint="eastAsia" w:ascii="仿宋" w:hAnsi="微软雅黑" w:eastAsia="仿宋"/>
          <w:sz w:val="28"/>
          <w:szCs w:val="28"/>
          <w:lang w:eastAsia="zh-CN"/>
        </w:rPr>
        <w:t>我部门</w:t>
      </w:r>
      <w:r>
        <w:rPr>
          <w:rFonts w:hint="eastAsia" w:ascii="仿宋" w:hAnsi="微软雅黑" w:eastAsia="仿宋"/>
          <w:sz w:val="28"/>
          <w:szCs w:val="28"/>
        </w:rPr>
        <w:t>非财政拨款项目</w:t>
      </w:r>
      <w:r>
        <w:rPr>
          <w:rFonts w:hint="eastAsia" w:ascii="仿宋" w:hAnsi="微软雅黑" w:eastAsia="仿宋"/>
          <w:sz w:val="28"/>
          <w:szCs w:val="28"/>
          <w:lang w:val="en-US" w:eastAsia="zh-CN"/>
        </w:rPr>
        <w:t>4</w:t>
      </w:r>
      <w:r>
        <w:rPr>
          <w:rFonts w:hint="eastAsia" w:ascii="仿宋" w:hAnsi="微软雅黑" w:eastAsia="仿宋"/>
          <w:sz w:val="28"/>
          <w:szCs w:val="28"/>
        </w:rPr>
        <w:t>个，</w:t>
      </w:r>
      <w:r>
        <w:rPr>
          <w:rFonts w:hint="eastAsia" w:ascii="仿宋" w:hAnsi="微软雅黑" w:eastAsia="仿宋"/>
          <w:sz w:val="28"/>
          <w:szCs w:val="28"/>
          <w:lang w:eastAsia="zh-CN"/>
        </w:rPr>
        <w:t>共计</w:t>
      </w:r>
      <w:r>
        <w:rPr>
          <w:rFonts w:hint="eastAsia" w:ascii="仿宋" w:hAnsi="微软雅黑" w:eastAsia="仿宋"/>
          <w:sz w:val="28"/>
          <w:szCs w:val="28"/>
        </w:rPr>
        <w:t>涉及金额</w:t>
      </w:r>
      <w:r>
        <w:rPr>
          <w:rFonts w:hint="eastAsia" w:ascii="仿宋" w:hAnsi="微软雅黑" w:eastAsia="仿宋"/>
          <w:sz w:val="28"/>
          <w:szCs w:val="28"/>
          <w:lang w:val="en-US" w:eastAsia="zh-CN"/>
        </w:rPr>
        <w:t>300</w:t>
      </w:r>
      <w:r>
        <w:rPr>
          <w:rFonts w:hint="eastAsia" w:ascii="仿宋" w:hAnsi="微软雅黑" w:eastAsia="仿宋"/>
          <w:sz w:val="28"/>
          <w:szCs w:val="28"/>
        </w:rPr>
        <w:t>万元，</w:t>
      </w:r>
      <w:r>
        <w:rPr>
          <w:rFonts w:hint="eastAsia" w:ascii="仿宋" w:hAnsi="微软雅黑" w:eastAsia="仿宋"/>
          <w:sz w:val="28"/>
          <w:szCs w:val="28"/>
          <w:lang w:eastAsia="zh-CN"/>
        </w:rPr>
        <w:t>均为</w:t>
      </w:r>
      <w:r>
        <w:rPr>
          <w:rFonts w:hint="eastAsia" w:ascii="仿宋" w:hAnsi="微软雅黑" w:eastAsia="仿宋"/>
          <w:sz w:val="28"/>
          <w:szCs w:val="28"/>
        </w:rPr>
        <w:t>财政拨款基本户资金</w:t>
      </w:r>
      <w:r>
        <w:rPr>
          <w:rFonts w:hint="eastAsia" w:ascii="仿宋" w:hAnsi="微软雅黑" w:eastAsia="仿宋"/>
          <w:sz w:val="28"/>
          <w:szCs w:val="28"/>
          <w:lang w:eastAsia="zh-CN"/>
        </w:rPr>
        <w:t>、呼图壁河和阿克萨依河水系连通引调水工程</w:t>
      </w:r>
      <w:r>
        <w:rPr>
          <w:rFonts w:hint="eastAsia" w:ascii="仿宋" w:hAnsi="微软雅黑" w:eastAsia="仿宋"/>
          <w:sz w:val="28"/>
          <w:szCs w:val="28"/>
        </w:rPr>
        <w:t>质保金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8.87万元</w:t>
      </w:r>
      <w:r>
        <w:rPr>
          <w:rFonts w:hint="eastAsia" w:ascii="仿宋" w:hAnsi="微软雅黑" w:eastAsia="仿宋"/>
          <w:sz w:val="28"/>
          <w:szCs w:val="28"/>
          <w:lang w:eastAsia="zh-CN"/>
        </w:rPr>
        <w:t>）、独山子灌区续建配套与节水改造工程质保金（</w:t>
      </w:r>
      <w:r>
        <w:rPr>
          <w:rFonts w:hint="eastAsia" w:ascii="仿宋" w:hAnsi="微软雅黑" w:eastAsia="仿宋"/>
          <w:sz w:val="28"/>
          <w:szCs w:val="28"/>
          <w:lang w:val="en-US" w:eastAsia="zh-CN"/>
        </w:rPr>
        <w:t>121.25万元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红山水库工程履约保证金（19.84万元），</w:t>
      </w:r>
      <w:r>
        <w:rPr>
          <w:rFonts w:hint="eastAsia" w:ascii="仿宋" w:hAnsi="微软雅黑" w:eastAsia="仿宋"/>
          <w:sz w:val="28"/>
          <w:szCs w:val="28"/>
          <w:lang w:eastAsia="zh-CN"/>
        </w:rPr>
        <w:t>上述</w:t>
      </w:r>
      <w:r>
        <w:rPr>
          <w:rFonts w:hint="eastAsia" w:ascii="仿宋" w:hAnsi="微软雅黑" w:eastAsia="仿宋"/>
          <w:sz w:val="28"/>
          <w:szCs w:val="28"/>
          <w:lang w:val="en-US" w:eastAsia="zh-CN"/>
        </w:rPr>
        <w:t>3个</w:t>
      </w:r>
      <w:r>
        <w:rPr>
          <w:rFonts w:hint="eastAsia" w:ascii="仿宋" w:hAnsi="微软雅黑" w:eastAsia="仿宋"/>
          <w:sz w:val="28"/>
          <w:szCs w:val="28"/>
        </w:rPr>
        <w:t>水利工程项目质保金及</w:t>
      </w:r>
      <w:r>
        <w:rPr>
          <w:rFonts w:hint="eastAsia" w:ascii="仿宋" w:hAnsi="微软雅黑" w:eastAsia="仿宋"/>
          <w:sz w:val="28"/>
          <w:szCs w:val="28"/>
          <w:lang w:eastAsia="zh-CN"/>
        </w:rPr>
        <w:t>履约保证金都将</w:t>
      </w:r>
      <w:r>
        <w:rPr>
          <w:rFonts w:hint="eastAsia" w:ascii="仿宋" w:hAnsi="微软雅黑" w:eastAsia="仿宋"/>
          <w:sz w:val="28"/>
          <w:szCs w:val="28"/>
        </w:rPr>
        <w:t>按照合同约定</w:t>
      </w:r>
      <w:r>
        <w:rPr>
          <w:rFonts w:hint="eastAsia" w:ascii="仿宋" w:hAnsi="微软雅黑" w:eastAsia="仿宋"/>
          <w:sz w:val="28"/>
          <w:szCs w:val="28"/>
          <w:lang w:eastAsia="zh-CN"/>
        </w:rPr>
        <w:t>收取，</w:t>
      </w:r>
      <w:r>
        <w:rPr>
          <w:rFonts w:hint="eastAsia" w:ascii="仿宋" w:hAnsi="微软雅黑" w:eastAsia="仿宋"/>
          <w:sz w:val="28"/>
          <w:szCs w:val="28"/>
        </w:rPr>
        <w:t>到期</w:t>
      </w:r>
      <w:r>
        <w:rPr>
          <w:rFonts w:hint="eastAsia" w:ascii="仿宋" w:hAnsi="微软雅黑" w:eastAsia="仿宋"/>
          <w:sz w:val="28"/>
          <w:szCs w:val="28"/>
          <w:lang w:eastAsia="zh-CN"/>
        </w:rPr>
        <w:t>将</w:t>
      </w:r>
      <w:r>
        <w:rPr>
          <w:rFonts w:hint="eastAsia" w:ascii="仿宋" w:hAnsi="微软雅黑" w:eastAsia="仿宋"/>
          <w:sz w:val="28"/>
          <w:szCs w:val="28"/>
        </w:rPr>
        <w:t>退</w:t>
      </w:r>
      <w:r>
        <w:rPr>
          <w:rFonts w:hint="eastAsia" w:ascii="仿宋" w:hAnsi="微软雅黑" w:eastAsia="仿宋"/>
          <w:sz w:val="28"/>
          <w:szCs w:val="28"/>
          <w:lang w:eastAsia="zh-CN"/>
        </w:rPr>
        <w:t>回</w:t>
      </w:r>
      <w:r>
        <w:rPr>
          <w:rFonts w:hint="eastAsia" w:ascii="仿宋" w:hAnsi="微软雅黑" w:eastAsia="仿宋"/>
          <w:sz w:val="28"/>
          <w:szCs w:val="28"/>
        </w:rPr>
        <w:t>施工单位</w:t>
      </w:r>
      <w:r>
        <w:rPr>
          <w:rFonts w:hint="eastAsia" w:ascii="仿宋" w:hAnsi="微软雅黑" w:eastAsia="仿宋"/>
          <w:sz w:val="28"/>
          <w:szCs w:val="28"/>
          <w:lang w:eastAsia="zh-CN"/>
        </w:rPr>
        <w:t>，</w:t>
      </w:r>
      <w:r>
        <w:rPr>
          <w:rFonts w:hint="eastAsia" w:ascii="仿宋" w:hAnsi="微软雅黑" w:eastAsia="仿宋"/>
          <w:sz w:val="28"/>
          <w:szCs w:val="28"/>
        </w:rPr>
        <w:t>不重复做绩效目标表，不公开绩效目标表。</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呼图壁县水利局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13640"/>
    <w:multiLevelType w:val="multilevel"/>
    <w:tmpl w:val="1031364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FA42195"/>
    <w:multiLevelType w:val="multilevel"/>
    <w:tmpl w:val="4FA42195"/>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BBA7147"/>
    <w:multiLevelType w:val="multilevel"/>
    <w:tmpl w:val="6BBA714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5019F"/>
    <w:rsid w:val="0969581A"/>
    <w:rsid w:val="11130907"/>
    <w:rsid w:val="200B6D0A"/>
    <w:rsid w:val="215F7E7E"/>
    <w:rsid w:val="27AF4FE8"/>
    <w:rsid w:val="352C7B0B"/>
    <w:rsid w:val="37A51A5B"/>
    <w:rsid w:val="392A3FDF"/>
    <w:rsid w:val="443209FB"/>
    <w:rsid w:val="44E81AF8"/>
    <w:rsid w:val="54D00E74"/>
    <w:rsid w:val="557D0422"/>
    <w:rsid w:val="5B3A14FB"/>
    <w:rsid w:val="6A111BFE"/>
    <w:rsid w:val="70DA30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4"/>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5"/>
    <w:uiPriority w:val="0"/>
    <w:pPr>
      <w:keepNext/>
      <w:keepLines/>
      <w:spacing w:before="260" w:after="260" w:line="416" w:lineRule="auto"/>
      <w:outlineLvl w:val="1"/>
    </w:pPr>
    <w:rPr>
      <w:rFonts w:hint="default" w:ascii="Cambria" w:hAnsi="Cambria"/>
      <w:b/>
      <w:sz w:val="32"/>
      <w:szCs w:val="32"/>
    </w:rPr>
  </w:style>
  <w:style w:type="paragraph" w:styleId="2">
    <w:name w:val="heading 3"/>
    <w:basedOn w:val="1"/>
    <w:next w:val="1"/>
    <w:link w:val="16"/>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8"/>
    <w:qFormat/>
    <w:uiPriority w:val="0"/>
    <w:pPr>
      <w:snapToGrid w:val="0"/>
      <w:jc w:val="left"/>
    </w:pPr>
    <w:rPr>
      <w:sz w:val="18"/>
      <w:szCs w:val="18"/>
    </w:rPr>
  </w:style>
  <w:style w:type="paragraph" w:styleId="7">
    <w:name w:val="header"/>
    <w:basedOn w:val="1"/>
    <w:link w:val="17"/>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customStyle="1" w:styleId="12">
    <w:name w:val="Normal (Web)"/>
    <w:basedOn w:val="1"/>
    <w:qFormat/>
    <w:uiPriority w:val="0"/>
    <w:pPr>
      <w:spacing w:before="100" w:beforeAutospacing="1" w:after="100" w:afterAutospacing="1"/>
      <w:ind w:left="0" w:right="0"/>
      <w:jc w:val="left"/>
    </w:pPr>
    <w:rPr>
      <w:kern w:val="0"/>
      <w:sz w:val="24"/>
      <w:lang w:val="en-US" w:eastAsia="zh-CN" w:bidi="ar-SA"/>
    </w:rPr>
  </w:style>
  <w:style w:type="paragraph" w:customStyle="1" w:styleId="13">
    <w:name w:val="List Paragraph"/>
    <w:basedOn w:val="1"/>
    <w:qFormat/>
    <w:uiPriority w:val="0"/>
    <w:pPr>
      <w:ind w:firstLine="420" w:firstLineChars="200"/>
    </w:pPr>
  </w:style>
  <w:style w:type="character" w:customStyle="1" w:styleId="14">
    <w:name w:val="标题 1 Char"/>
    <w:link w:val="3"/>
    <w:qFormat/>
    <w:uiPriority w:val="0"/>
    <w:rPr>
      <w:rFonts w:hint="default" w:ascii="Times New Roman" w:hAnsi="Times New Roman"/>
      <w:b/>
      <w:kern w:val="44"/>
      <w:sz w:val="44"/>
      <w:szCs w:val="44"/>
    </w:rPr>
  </w:style>
  <w:style w:type="character" w:customStyle="1" w:styleId="15">
    <w:name w:val="标题 2 Char"/>
    <w:link w:val="4"/>
    <w:qFormat/>
    <w:uiPriority w:val="0"/>
    <w:rPr>
      <w:rFonts w:hint="default" w:ascii="Cambria" w:hAnsi="Cambria"/>
      <w:b/>
      <w:kern w:val="2"/>
      <w:sz w:val="32"/>
      <w:szCs w:val="32"/>
    </w:rPr>
  </w:style>
  <w:style w:type="character" w:customStyle="1" w:styleId="16">
    <w:name w:val="标题 3 Char"/>
    <w:link w:val="2"/>
    <w:qFormat/>
    <w:uiPriority w:val="0"/>
    <w:rPr>
      <w:rFonts w:hint="default" w:ascii="Times New Roman" w:hAnsi="Times New Roman"/>
      <w:b/>
      <w:kern w:val="2"/>
      <w:sz w:val="32"/>
      <w:szCs w:val="32"/>
    </w:rPr>
  </w:style>
  <w:style w:type="character" w:customStyle="1" w:styleId="17">
    <w:name w:val="页眉 Char"/>
    <w:link w:val="7"/>
    <w:qFormat/>
    <w:uiPriority w:val="0"/>
    <w:rPr>
      <w:kern w:val="2"/>
      <w:sz w:val="18"/>
      <w:szCs w:val="18"/>
    </w:rPr>
  </w:style>
  <w:style w:type="character" w:customStyle="1" w:styleId="18">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32</Pages>
  <Words>2213</Words>
  <Characters>3202</Characters>
  <Lines>40</Lines>
  <Paragraphs>11</Paragraphs>
  <TotalTime>3</TotalTime>
  <ScaleCrop>false</ScaleCrop>
  <LinksUpToDate>false</LinksUpToDate>
  <CharactersWithSpaces>3473</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2026-06-04T09:26:12Z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eyJoZGlkIjoiZDhmN2ZhMmM1MTViZmI5NzI3ZDA3MDJmMzU4NzcyYWYiLCJ1c2VySWQiOiI0MjA2NzU2NDIifQ==</vt:lpwstr>
  </property>
  <property fmtid="{D5CDD505-2E9C-101B-9397-08002B2CF9AE}" pid="3" name="KSOProductBuildVer">
    <vt:lpwstr>2052-11.8.2.10154</vt:lpwstr>
  </property>
  <property fmtid="{D5CDD505-2E9C-101B-9397-08002B2CF9AE}" pid="4" name="ICV">
    <vt:lpwstr>6C30C25F7BF24D44BE2A2ABF99B88715_12</vt:lpwstr>
  </property>
</Properties>
</file>