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2026年呼图壁县第六中学</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部门预算公开</w:t>
      </w:r>
    </w:p>
    <w:p>
      <w:pPr>
        <w:jc w:val="center"/>
        <w:rPr>
          <w:rFonts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ascii="黑体" w:eastAsia="黑体"/>
          <w:color w:val="000000"/>
          <w:sz w:val="36"/>
          <w:szCs w:val="36"/>
        </w:rPr>
      </w:pPr>
    </w:p>
    <w:p>
      <w:pPr>
        <w:spacing w:line="560" w:lineRule="exact"/>
        <w:ind w:firstLine="562" w:firstLineChars="200"/>
        <w:jc w:val="left"/>
        <w:rPr>
          <w:rFonts w:ascii="仿宋" w:hAnsi="仿宋" w:eastAsia="仿宋"/>
          <w:b/>
          <w:color w:val="000000"/>
          <w:sz w:val="28"/>
          <w:szCs w:val="28"/>
        </w:rPr>
      </w:pPr>
      <w:r>
        <w:rPr>
          <w:rFonts w:hint="eastAsia" w:ascii="仿宋" w:hAnsi="仿宋" w:eastAsia="仿宋"/>
          <w:b/>
          <w:color w:val="000000"/>
          <w:sz w:val="28"/>
          <w:szCs w:val="28"/>
        </w:rPr>
        <w:t>第一部分  2026年部门概况</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二、 机构设置</w:t>
      </w:r>
    </w:p>
    <w:p>
      <w:pPr>
        <w:spacing w:line="560" w:lineRule="exact"/>
        <w:ind w:firstLine="562" w:firstLineChars="200"/>
        <w:jc w:val="left"/>
        <w:rPr>
          <w:rFonts w:ascii="仿宋" w:hAnsi="仿宋" w:eastAsia="仿宋"/>
          <w:b/>
          <w:color w:val="000000"/>
          <w:sz w:val="28"/>
          <w:szCs w:val="28"/>
        </w:rPr>
      </w:pPr>
      <w:r>
        <w:rPr>
          <w:rFonts w:hint="eastAsia" w:ascii="仿宋" w:hAnsi="仿宋" w:eastAsia="仿宋"/>
          <w:b/>
          <w:color w:val="000000"/>
          <w:sz w:val="28"/>
          <w:szCs w:val="28"/>
        </w:rPr>
        <w:t>第二部分 2026年部门预算公开表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十一、财政拨款委托业务费支出情况表</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十二、上年结转结余情况表</w:t>
      </w:r>
    </w:p>
    <w:p>
      <w:pPr>
        <w:spacing w:line="560" w:lineRule="exact"/>
        <w:ind w:firstLine="562" w:firstLineChars="200"/>
        <w:jc w:val="left"/>
        <w:rPr>
          <w:rFonts w:ascii="仿宋" w:hAnsi="仿宋" w:eastAsia="仿宋"/>
          <w:b/>
          <w:color w:val="000000"/>
          <w:sz w:val="28"/>
          <w:szCs w:val="28"/>
        </w:rPr>
      </w:pPr>
      <w:r>
        <w:rPr>
          <w:rFonts w:hint="eastAsia" w:ascii="仿宋" w:hAnsi="仿宋" w:eastAsia="仿宋"/>
          <w:b/>
          <w:color w:val="000000"/>
          <w:sz w:val="28"/>
          <w:szCs w:val="28"/>
        </w:rPr>
        <w:t>第三部分 2026年部门预算情况说明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一、 关于呼图壁县第六中学2026年收支预算情况的总体说明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二、 关于呼图壁县第六中学2026年收入预算情况说明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三、 关于呼图壁县第六中学2026年支出预算情况说明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四、 关于呼图壁县第六中学2026年财政拨款收支预算情况的总体说明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五、 关于呼图壁县第六中学2026年一般公共预算当年拨款情况说明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六、 关于呼图壁县第六中学2026年一般公共预算基本支出情况说明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七、 关于呼图壁县第六中学2026年一般公共预算项目支出情况说明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八、 关于呼图壁县第六中学2026年政府性基金预算拨款情况说明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九、 关于呼图壁县第六中学2026年国有资本经营预算拨款情况说明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十、 关于呼图壁县第六中学2026年财政拨款“三公”经费预算情况说明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十一、 关于呼图壁县第六中学2026年财政拨款委托业务费支出情况说明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十二、 关于呼图壁县第六中学2026年上年结转结余预算情况说明</w:t>
      </w:r>
    </w:p>
    <w:p>
      <w:pPr>
        <w:spacing w:line="560" w:lineRule="exact"/>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十三、 其他重要事项的情况说明</w:t>
      </w:r>
    </w:p>
    <w:p>
      <w:pPr>
        <w:spacing w:line="560" w:lineRule="exact"/>
        <w:ind w:firstLine="562" w:firstLineChars="200"/>
        <w:jc w:val="center"/>
      </w:pPr>
      <w:r>
        <w:rPr>
          <w:rFonts w:hint="eastAsia" w:ascii="仿宋" w:hAnsi="仿宋" w:eastAsia="仿宋"/>
          <w:b/>
          <w:color w:val="000000"/>
          <w:sz w:val="28"/>
          <w:szCs w:val="28"/>
        </w:rPr>
        <w:t>第四部分 名词解释</w:t>
      </w:r>
      <w:r>
        <w:br w:type="page"/>
      </w:r>
      <w:r>
        <w:rPr>
          <w:rFonts w:hint="eastAsia" w:ascii="黑体" w:hAnsi="Times New Roman" w:eastAsia="黑体" w:cs="Times New Roman"/>
          <w:b/>
          <w:kern w:val="44"/>
          <w:sz w:val="30"/>
          <w:szCs w:val="30"/>
          <w:lang w:val="en-US" w:eastAsia="zh-CN" w:bidi="ar-SA"/>
        </w:rPr>
        <w:t>第一部分  2026年部门概况</w:t>
      </w:r>
      <w:bookmarkStart w:id="0" w:name="OLE_LINK1"/>
    </w:p>
    <w:p>
      <w:pPr>
        <w:pStyle w:val="4"/>
        <w:numPr>
          <w:ilvl w:val="0"/>
          <w:numId w:val="0"/>
        </w:numPr>
        <w:spacing w:before="0" w:after="0" w:line="560" w:lineRule="exact"/>
        <w:ind w:leftChars="201"/>
        <w:rPr>
          <w:rFonts w:hint="eastAsia" w:ascii="仿宋" w:hAnsi="华文楷体" w:eastAsia="仿宋"/>
          <w:sz w:val="28"/>
          <w:szCs w:val="28"/>
        </w:rPr>
      </w:pPr>
      <w:r>
        <w:rPr>
          <w:rFonts w:hint="eastAsia" w:ascii="仿宋" w:hAnsi="华文楷体" w:eastAsia="仿宋"/>
          <w:sz w:val="28"/>
          <w:szCs w:val="28"/>
        </w:rPr>
        <w:t>一、主要职能</w:t>
      </w:r>
    </w:p>
    <w:bookmarkEnd w:id="0"/>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呼图壁县第六中学是呼图壁县第六中学是九年一贯制学校，全面贯彻党的教育方针，深入实施素质教育，全面推进基础教育课程改革的全额拨款事业单位，承担着促进区域内基础教育发展的重要使命。根据学校职能定位，其主要职责涵盖教育教学、学生管理、师资建设、后勤保障等多个方面，具体如下：学校严格按照国家及自治区义务教育课程方案，开齐开足国家规定课程，包括语文、数学、英语、道德与法治、科学、体育、音乐等学科。通过系统的课堂教学，确保学生掌握基础知识和基本技能。学校将德育工作摆在首位，通过课堂教学、主题班会、校园文化活动等多种形式，培养学生成为品德优秀、思想端正的少年儿童。加强爱国主义教育、民族团结教育、法治教育、文明礼仪教育，引导学生树立正确的世界观、人生观和价值观。学校在传授基础知识的同时，注重培养学生的自学能力和创新精神。通过优化教学方法、开展课外阅读指导、组织学科竞赛和社团活动等方式，激发学生学习兴趣，帮助学生掌握科学的学习方法，为终身学习奠定基础。</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学校通过教务处、德育处等内设处室，负责学生日常行为规范的监督检查，培养学生良好的行为习惯和纪律意识。建立健全班级管理制度，发挥班主任在学生管理中的骨干作用。学校定期开展心理健康教育活动，关注学生心理发展动态，对存在心理困扰的学生及时进行疏导和干预。通过主题班会、国旗下讲话、德育实践活动等途径，加强学生的思想品德教育。学校建立家长委员会制度，定期召开家长会，开展家访活动，加强与学生家庭的沟通联系。通过家校协作，形成教育合力，共同促进学生健康成长。</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学校负责在编教职工的日常管理和考核评价。组织教师参加继续教育和各类培训，开展校本教研活动，提升教师专业素养和教学能力。学校将师德师风建设摆在教师队伍建设的首位，定期开展师德教育活动，规范教师从教行为。建立健全师德考核机制，将师德表现作为教师年度考核、职称评聘的重要依据。学校通过总务处负责校舍、教学设备、水电暖设施等的日常维护和管理。根据实际需要，申请和实施校舍维修改造项目，确保教学设施完好可用，为师生创造安全、舒适的学习工作环境。学校设有安全办，负责校园安全管理和治安防范工作。建立健全安全管理制度，定期开展安全隐患排查，组织应急疏散演练。加强门卫管理，完善校园监控系统，确保师生人身和财产安全。学校设有财务室，学校实行严格的财务管理制度，按照预算管理规定使用财政拨款。负责教职工工资福利发放、公用经费管理、专项资金使用等财务工作。建立健全资产管理制度，防止国有资产流失。</w:t>
      </w:r>
    </w:p>
    <w:p>
      <w:pPr>
        <w:pStyle w:val="4"/>
        <w:numPr>
          <w:ilvl w:val="0"/>
          <w:numId w:val="0"/>
        </w:numPr>
        <w:spacing w:before="0" w:after="0" w:line="560" w:lineRule="exact"/>
        <w:ind w:firstLine="562" w:firstLineChars="200"/>
        <w:rPr>
          <w:rFonts w:ascii="仿宋" w:hAnsi="华文楷体" w:eastAsia="仿宋"/>
          <w:sz w:val="28"/>
          <w:szCs w:val="28"/>
        </w:rPr>
      </w:pPr>
      <w:r>
        <w:rPr>
          <w:rFonts w:hint="eastAsia" w:ascii="仿宋" w:hAnsi="华文楷体" w:eastAsia="仿宋"/>
          <w:sz w:val="28"/>
          <w:szCs w:val="28"/>
          <w:lang w:val="en-US" w:eastAsia="zh-CN"/>
        </w:rPr>
        <w:t>二、</w:t>
      </w:r>
      <w:r>
        <w:rPr>
          <w:rFonts w:hint="eastAsia" w:ascii="仿宋" w:hAnsi="华文楷体" w:eastAsia="仿宋"/>
          <w:sz w:val="28"/>
          <w:szCs w:val="28"/>
        </w:rPr>
        <w:t>机构设置</w:t>
      </w:r>
    </w:p>
    <w:p>
      <w:pPr>
        <w:pStyle w:val="13"/>
        <w:spacing w:line="560" w:lineRule="exact"/>
        <w:ind w:firstLine="560"/>
        <w:rPr>
          <w:rFonts w:ascii="仿宋" w:hAnsi="仿宋" w:eastAsia="仿宋"/>
          <w:color w:val="000000"/>
          <w:sz w:val="28"/>
          <w:szCs w:val="28"/>
        </w:rPr>
      </w:pPr>
      <w:r>
        <w:rPr>
          <w:rFonts w:hint="eastAsia" w:ascii="仿宋" w:hAnsi="仿宋" w:eastAsia="仿宋"/>
          <w:color w:val="000000"/>
          <w:sz w:val="28"/>
          <w:szCs w:val="28"/>
        </w:rPr>
        <w:t>呼图壁县第六中学无下属预算单位。</w:t>
      </w:r>
    </w:p>
    <w:p>
      <w:pPr>
        <w:pStyle w:val="3"/>
        <w:spacing w:before="156" w:beforeLines="50" w:after="156" w:afterLines="50" w:line="400" w:lineRule="exact"/>
        <w:jc w:val="center"/>
        <w:rPr>
          <w:rFonts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2026年部门预算公开表</w:t>
      </w:r>
    </w:p>
    <w:p>
      <w:pPr>
        <w:jc w:val="left"/>
        <w:rPr>
          <w:rFonts w:ascii="宋体" w:hAnsi="宋体"/>
          <w:color w:val="000000"/>
          <w:sz w:val="18"/>
          <w:szCs w:val="18"/>
        </w:rPr>
      </w:pPr>
      <w:r>
        <w:rPr>
          <w:rFonts w:hint="eastAsia" w:ascii="宋体" w:hAnsi="宋体"/>
          <w:color w:val="000000"/>
          <w:sz w:val="18"/>
          <w:szCs w:val="18"/>
        </w:rPr>
        <w:t>表1</w:t>
      </w:r>
    </w:p>
    <w:p>
      <w:pPr>
        <w:jc w:val="center"/>
        <w:rPr>
          <w:rFonts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081" w:type="dxa"/>
            <w:gridSpan w:val="3"/>
            <w:tcBorders>
              <w:top w:val="nil"/>
              <w:left w:val="nil"/>
              <w:bottom w:val="single" w:color="auto" w:sz="4" w:space="0"/>
              <w:right w:val="nil"/>
            </w:tcBorders>
            <w:shd w:val="clear" w:color="auto" w:fill="auto"/>
          </w:tcPr>
          <w:p>
            <w:pPr>
              <w:jc w:val="left"/>
              <w:rPr>
                <w:rFonts w:ascii="宋体" w:hAnsi="宋体"/>
                <w:color w:val="000000"/>
                <w:sz w:val="18"/>
                <w:szCs w:val="18"/>
              </w:rPr>
            </w:pPr>
            <w:r>
              <w:rPr>
                <w:rFonts w:hint="eastAsia"/>
                <w:color w:val="000000"/>
                <w:sz w:val="18"/>
                <w:szCs w:val="18"/>
              </w:rPr>
              <w:t>编制部门：呼图壁县第六中学</w:t>
            </w:r>
          </w:p>
        </w:tc>
        <w:tc>
          <w:tcPr>
            <w:tcW w:w="1150" w:type="dxa"/>
            <w:tcBorders>
              <w:top w:val="nil"/>
              <w:left w:val="nil"/>
              <w:bottom w:val="single" w:color="auto" w:sz="4" w:space="0"/>
              <w:right w:val="nil"/>
            </w:tcBorders>
            <w:shd w:val="clear" w:color="auto" w:fill="auto"/>
          </w:tcPr>
          <w:p>
            <w:pPr>
              <w:jc w:val="right"/>
              <w:rPr>
                <w:rFonts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2,380.75</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1,244.75</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1,244.75</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2,380.75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1,136.00</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1,136.00</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2835"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234 抗疫特别国债安排的支出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jc w:val="center"/>
              <w:rPr>
                <w:rFonts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2,380.75</w:t>
            </w:r>
          </w:p>
        </w:tc>
        <w:tc>
          <w:tcPr>
            <w:tcW w:w="3600" w:type="dxa"/>
            <w:shd w:val="clear" w:color="auto" w:fill="auto"/>
          </w:tcPr>
          <w:p>
            <w:pPr>
              <w:jc w:val="center"/>
              <w:rPr>
                <w:rFonts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2,380.75</w:t>
            </w:r>
          </w:p>
        </w:tc>
      </w:tr>
    </w:tbl>
    <w:p>
      <w:pPr>
        <w:widowControl/>
        <w:jc w:val="left"/>
        <w:rPr>
          <w:rFonts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表2</w:t>
      </w:r>
    </w:p>
    <w:p>
      <w:pPr>
        <w:jc w:val="center"/>
        <w:rPr>
          <w:rFonts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9"/>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260"/>
        <w:gridCol w:w="2494"/>
        <w:gridCol w:w="1138"/>
        <w:gridCol w:w="898"/>
        <w:gridCol w:w="897"/>
        <w:gridCol w:w="897"/>
        <w:gridCol w:w="897"/>
        <w:gridCol w:w="897"/>
        <w:gridCol w:w="897"/>
        <w:gridCol w:w="937"/>
        <w:gridCol w:w="897"/>
        <w:gridCol w:w="897"/>
        <w:gridCol w:w="897"/>
        <w:gridCol w:w="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12560" w:type="dxa"/>
            <w:gridSpan w:val="14"/>
            <w:tcBorders>
              <w:top w:val="nil"/>
              <w:left w:val="nil"/>
              <w:bottom w:val="single" w:color="auto" w:sz="4" w:space="0"/>
              <w:right w:val="nil"/>
            </w:tcBorders>
            <w:shd w:val="clear" w:color="auto" w:fill="auto"/>
          </w:tcPr>
          <w:p>
            <w:pPr>
              <w:jc w:val="left"/>
              <w:rPr>
                <w:rFonts w:ascii="宋体" w:hAnsi="宋体"/>
                <w:sz w:val="18"/>
                <w:szCs w:val="18"/>
              </w:rPr>
            </w:pPr>
            <w:r>
              <w:rPr>
                <w:rFonts w:hint="eastAsia"/>
                <w:color w:val="000000"/>
                <w:sz w:val="18"/>
                <w:szCs w:val="18"/>
              </w:rPr>
              <w:t>编制部门：呼图壁县第六中学</w:t>
            </w:r>
          </w:p>
        </w:tc>
        <w:tc>
          <w:tcPr>
            <w:tcW w:w="1800" w:type="dxa"/>
            <w:gridSpan w:val="2"/>
            <w:tcBorders>
              <w:top w:val="nil"/>
              <w:left w:val="nil"/>
              <w:bottom w:val="single" w:color="auto" w:sz="4" w:space="0"/>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0" w:type="dxa"/>
            <w:shd w:val="clear" w:color="auto" w:fill="auto"/>
            <w:vAlign w:val="center"/>
          </w:tcPr>
          <w:p>
            <w:pPr>
              <w:jc w:val="center"/>
              <w:rPr>
                <w:rFonts w:ascii="宋体" w:hAnsi="宋体"/>
                <w:sz w:val="18"/>
                <w:szCs w:val="18"/>
              </w:rPr>
            </w:pPr>
            <w:r>
              <w:rPr>
                <w:rFonts w:hint="eastAsia" w:ascii="宋体" w:hAnsi="宋体"/>
                <w:sz w:val="18"/>
                <w:szCs w:val="18"/>
              </w:rPr>
              <w:t>类</w:t>
            </w:r>
          </w:p>
        </w:tc>
        <w:tc>
          <w:tcPr>
            <w:tcW w:w="260" w:type="dxa"/>
            <w:shd w:val="clear" w:color="auto" w:fill="auto"/>
            <w:vAlign w:val="center"/>
          </w:tcPr>
          <w:p>
            <w:pPr>
              <w:jc w:val="center"/>
              <w:rPr>
                <w:rFonts w:ascii="宋体" w:hAnsi="宋体"/>
                <w:sz w:val="18"/>
                <w:szCs w:val="18"/>
              </w:rPr>
            </w:pPr>
            <w:r>
              <w:rPr>
                <w:rFonts w:hint="eastAsia" w:ascii="宋体" w:hAnsi="宋体"/>
                <w:sz w:val="18"/>
                <w:szCs w:val="18"/>
              </w:rPr>
              <w:t>款</w:t>
            </w:r>
          </w:p>
        </w:tc>
        <w:tc>
          <w:tcPr>
            <w:tcW w:w="260" w:type="dxa"/>
            <w:shd w:val="clear" w:color="auto" w:fill="auto"/>
            <w:vAlign w:val="center"/>
          </w:tcPr>
          <w:p>
            <w:pPr>
              <w:jc w:val="center"/>
              <w:rPr>
                <w:rFonts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pPr>
              <w:jc w:val="center"/>
              <w:rPr>
                <w:rFonts w:ascii="宋体" w:hAnsi="宋体"/>
                <w:sz w:val="18"/>
                <w:szCs w:val="18"/>
              </w:rPr>
            </w:pPr>
          </w:p>
        </w:tc>
        <w:tc>
          <w:tcPr>
            <w:tcW w:w="1140" w:type="dxa"/>
            <w:vMerge w:val="continue"/>
            <w:shd w:val="clear" w:color="auto" w:fill="auto"/>
            <w:vAlign w:val="center"/>
          </w:tcPr>
          <w:p>
            <w:pPr>
              <w:jc w:val="center"/>
              <w:rPr>
                <w:rFonts w:ascii="宋体" w:hAnsi="宋体"/>
                <w:sz w:val="18"/>
                <w:szCs w:val="18"/>
              </w:rPr>
            </w:pPr>
          </w:p>
        </w:tc>
        <w:tc>
          <w:tcPr>
            <w:tcW w:w="900" w:type="dxa"/>
            <w:shd w:val="clear" w:color="auto" w:fill="auto"/>
            <w:vAlign w:val="center"/>
          </w:tcPr>
          <w:p>
            <w:pPr>
              <w:jc w:val="center"/>
              <w:rPr>
                <w:rFonts w:ascii="宋体" w:hAnsi="宋体"/>
                <w:sz w:val="18"/>
                <w:szCs w:val="18"/>
              </w:rPr>
            </w:pPr>
            <w:r>
              <w:rPr>
                <w:rFonts w:hint="eastAsia" w:ascii="宋体" w:hAnsi="宋体"/>
                <w:sz w:val="18"/>
                <w:szCs w:val="18"/>
              </w:rPr>
              <w:t>财政拨款(补助)小计</w:t>
            </w:r>
          </w:p>
        </w:tc>
        <w:tc>
          <w:tcPr>
            <w:tcW w:w="900" w:type="dxa"/>
            <w:shd w:val="clear" w:color="auto" w:fill="auto"/>
            <w:vAlign w:val="center"/>
          </w:tcPr>
          <w:p>
            <w:pPr>
              <w:jc w:val="center"/>
              <w:rPr>
                <w:rFonts w:ascii="宋体" w:hAnsi="宋体"/>
                <w:sz w:val="18"/>
                <w:szCs w:val="18"/>
              </w:rPr>
            </w:pPr>
            <w:r>
              <w:rPr>
                <w:rFonts w:hint="eastAsia" w:ascii="宋体" w:hAnsi="宋体"/>
                <w:sz w:val="18"/>
                <w:szCs w:val="18"/>
              </w:rPr>
              <w:t>一般公共预算</w:t>
            </w:r>
          </w:p>
        </w:tc>
        <w:tc>
          <w:tcPr>
            <w:tcW w:w="900" w:type="dxa"/>
            <w:shd w:val="clear" w:color="auto" w:fill="auto"/>
            <w:vAlign w:val="center"/>
          </w:tcPr>
          <w:p>
            <w:pPr>
              <w:jc w:val="center"/>
              <w:rPr>
                <w:rFonts w:ascii="宋体" w:hAnsi="宋体"/>
                <w:sz w:val="18"/>
                <w:szCs w:val="18"/>
              </w:rPr>
            </w:pPr>
            <w:r>
              <w:rPr>
                <w:rFonts w:hint="eastAsia" w:ascii="宋体" w:hAnsi="宋体"/>
                <w:sz w:val="18"/>
                <w:szCs w:val="18"/>
              </w:rPr>
              <w:t>上级一般公共预算安排的转移支付</w:t>
            </w:r>
          </w:p>
        </w:tc>
        <w:tc>
          <w:tcPr>
            <w:tcW w:w="900" w:type="dxa"/>
            <w:shd w:val="clear" w:color="auto" w:fill="auto"/>
            <w:vAlign w:val="center"/>
          </w:tcPr>
          <w:p>
            <w:pPr>
              <w:jc w:val="center"/>
              <w:rPr>
                <w:rFonts w:ascii="宋体" w:hAnsi="宋体"/>
                <w:sz w:val="18"/>
                <w:szCs w:val="18"/>
              </w:rPr>
            </w:pPr>
            <w:r>
              <w:rPr>
                <w:rFonts w:hint="eastAsia" w:ascii="宋体" w:hAnsi="宋体"/>
                <w:sz w:val="18"/>
                <w:szCs w:val="18"/>
              </w:rPr>
              <w:t>政府性基金预算</w:t>
            </w:r>
          </w:p>
        </w:tc>
        <w:tc>
          <w:tcPr>
            <w:tcW w:w="900" w:type="dxa"/>
            <w:shd w:val="clear" w:color="auto" w:fill="auto"/>
            <w:vAlign w:val="center"/>
          </w:tcPr>
          <w:p>
            <w:pPr>
              <w:jc w:val="center"/>
              <w:rPr>
                <w:rFonts w:ascii="宋体" w:hAnsi="宋体"/>
                <w:sz w:val="18"/>
                <w:szCs w:val="18"/>
              </w:rPr>
            </w:pPr>
            <w:r>
              <w:rPr>
                <w:rFonts w:hint="eastAsia" w:ascii="宋体" w:hAnsi="宋体"/>
                <w:sz w:val="18"/>
                <w:szCs w:val="18"/>
              </w:rPr>
              <w:t>上级政府性基金安排的转移支付</w:t>
            </w:r>
          </w:p>
        </w:tc>
        <w:tc>
          <w:tcPr>
            <w:tcW w:w="900" w:type="dxa"/>
            <w:shd w:val="clear" w:color="auto" w:fill="auto"/>
            <w:vAlign w:val="center"/>
          </w:tcPr>
          <w:p>
            <w:pPr>
              <w:jc w:val="center"/>
              <w:rPr>
                <w:rFonts w:ascii="宋体" w:hAnsi="宋体"/>
                <w:sz w:val="18"/>
                <w:szCs w:val="18"/>
              </w:rPr>
            </w:pPr>
            <w:r>
              <w:rPr>
                <w:rFonts w:hint="eastAsia" w:ascii="宋体" w:hAnsi="宋体"/>
                <w:sz w:val="18"/>
                <w:szCs w:val="18"/>
              </w:rPr>
              <w:t>国有资本经营预算</w:t>
            </w:r>
          </w:p>
        </w:tc>
        <w:tc>
          <w:tcPr>
            <w:tcW w:w="900" w:type="dxa"/>
            <w:shd w:val="clear" w:color="auto" w:fill="auto"/>
            <w:vAlign w:val="center"/>
          </w:tcPr>
          <w:p>
            <w:pPr>
              <w:jc w:val="center"/>
              <w:rPr>
                <w:rFonts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pPr>
              <w:jc w:val="center"/>
              <w:rPr>
                <w:rFonts w:ascii="宋体" w:hAnsi="宋体"/>
                <w:sz w:val="18"/>
                <w:szCs w:val="18"/>
              </w:rPr>
            </w:pPr>
          </w:p>
        </w:tc>
        <w:tc>
          <w:tcPr>
            <w:tcW w:w="900" w:type="dxa"/>
            <w:vMerge w:val="continue"/>
            <w:shd w:val="clear" w:color="auto" w:fill="auto"/>
          </w:tcPr>
          <w:p>
            <w:pPr>
              <w:jc w:val="center"/>
              <w:rPr>
                <w:rFonts w:ascii="宋体" w:hAnsi="宋体"/>
                <w:sz w:val="18"/>
                <w:szCs w:val="18"/>
              </w:rPr>
            </w:pPr>
          </w:p>
        </w:tc>
        <w:tc>
          <w:tcPr>
            <w:tcW w:w="900" w:type="dxa"/>
            <w:vMerge w:val="continue"/>
            <w:shd w:val="clear" w:color="auto" w:fill="auto"/>
          </w:tcPr>
          <w:p>
            <w:pPr>
              <w:jc w:val="center"/>
              <w:rPr>
                <w:rFonts w:ascii="宋体" w:hAnsi="宋体"/>
                <w:sz w:val="18"/>
                <w:szCs w:val="18"/>
              </w:rPr>
            </w:pPr>
          </w:p>
        </w:tc>
        <w:tc>
          <w:tcPr>
            <w:tcW w:w="900" w:type="dxa"/>
            <w:vMerge w:val="continue"/>
            <w:shd w:val="clear" w:color="auto" w:fill="auto"/>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205</w:t>
            </w:r>
          </w:p>
        </w:tc>
        <w:tc>
          <w:tcPr>
            <w:tcW w:w="260" w:type="dxa"/>
            <w:shd w:val="clear" w:color="auto" w:fill="auto"/>
            <w:vAlign w:val="center"/>
          </w:tcPr>
          <w:p>
            <w:pPr>
              <w:jc w:val="center"/>
              <w:rPr>
                <w:rFonts w:ascii="宋体" w:hAnsi="宋体"/>
                <w:b/>
                <w:sz w:val="18"/>
                <w:szCs w:val="18"/>
              </w:rPr>
            </w:pPr>
          </w:p>
        </w:tc>
        <w:tc>
          <w:tcPr>
            <w:tcW w:w="260" w:type="dxa"/>
            <w:shd w:val="clear" w:color="auto" w:fill="auto"/>
            <w:vAlign w:val="center"/>
          </w:tcPr>
          <w:p>
            <w:pPr>
              <w:jc w:val="center"/>
              <w:rPr>
                <w:rFonts w:ascii="宋体" w:hAnsi="宋体"/>
                <w:b/>
                <w:sz w:val="18"/>
                <w:szCs w:val="18"/>
              </w:rPr>
            </w:pPr>
          </w:p>
        </w:tc>
        <w:tc>
          <w:tcPr>
            <w:tcW w:w="2500" w:type="dxa"/>
            <w:shd w:val="clear" w:color="auto" w:fill="auto"/>
            <w:vAlign w:val="center"/>
          </w:tcPr>
          <w:p>
            <w:pPr>
              <w:jc w:val="left"/>
              <w:rPr>
                <w:rFonts w:ascii="宋体" w:hAnsi="宋体"/>
                <w:b/>
                <w:sz w:val="18"/>
                <w:szCs w:val="18"/>
              </w:rPr>
            </w:pPr>
            <w:r>
              <w:rPr>
                <w:rFonts w:hint="eastAsia" w:ascii="宋体" w:hAnsi="宋体"/>
                <w:b/>
                <w:color w:val="000000"/>
                <w:sz w:val="15"/>
                <w:szCs w:val="15"/>
              </w:rPr>
              <w:t>教育支出</w:t>
            </w:r>
          </w:p>
        </w:tc>
        <w:tc>
          <w:tcPr>
            <w:tcW w:w="1140" w:type="dxa"/>
            <w:shd w:val="clear" w:color="auto" w:fill="auto"/>
            <w:vAlign w:val="center"/>
          </w:tcPr>
          <w:p>
            <w:pPr>
              <w:jc w:val="right"/>
              <w:rPr>
                <w:rFonts w:ascii="宋体" w:hAnsi="宋体"/>
                <w:b/>
                <w:sz w:val="18"/>
                <w:szCs w:val="18"/>
              </w:rPr>
            </w:pPr>
            <w:r>
              <w:rPr>
                <w:rFonts w:hint="eastAsia" w:ascii="宋体" w:hAnsi="宋体"/>
                <w:b/>
                <w:color w:val="000000"/>
                <w:sz w:val="15"/>
                <w:szCs w:val="15"/>
              </w:rPr>
              <w:t>2,380.75</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1,244.75</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1,244.75</w:t>
            </w:r>
          </w:p>
        </w:tc>
        <w:tc>
          <w:tcPr>
            <w:tcW w:w="900" w:type="dxa"/>
            <w:shd w:val="clear" w:color="auto" w:fill="auto"/>
            <w:vAlign w:val="center"/>
          </w:tcPr>
          <w:p>
            <w:pPr>
              <w:jc w:val="right"/>
              <w:rPr>
                <w:rFonts w:ascii="宋体" w:hAnsi="宋体"/>
                <w:b/>
                <w:sz w:val="15"/>
                <w:szCs w:val="15"/>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1,136.00</w:t>
            </w:r>
          </w:p>
        </w:tc>
        <w:tc>
          <w:tcPr>
            <w:tcW w:w="900" w:type="dxa"/>
            <w:shd w:val="clear" w:color="auto" w:fill="auto"/>
            <w:vAlign w:val="center"/>
          </w:tcPr>
          <w:p>
            <w:pPr>
              <w:jc w:val="right"/>
              <w:rPr>
                <w:rFonts w:ascii="宋体" w:hAnsi="宋体"/>
                <w:b/>
                <w:color w:val="000000"/>
                <w:sz w:val="18"/>
                <w:szCs w:val="18"/>
              </w:rPr>
            </w:pPr>
          </w:p>
        </w:tc>
        <w:tc>
          <w:tcPr>
            <w:tcW w:w="900" w:type="dxa"/>
            <w:shd w:val="clear" w:color="auto" w:fill="auto"/>
            <w:vAlign w:val="center"/>
          </w:tcPr>
          <w:p>
            <w:pPr>
              <w:jc w:val="right"/>
              <w:rPr>
                <w:rFonts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205</w:t>
            </w:r>
          </w:p>
        </w:tc>
        <w:tc>
          <w:tcPr>
            <w:tcW w:w="260" w:type="dxa"/>
            <w:shd w:val="clear" w:color="auto" w:fill="auto"/>
            <w:vAlign w:val="center"/>
          </w:tcPr>
          <w:p>
            <w:pPr>
              <w:jc w:val="center"/>
              <w:rPr>
                <w:rFonts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ascii="宋体" w:hAnsi="宋体"/>
                <w:b/>
                <w:sz w:val="18"/>
                <w:szCs w:val="18"/>
              </w:rPr>
            </w:pPr>
          </w:p>
        </w:tc>
        <w:tc>
          <w:tcPr>
            <w:tcW w:w="2500"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普通教育</w:t>
            </w:r>
          </w:p>
        </w:tc>
        <w:tc>
          <w:tcPr>
            <w:tcW w:w="1140" w:type="dxa"/>
            <w:shd w:val="clear" w:color="auto" w:fill="auto"/>
            <w:vAlign w:val="center"/>
          </w:tcPr>
          <w:p>
            <w:pPr>
              <w:jc w:val="right"/>
              <w:rPr>
                <w:rFonts w:ascii="宋体" w:hAnsi="宋体"/>
                <w:b/>
                <w:sz w:val="18"/>
                <w:szCs w:val="18"/>
              </w:rPr>
            </w:pPr>
            <w:r>
              <w:rPr>
                <w:rFonts w:hint="eastAsia" w:ascii="宋体" w:hAnsi="宋体"/>
                <w:b/>
                <w:color w:val="000000"/>
                <w:sz w:val="15"/>
                <w:szCs w:val="15"/>
              </w:rPr>
              <w:t>2,380.75</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1,244.75</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1,244.75</w:t>
            </w:r>
          </w:p>
        </w:tc>
        <w:tc>
          <w:tcPr>
            <w:tcW w:w="900" w:type="dxa"/>
            <w:shd w:val="clear" w:color="auto" w:fill="auto"/>
            <w:vAlign w:val="center"/>
          </w:tcPr>
          <w:p>
            <w:pPr>
              <w:jc w:val="right"/>
              <w:rPr>
                <w:rFonts w:ascii="宋体" w:hAnsi="宋体"/>
                <w:b/>
                <w:sz w:val="15"/>
                <w:szCs w:val="15"/>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1,136.00</w:t>
            </w:r>
          </w:p>
        </w:tc>
        <w:tc>
          <w:tcPr>
            <w:tcW w:w="900" w:type="dxa"/>
            <w:shd w:val="clear" w:color="auto" w:fill="auto"/>
            <w:vAlign w:val="center"/>
          </w:tcPr>
          <w:p>
            <w:pPr>
              <w:jc w:val="right"/>
              <w:rPr>
                <w:rFonts w:ascii="宋体" w:hAnsi="宋体"/>
                <w:b/>
                <w:color w:val="000000"/>
                <w:sz w:val="18"/>
                <w:szCs w:val="18"/>
              </w:rPr>
            </w:pPr>
          </w:p>
        </w:tc>
        <w:tc>
          <w:tcPr>
            <w:tcW w:w="900" w:type="dxa"/>
            <w:shd w:val="clear" w:color="auto" w:fill="auto"/>
            <w:vAlign w:val="center"/>
          </w:tcPr>
          <w:p>
            <w:pPr>
              <w:jc w:val="right"/>
              <w:rPr>
                <w:rFonts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sz w:val="18"/>
                <w:szCs w:val="18"/>
              </w:rPr>
            </w:pPr>
            <w:r>
              <w:rPr>
                <w:rFonts w:hint="eastAsia" w:ascii="宋体" w:hAnsi="宋体"/>
                <w:color w:val="000000"/>
                <w:sz w:val="15"/>
                <w:szCs w:val="15"/>
              </w:rPr>
              <w:t>205</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小学教育</w:t>
            </w:r>
          </w:p>
        </w:tc>
        <w:tc>
          <w:tcPr>
            <w:tcW w:w="1140" w:type="dxa"/>
            <w:shd w:val="clear" w:color="auto" w:fill="auto"/>
            <w:vAlign w:val="center"/>
          </w:tcPr>
          <w:p>
            <w:pPr>
              <w:jc w:val="right"/>
              <w:rPr>
                <w:rFonts w:ascii="宋体" w:hAnsi="宋体"/>
                <w:sz w:val="18"/>
                <w:szCs w:val="18"/>
              </w:rPr>
            </w:pPr>
            <w:r>
              <w:rPr>
                <w:rFonts w:hint="eastAsia" w:ascii="宋体" w:hAnsi="宋体"/>
                <w:color w:val="000000"/>
                <w:sz w:val="15"/>
                <w:szCs w:val="15"/>
              </w:rPr>
              <w:t>2,380.75</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1,244.75</w:t>
            </w: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1,244.75</w:t>
            </w:r>
          </w:p>
        </w:tc>
        <w:tc>
          <w:tcPr>
            <w:tcW w:w="900" w:type="dxa"/>
            <w:shd w:val="clear" w:color="auto" w:fill="auto"/>
            <w:vAlign w:val="center"/>
          </w:tcPr>
          <w:p>
            <w:pPr>
              <w:jc w:val="right"/>
              <w:rPr>
                <w:rFonts w:ascii="宋体" w:hAnsi="宋体"/>
                <w:sz w:val="15"/>
                <w:szCs w:val="15"/>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p>
        </w:tc>
        <w:tc>
          <w:tcPr>
            <w:tcW w:w="900" w:type="dxa"/>
            <w:shd w:val="clear" w:color="auto" w:fill="auto"/>
            <w:vAlign w:val="center"/>
          </w:tcPr>
          <w:p>
            <w:pPr>
              <w:jc w:val="right"/>
              <w:rPr>
                <w:rFonts w:ascii="宋体" w:hAnsi="宋体"/>
                <w:sz w:val="18"/>
                <w:szCs w:val="18"/>
              </w:rPr>
            </w:pPr>
            <w:r>
              <w:rPr>
                <w:rFonts w:hint="eastAsia" w:ascii="宋体" w:hAnsi="宋体"/>
                <w:color w:val="000000"/>
                <w:sz w:val="15"/>
                <w:szCs w:val="15"/>
              </w:rPr>
              <w:t>1,136.00</w:t>
            </w:r>
          </w:p>
        </w:tc>
        <w:tc>
          <w:tcPr>
            <w:tcW w:w="900" w:type="dxa"/>
            <w:shd w:val="clear" w:color="auto" w:fill="auto"/>
            <w:vAlign w:val="center"/>
          </w:tcPr>
          <w:p>
            <w:pPr>
              <w:jc w:val="right"/>
              <w:rPr>
                <w:rFonts w:ascii="宋体" w:hAnsi="宋体"/>
                <w:color w:val="000000"/>
                <w:sz w:val="18"/>
                <w:szCs w:val="18"/>
              </w:rPr>
            </w:pPr>
          </w:p>
        </w:tc>
        <w:tc>
          <w:tcPr>
            <w:tcW w:w="9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ascii="宋体" w:hAnsi="宋体"/>
                <w:b/>
                <w:sz w:val="18"/>
                <w:szCs w:val="18"/>
              </w:rPr>
            </w:pPr>
          </w:p>
        </w:tc>
        <w:tc>
          <w:tcPr>
            <w:tcW w:w="260" w:type="dxa"/>
            <w:shd w:val="clear" w:color="auto" w:fill="auto"/>
            <w:vAlign w:val="center"/>
          </w:tcPr>
          <w:p>
            <w:pPr>
              <w:jc w:val="center"/>
              <w:rPr>
                <w:rFonts w:ascii="宋体" w:hAnsi="宋体"/>
                <w:b/>
                <w:sz w:val="18"/>
                <w:szCs w:val="18"/>
              </w:rPr>
            </w:pPr>
          </w:p>
        </w:tc>
        <w:tc>
          <w:tcPr>
            <w:tcW w:w="260" w:type="dxa"/>
            <w:shd w:val="clear" w:color="auto" w:fill="auto"/>
            <w:vAlign w:val="center"/>
          </w:tcPr>
          <w:p>
            <w:pPr>
              <w:jc w:val="center"/>
              <w:rPr>
                <w:rFonts w:ascii="宋体" w:hAnsi="宋体"/>
                <w:b/>
                <w:sz w:val="18"/>
                <w:szCs w:val="18"/>
              </w:rPr>
            </w:pPr>
          </w:p>
        </w:tc>
        <w:tc>
          <w:tcPr>
            <w:tcW w:w="2500" w:type="dxa"/>
            <w:shd w:val="clear" w:color="auto" w:fill="auto"/>
            <w:vAlign w:val="center"/>
          </w:tcPr>
          <w:p>
            <w:pPr>
              <w:jc w:val="center"/>
              <w:rPr>
                <w:rFonts w:ascii="宋体" w:hAnsi="宋体"/>
                <w:b/>
                <w:sz w:val="18"/>
                <w:szCs w:val="18"/>
              </w:rPr>
            </w:pPr>
            <w:r>
              <w:rPr>
                <w:rFonts w:hint="eastAsia" w:ascii="宋体" w:hAnsi="宋体"/>
                <w:b/>
                <w:color w:val="000000"/>
                <w:sz w:val="15"/>
                <w:szCs w:val="15"/>
              </w:rPr>
              <w:t>总计</w:t>
            </w:r>
          </w:p>
        </w:tc>
        <w:tc>
          <w:tcPr>
            <w:tcW w:w="1140" w:type="dxa"/>
            <w:shd w:val="clear" w:color="auto" w:fill="auto"/>
            <w:vAlign w:val="center"/>
          </w:tcPr>
          <w:p>
            <w:pPr>
              <w:jc w:val="right"/>
              <w:rPr>
                <w:rFonts w:ascii="宋体" w:hAnsi="宋体"/>
                <w:b/>
                <w:sz w:val="18"/>
                <w:szCs w:val="18"/>
              </w:rPr>
            </w:pPr>
            <w:r>
              <w:rPr>
                <w:rFonts w:hint="eastAsia" w:ascii="宋体" w:hAnsi="宋体"/>
                <w:b/>
                <w:color w:val="000000"/>
                <w:sz w:val="15"/>
                <w:szCs w:val="15"/>
              </w:rPr>
              <w:t>2,380.75</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1,244.75</w:t>
            </w: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1,244.75</w:t>
            </w:r>
          </w:p>
        </w:tc>
        <w:tc>
          <w:tcPr>
            <w:tcW w:w="900" w:type="dxa"/>
            <w:shd w:val="clear" w:color="auto" w:fill="auto"/>
            <w:vAlign w:val="center"/>
          </w:tcPr>
          <w:p>
            <w:pPr>
              <w:jc w:val="right"/>
              <w:rPr>
                <w:rFonts w:ascii="宋体" w:hAnsi="宋体"/>
                <w:b/>
                <w:sz w:val="15"/>
                <w:szCs w:val="15"/>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p>
        </w:tc>
        <w:tc>
          <w:tcPr>
            <w:tcW w:w="900" w:type="dxa"/>
            <w:shd w:val="clear" w:color="auto" w:fill="auto"/>
            <w:vAlign w:val="center"/>
          </w:tcPr>
          <w:p>
            <w:pPr>
              <w:jc w:val="right"/>
              <w:rPr>
                <w:rFonts w:ascii="宋体" w:hAnsi="宋体"/>
                <w:b/>
                <w:sz w:val="18"/>
                <w:szCs w:val="18"/>
              </w:rPr>
            </w:pPr>
            <w:r>
              <w:rPr>
                <w:rFonts w:hint="eastAsia" w:ascii="宋体" w:hAnsi="宋体"/>
                <w:b/>
                <w:color w:val="000000"/>
                <w:sz w:val="15"/>
                <w:szCs w:val="15"/>
              </w:rPr>
              <w:t>1,136.00</w:t>
            </w:r>
          </w:p>
        </w:tc>
        <w:tc>
          <w:tcPr>
            <w:tcW w:w="900" w:type="dxa"/>
            <w:shd w:val="clear" w:color="auto" w:fill="auto"/>
            <w:vAlign w:val="center"/>
          </w:tcPr>
          <w:p>
            <w:pPr>
              <w:jc w:val="right"/>
              <w:rPr>
                <w:rFonts w:ascii="宋体" w:hAnsi="宋体"/>
                <w:b/>
                <w:color w:val="000000"/>
                <w:sz w:val="18"/>
                <w:szCs w:val="18"/>
              </w:rPr>
            </w:pPr>
          </w:p>
        </w:tc>
        <w:tc>
          <w:tcPr>
            <w:tcW w:w="900" w:type="dxa"/>
            <w:shd w:val="clear" w:color="auto" w:fill="auto"/>
            <w:vAlign w:val="center"/>
          </w:tcPr>
          <w:p>
            <w:pPr>
              <w:jc w:val="right"/>
              <w:rPr>
                <w:rFonts w:ascii="宋体" w:hAnsi="宋体"/>
                <w:b/>
                <w:color w:val="000000"/>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表3</w:t>
      </w:r>
    </w:p>
    <w:p>
      <w:pPr>
        <w:jc w:val="center"/>
        <w:rPr>
          <w:rFonts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编制部门：呼图壁县第六中学</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169" w:type="dxa"/>
            <w:vMerge w:val="restart"/>
            <w:shd w:val="clear" w:color="auto" w:fill="auto"/>
            <w:vAlign w:val="center"/>
          </w:tcPr>
          <w:p>
            <w:pPr>
              <w:jc w:val="center"/>
              <w:rPr>
                <w:sz w:val="18"/>
                <w:szCs w:val="18"/>
              </w:rPr>
            </w:pPr>
            <w:r>
              <w:rPr>
                <w:rFonts w:hint="eastAsia"/>
                <w:sz w:val="18"/>
                <w:szCs w:val="18"/>
              </w:rPr>
              <w:t>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205</w:t>
            </w: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left"/>
              <w:rPr>
                <w:rFonts w:ascii="宋体" w:hAnsi="宋体"/>
                <w:b/>
                <w:sz w:val="18"/>
                <w:szCs w:val="18"/>
              </w:rPr>
            </w:pPr>
            <w:r>
              <w:rPr>
                <w:rFonts w:hint="eastAsia" w:ascii="宋体" w:hAnsi="宋体"/>
                <w:b/>
                <w:color w:val="000000"/>
                <w:sz w:val="18"/>
                <w:szCs w:val="18"/>
              </w:rPr>
              <w:t>教育支出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2,380.75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2,380.75</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205</w:t>
            </w:r>
          </w:p>
        </w:tc>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普通教育</w:t>
            </w:r>
          </w:p>
        </w:tc>
        <w:tc>
          <w:tcPr>
            <w:tcW w:w="340" w:type="dxa"/>
            <w:shd w:val="clear" w:color="auto" w:fill="auto"/>
            <w:vAlign w:val="center"/>
          </w:tcPr>
          <w:p>
            <w:pPr>
              <w:jc w:val="right"/>
              <w:rPr>
                <w:b/>
                <w:sz w:val="18"/>
                <w:szCs w:val="18"/>
              </w:rPr>
            </w:pPr>
            <w:r>
              <w:rPr>
                <w:rFonts w:hint="eastAsia" w:ascii="宋体" w:hAnsi="宋体"/>
                <w:b/>
                <w:color w:val="000000"/>
                <w:sz w:val="18"/>
                <w:szCs w:val="18"/>
              </w:rPr>
              <w:t>2,380.75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2,380.75</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205</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小学教育</w:t>
            </w:r>
          </w:p>
        </w:tc>
        <w:tc>
          <w:tcPr>
            <w:tcW w:w="340" w:type="dxa"/>
            <w:shd w:val="clear" w:color="auto" w:fill="auto"/>
            <w:vAlign w:val="center"/>
          </w:tcPr>
          <w:p>
            <w:pPr>
              <w:jc w:val="right"/>
              <w:rPr>
                <w:sz w:val="18"/>
                <w:szCs w:val="18"/>
              </w:rPr>
            </w:pPr>
            <w:r>
              <w:rPr>
                <w:rFonts w:hint="eastAsia" w:ascii="宋体" w:hAnsi="宋体"/>
                <w:color w:val="000000"/>
                <w:sz w:val="18"/>
                <w:szCs w:val="18"/>
              </w:rPr>
              <w:t>2,380.75</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2,380.75</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center"/>
              <w:rPr>
                <w:rFonts w:ascii="宋体" w:hAnsi="宋体"/>
                <w:b/>
                <w:sz w:val="18"/>
                <w:szCs w:val="18"/>
              </w:rPr>
            </w:pPr>
          </w:p>
        </w:tc>
        <w:tc>
          <w:tcPr>
            <w:tcW w:w="340" w:type="dxa"/>
            <w:shd w:val="clear" w:color="auto" w:fill="auto"/>
            <w:vAlign w:val="center"/>
          </w:tcPr>
          <w:p>
            <w:pPr>
              <w:jc w:val="center"/>
              <w:rPr>
                <w:rFonts w:ascii="宋体" w:hAnsi="宋体"/>
                <w:b/>
                <w:sz w:val="18"/>
                <w:szCs w:val="18"/>
              </w:rPr>
            </w:pPr>
            <w:r>
              <w:rPr>
                <w:rFonts w:hint="eastAsia" w:ascii="宋体" w:hAnsi="宋体"/>
                <w:b/>
                <w:color w:val="000000"/>
                <w:sz w:val="18"/>
                <w:szCs w:val="18"/>
              </w:rPr>
              <w:t>总计</w:t>
            </w:r>
          </w:p>
        </w:tc>
        <w:tc>
          <w:tcPr>
            <w:tcW w:w="340" w:type="dxa"/>
            <w:shd w:val="clear" w:color="auto" w:fill="auto"/>
            <w:vAlign w:val="center"/>
          </w:tcPr>
          <w:p>
            <w:pPr>
              <w:jc w:val="right"/>
              <w:rPr>
                <w:b/>
                <w:sz w:val="18"/>
                <w:szCs w:val="18"/>
              </w:rPr>
            </w:pPr>
            <w:r>
              <w:rPr>
                <w:rFonts w:hint="eastAsia" w:ascii="宋体" w:hAnsi="宋体"/>
                <w:b/>
                <w:color w:val="000000"/>
                <w:sz w:val="18"/>
                <w:szCs w:val="18"/>
              </w:rPr>
              <w:t>2,380.75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2,380.75</w:t>
            </w:r>
          </w:p>
        </w:tc>
        <w:tc>
          <w:tcPr>
            <w:tcW w:w="340" w:type="dxa"/>
            <w:shd w:val="clear" w:color="auto" w:fill="auto"/>
            <w:vAlign w:val="center"/>
          </w:tcPr>
          <w:p>
            <w:pPr>
              <w:jc w:val="right"/>
              <w:rPr>
                <w:b/>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表4</w:t>
      </w:r>
    </w:p>
    <w:p>
      <w:pPr>
        <w:jc w:val="center"/>
        <w:rPr>
          <w:rFonts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编制部门：呼图壁县第六中学</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ascii="宋体" w:hAnsi="宋体"/>
                <w:color w:val="000000"/>
                <w:sz w:val="18"/>
                <w:szCs w:val="18"/>
              </w:rPr>
            </w:pPr>
            <w:r>
              <w:rPr>
                <w:rFonts w:hint="eastAsia" w:ascii="宋体" w:hAnsi="宋体"/>
                <w:b/>
                <w:color w:val="000000"/>
                <w:sz w:val="18"/>
                <w:szCs w:val="18"/>
              </w:rPr>
              <w:t>1,244.75</w:t>
            </w: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ascii="宋体" w:hAnsi="宋体"/>
                <w:color w:val="000000"/>
                <w:sz w:val="18"/>
                <w:szCs w:val="18"/>
              </w:rPr>
            </w:pPr>
          </w:p>
        </w:tc>
        <w:tc>
          <w:tcPr>
            <w:tcW w:w="1063" w:type="dxa"/>
            <w:gridSpan w:val="2"/>
            <w:shd w:val="clear" w:color="auto" w:fill="auto"/>
          </w:tcPr>
          <w:p>
            <w:pPr>
              <w:jc w:val="right"/>
              <w:rPr>
                <w:rFonts w:ascii="宋体" w:hAnsi="宋体"/>
                <w:color w:val="000000"/>
                <w:sz w:val="18"/>
                <w:szCs w:val="18"/>
              </w:rPr>
            </w:pPr>
          </w:p>
        </w:tc>
        <w:tc>
          <w:tcPr>
            <w:tcW w:w="1063" w:type="dxa"/>
            <w:gridSpan w:val="2"/>
            <w:shd w:val="clear" w:color="auto" w:fill="auto"/>
          </w:tcPr>
          <w:p>
            <w:pPr>
              <w:jc w:val="right"/>
              <w:rPr>
                <w:rFonts w:ascii="宋体" w:hAnsi="宋体"/>
                <w:color w:val="000000"/>
                <w:sz w:val="18"/>
                <w:szCs w:val="18"/>
              </w:rPr>
            </w:pPr>
          </w:p>
        </w:tc>
        <w:tc>
          <w:tcPr>
            <w:tcW w:w="1051"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ascii="宋体" w:hAnsi="宋体"/>
                <w:color w:val="000000"/>
                <w:sz w:val="18"/>
                <w:szCs w:val="18"/>
              </w:rPr>
            </w:pPr>
            <w:r>
              <w:rPr>
                <w:rFonts w:hint="eastAsia" w:ascii="宋体" w:hAnsi="宋体"/>
                <w:color w:val="000000"/>
                <w:sz w:val="18"/>
                <w:szCs w:val="18"/>
              </w:rPr>
              <w:t>1,244.75</w:t>
            </w: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ascii="宋体" w:hAnsi="宋体"/>
                <w:color w:val="000000"/>
                <w:sz w:val="18"/>
                <w:szCs w:val="18"/>
              </w:rPr>
            </w:pPr>
          </w:p>
        </w:tc>
        <w:tc>
          <w:tcPr>
            <w:tcW w:w="1063" w:type="dxa"/>
            <w:gridSpan w:val="2"/>
            <w:shd w:val="clear" w:color="auto" w:fill="auto"/>
          </w:tcPr>
          <w:p>
            <w:pPr>
              <w:jc w:val="right"/>
              <w:rPr>
                <w:rFonts w:ascii="宋体" w:hAnsi="宋体"/>
                <w:color w:val="000000"/>
                <w:sz w:val="18"/>
                <w:szCs w:val="18"/>
              </w:rPr>
            </w:pPr>
          </w:p>
        </w:tc>
        <w:tc>
          <w:tcPr>
            <w:tcW w:w="1063" w:type="dxa"/>
            <w:gridSpan w:val="2"/>
            <w:shd w:val="clear" w:color="auto" w:fill="auto"/>
          </w:tcPr>
          <w:p>
            <w:pPr>
              <w:jc w:val="right"/>
              <w:rPr>
                <w:rFonts w:ascii="宋体" w:hAnsi="宋体"/>
                <w:color w:val="000000"/>
                <w:sz w:val="18"/>
                <w:szCs w:val="18"/>
              </w:rPr>
            </w:pPr>
          </w:p>
        </w:tc>
        <w:tc>
          <w:tcPr>
            <w:tcW w:w="1051"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ascii="宋体" w:hAnsi="宋体"/>
                <w:color w:val="000000"/>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ascii="宋体" w:hAnsi="宋体"/>
                <w:color w:val="000000"/>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1,244.75</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1,244.75</w:t>
            </w: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234 抗疫特别国债安排的支出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1,244.75</w:t>
            </w:r>
          </w:p>
        </w:tc>
        <w:tc>
          <w:tcPr>
            <w:tcW w:w="2434" w:type="dxa"/>
            <w:shd w:val="clear" w:color="auto" w:fill="auto"/>
          </w:tcPr>
          <w:p>
            <w:pPr>
              <w:jc w:val="center"/>
              <w:rPr>
                <w:rFonts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1,244.75</w:t>
            </w:r>
          </w:p>
        </w:tc>
        <w:tc>
          <w:tcPr>
            <w:tcW w:w="1063" w:type="dxa"/>
            <w:gridSpan w:val="2"/>
            <w:shd w:val="clear" w:color="auto" w:fill="auto"/>
          </w:tcPr>
          <w:p>
            <w:pPr>
              <w:jc w:val="right"/>
              <w:rPr>
                <w:sz w:val="18"/>
                <w:szCs w:val="18"/>
              </w:rPr>
            </w:pPr>
            <w:r>
              <w:rPr>
                <w:rFonts w:hint="eastAsia" w:ascii="宋体" w:hAnsi="宋体"/>
                <w:b/>
                <w:color w:val="000000"/>
                <w:sz w:val="18"/>
                <w:szCs w:val="18"/>
              </w:rPr>
              <w:t>1,244.75</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编制部门：呼图壁县第六中学</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026"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教育支出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1,244.75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1,244.75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普通教育</w:t>
            </w:r>
          </w:p>
        </w:tc>
        <w:tc>
          <w:tcPr>
            <w:tcW w:w="1367" w:type="dxa"/>
            <w:shd w:val="clear" w:color="auto" w:fill="auto"/>
            <w:vAlign w:val="center"/>
          </w:tcPr>
          <w:p>
            <w:pPr>
              <w:jc w:val="right"/>
              <w:rPr>
                <w:b/>
                <w:sz w:val="18"/>
                <w:szCs w:val="18"/>
              </w:rPr>
            </w:pPr>
            <w:r>
              <w:rPr>
                <w:rFonts w:hint="eastAsia" w:ascii="宋体" w:hAnsi="宋体"/>
                <w:b/>
                <w:color w:val="000000"/>
                <w:sz w:val="18"/>
                <w:szCs w:val="18"/>
              </w:rPr>
              <w:t>1,244.75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1,244.75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小学教育</w:t>
            </w:r>
          </w:p>
        </w:tc>
        <w:tc>
          <w:tcPr>
            <w:tcW w:w="1367" w:type="dxa"/>
            <w:shd w:val="clear" w:color="auto" w:fill="auto"/>
            <w:vAlign w:val="center"/>
          </w:tcPr>
          <w:p>
            <w:pPr>
              <w:jc w:val="right"/>
              <w:rPr>
                <w:sz w:val="18"/>
                <w:szCs w:val="18"/>
              </w:rPr>
            </w:pPr>
            <w:r>
              <w:rPr>
                <w:rFonts w:hint="eastAsia" w:ascii="宋体" w:hAnsi="宋体"/>
                <w:color w:val="000000"/>
                <w:sz w:val="18"/>
                <w:szCs w:val="18"/>
              </w:rPr>
              <w:t>1,244.75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1,244.75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1,244.75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1,244.75</w:t>
            </w:r>
          </w:p>
        </w:tc>
        <w:tc>
          <w:tcPr>
            <w:tcW w:w="1427" w:type="dxa"/>
            <w:shd w:val="clear" w:color="auto" w:fill="auto"/>
            <w:vAlign w:val="center"/>
          </w:tcPr>
          <w:p>
            <w:pPr>
              <w:jc w:val="right"/>
              <w:rPr>
                <w:b/>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编制部门：呼图壁县第六中学</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科目代码</w:t>
            </w:r>
          </w:p>
        </w:tc>
        <w:tc>
          <w:tcPr>
            <w:tcW w:w="4593"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301</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工资福利支出</w:t>
            </w:r>
          </w:p>
        </w:tc>
        <w:tc>
          <w:tcPr>
            <w:tcW w:w="1367" w:type="dxa"/>
            <w:shd w:val="clear" w:color="auto" w:fill="auto"/>
            <w:vAlign w:val="center"/>
          </w:tcPr>
          <w:p>
            <w:pPr>
              <w:jc w:val="right"/>
              <w:rPr>
                <w:rFonts w:ascii="宋体" w:hAnsi="宋体"/>
                <w:b/>
                <w:sz w:val="18"/>
                <w:szCs w:val="18"/>
              </w:rPr>
            </w:pPr>
            <w:r>
              <w:rPr>
                <w:rFonts w:ascii="宋体" w:hAnsi="宋体"/>
                <w:b/>
                <w:sz w:val="18"/>
                <w:szCs w:val="18"/>
              </w:rPr>
              <w:t>1,100.55</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1,100.55</w:t>
            </w:r>
          </w:p>
        </w:tc>
        <w:tc>
          <w:tcPr>
            <w:tcW w:w="1427" w:type="dxa"/>
            <w:shd w:val="clear" w:color="auto" w:fill="auto"/>
            <w:vAlign w:val="center"/>
          </w:tcPr>
          <w:p>
            <w:pPr>
              <w:jc w:val="right"/>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基本工资</w:t>
            </w:r>
          </w:p>
        </w:tc>
        <w:tc>
          <w:tcPr>
            <w:tcW w:w="1367" w:type="dxa"/>
            <w:shd w:val="clear" w:color="auto" w:fill="auto"/>
            <w:vAlign w:val="center"/>
          </w:tcPr>
          <w:p>
            <w:pPr>
              <w:jc w:val="right"/>
              <w:rPr>
                <w:rFonts w:ascii="宋体" w:hAnsi="宋体"/>
                <w:sz w:val="18"/>
                <w:szCs w:val="18"/>
              </w:rPr>
            </w:pPr>
            <w:r>
              <w:rPr>
                <w:rFonts w:ascii="宋体" w:hAnsi="宋体"/>
                <w:sz w:val="18"/>
                <w:szCs w:val="18"/>
              </w:rPr>
              <w:t>323.59</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323.59</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津贴补贴</w:t>
            </w:r>
          </w:p>
        </w:tc>
        <w:tc>
          <w:tcPr>
            <w:tcW w:w="1367" w:type="dxa"/>
            <w:shd w:val="clear" w:color="auto" w:fill="auto"/>
            <w:vAlign w:val="center"/>
          </w:tcPr>
          <w:p>
            <w:pPr>
              <w:jc w:val="right"/>
              <w:rPr>
                <w:rFonts w:ascii="宋体" w:hAnsi="宋体"/>
                <w:sz w:val="18"/>
                <w:szCs w:val="18"/>
              </w:rPr>
            </w:pPr>
            <w:r>
              <w:rPr>
                <w:rFonts w:ascii="宋体" w:hAnsi="宋体"/>
                <w:sz w:val="18"/>
                <w:szCs w:val="18"/>
              </w:rPr>
              <w:t>75.89</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75.89</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奖金</w:t>
            </w:r>
          </w:p>
        </w:tc>
        <w:tc>
          <w:tcPr>
            <w:tcW w:w="1367" w:type="dxa"/>
            <w:shd w:val="clear" w:color="auto" w:fill="auto"/>
            <w:vAlign w:val="center"/>
          </w:tcPr>
          <w:p>
            <w:pPr>
              <w:jc w:val="right"/>
              <w:rPr>
                <w:rFonts w:ascii="宋体" w:hAnsi="宋体"/>
                <w:sz w:val="18"/>
                <w:szCs w:val="18"/>
              </w:rPr>
            </w:pPr>
            <w:r>
              <w:rPr>
                <w:rFonts w:ascii="宋体" w:hAnsi="宋体"/>
                <w:sz w:val="18"/>
                <w:szCs w:val="18"/>
              </w:rPr>
              <w:t>200.20</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200.20</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07</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绩效工资</w:t>
            </w:r>
          </w:p>
        </w:tc>
        <w:tc>
          <w:tcPr>
            <w:tcW w:w="1367" w:type="dxa"/>
            <w:shd w:val="clear" w:color="auto" w:fill="auto"/>
            <w:vAlign w:val="center"/>
          </w:tcPr>
          <w:p>
            <w:pPr>
              <w:jc w:val="right"/>
              <w:rPr>
                <w:rFonts w:ascii="宋体" w:hAnsi="宋体"/>
                <w:sz w:val="18"/>
                <w:szCs w:val="18"/>
              </w:rPr>
            </w:pPr>
            <w:r>
              <w:rPr>
                <w:rFonts w:ascii="宋体" w:hAnsi="宋体"/>
                <w:sz w:val="18"/>
                <w:szCs w:val="18"/>
              </w:rPr>
              <w:t>150.32</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150.32</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机关事业单位基本养老保险缴费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108.42</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108.42</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职业年金缴费</w:t>
            </w:r>
          </w:p>
        </w:tc>
        <w:tc>
          <w:tcPr>
            <w:tcW w:w="1367" w:type="dxa"/>
            <w:shd w:val="clear" w:color="auto" w:fill="auto"/>
            <w:vAlign w:val="center"/>
          </w:tcPr>
          <w:p>
            <w:pPr>
              <w:jc w:val="right"/>
              <w:rPr>
                <w:rFonts w:ascii="宋体" w:hAnsi="宋体"/>
                <w:sz w:val="18"/>
                <w:szCs w:val="18"/>
              </w:rPr>
            </w:pPr>
            <w:r>
              <w:rPr>
                <w:rFonts w:ascii="宋体" w:hAnsi="宋体"/>
                <w:sz w:val="18"/>
                <w:szCs w:val="18"/>
              </w:rPr>
              <w:t>54.21</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54.21</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10</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职工基本医疗保险缴费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64.37</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64.37</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公务员医疗补助缴费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27.10</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27.10</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其他社会保障缴费</w:t>
            </w:r>
          </w:p>
        </w:tc>
        <w:tc>
          <w:tcPr>
            <w:tcW w:w="1367" w:type="dxa"/>
            <w:shd w:val="clear" w:color="auto" w:fill="auto"/>
            <w:vAlign w:val="center"/>
          </w:tcPr>
          <w:p>
            <w:pPr>
              <w:jc w:val="right"/>
              <w:rPr>
                <w:rFonts w:ascii="宋体" w:hAnsi="宋体"/>
                <w:sz w:val="18"/>
                <w:szCs w:val="18"/>
              </w:rPr>
            </w:pPr>
            <w:r>
              <w:rPr>
                <w:rFonts w:ascii="宋体" w:hAnsi="宋体"/>
                <w:sz w:val="18"/>
                <w:szCs w:val="18"/>
              </w:rPr>
              <w:t>6.78</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6.78</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住房公积金</w:t>
            </w:r>
          </w:p>
        </w:tc>
        <w:tc>
          <w:tcPr>
            <w:tcW w:w="1367" w:type="dxa"/>
            <w:shd w:val="clear" w:color="auto" w:fill="auto"/>
            <w:vAlign w:val="center"/>
          </w:tcPr>
          <w:p>
            <w:pPr>
              <w:jc w:val="right"/>
              <w:rPr>
                <w:rFonts w:ascii="宋体" w:hAnsi="宋体"/>
                <w:sz w:val="18"/>
                <w:szCs w:val="18"/>
              </w:rPr>
            </w:pPr>
            <w:r>
              <w:rPr>
                <w:rFonts w:ascii="宋体" w:hAnsi="宋体"/>
                <w:sz w:val="18"/>
                <w:szCs w:val="18"/>
              </w:rPr>
              <w:t>89.66</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89.66</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302</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商品和服务支出</w:t>
            </w:r>
          </w:p>
        </w:tc>
        <w:tc>
          <w:tcPr>
            <w:tcW w:w="1367" w:type="dxa"/>
            <w:shd w:val="clear" w:color="auto" w:fill="auto"/>
            <w:vAlign w:val="center"/>
          </w:tcPr>
          <w:p>
            <w:pPr>
              <w:jc w:val="right"/>
              <w:rPr>
                <w:rFonts w:ascii="宋体" w:hAnsi="宋体"/>
                <w:b/>
                <w:sz w:val="18"/>
                <w:szCs w:val="18"/>
              </w:rPr>
            </w:pPr>
            <w:r>
              <w:rPr>
                <w:rFonts w:ascii="宋体" w:hAnsi="宋体"/>
                <w:b/>
                <w:sz w:val="18"/>
                <w:szCs w:val="18"/>
              </w:rPr>
              <w:t>58.53</w:t>
            </w:r>
          </w:p>
        </w:tc>
        <w:tc>
          <w:tcPr>
            <w:tcW w:w="1366" w:type="dxa"/>
            <w:gridSpan w:val="2"/>
            <w:shd w:val="clear" w:color="auto" w:fill="auto"/>
            <w:vAlign w:val="center"/>
          </w:tcPr>
          <w:p>
            <w:pPr>
              <w:jc w:val="right"/>
              <w:rPr>
                <w:rFonts w:ascii="宋体" w:hAnsi="宋体"/>
                <w:b/>
                <w:sz w:val="18"/>
                <w:szCs w:val="18"/>
              </w:rPr>
            </w:pPr>
          </w:p>
        </w:tc>
        <w:tc>
          <w:tcPr>
            <w:tcW w:w="1427" w:type="dxa"/>
            <w:shd w:val="clear" w:color="auto" w:fill="auto"/>
            <w:vAlign w:val="center"/>
          </w:tcPr>
          <w:p>
            <w:pPr>
              <w:jc w:val="right"/>
              <w:rPr>
                <w:rFonts w:ascii="宋体" w:hAnsi="宋体"/>
                <w:b/>
                <w:sz w:val="18"/>
                <w:szCs w:val="18"/>
              </w:rPr>
            </w:pPr>
            <w:r>
              <w:rPr>
                <w:rFonts w:ascii="宋体" w:hAnsi="宋体"/>
                <w:b/>
                <w:sz w:val="18"/>
                <w:szCs w:val="18"/>
              </w:rPr>
              <w:t>58.53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取暖费</w:t>
            </w:r>
          </w:p>
        </w:tc>
        <w:tc>
          <w:tcPr>
            <w:tcW w:w="1367" w:type="dxa"/>
            <w:shd w:val="clear" w:color="auto" w:fill="auto"/>
            <w:vAlign w:val="center"/>
          </w:tcPr>
          <w:p>
            <w:pPr>
              <w:jc w:val="right"/>
              <w:rPr>
                <w:rFonts w:ascii="宋体" w:hAnsi="宋体"/>
                <w:sz w:val="18"/>
                <w:szCs w:val="18"/>
              </w:rPr>
            </w:pPr>
            <w:r>
              <w:rPr>
                <w:rFonts w:ascii="宋体" w:hAnsi="宋体"/>
                <w:sz w:val="18"/>
                <w:szCs w:val="18"/>
              </w:rPr>
              <w:t>0.45</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16</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培训费</w:t>
            </w:r>
          </w:p>
        </w:tc>
        <w:tc>
          <w:tcPr>
            <w:tcW w:w="1367" w:type="dxa"/>
            <w:shd w:val="clear" w:color="auto" w:fill="auto"/>
            <w:vAlign w:val="center"/>
          </w:tcPr>
          <w:p>
            <w:pPr>
              <w:jc w:val="right"/>
              <w:rPr>
                <w:rFonts w:ascii="宋体" w:hAnsi="宋体"/>
                <w:sz w:val="18"/>
                <w:szCs w:val="18"/>
              </w:rPr>
            </w:pPr>
            <w:r>
              <w:rPr>
                <w:rFonts w:ascii="宋体" w:hAnsi="宋体"/>
                <w:sz w:val="18"/>
                <w:szCs w:val="18"/>
              </w:rPr>
              <w:t>1.87</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26</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劳务费</w:t>
            </w:r>
          </w:p>
        </w:tc>
        <w:tc>
          <w:tcPr>
            <w:tcW w:w="1367" w:type="dxa"/>
            <w:shd w:val="clear" w:color="auto" w:fill="auto"/>
            <w:vAlign w:val="center"/>
          </w:tcPr>
          <w:p>
            <w:pPr>
              <w:jc w:val="right"/>
              <w:rPr>
                <w:rFonts w:ascii="宋体" w:hAnsi="宋体"/>
                <w:sz w:val="18"/>
                <w:szCs w:val="18"/>
              </w:rPr>
            </w:pPr>
            <w:r>
              <w:rPr>
                <w:rFonts w:ascii="宋体" w:hAnsi="宋体"/>
                <w:sz w:val="18"/>
                <w:szCs w:val="18"/>
              </w:rPr>
              <w:t>43.20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43.20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28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工会经费</w:t>
            </w:r>
          </w:p>
        </w:tc>
        <w:tc>
          <w:tcPr>
            <w:tcW w:w="1367" w:type="dxa"/>
            <w:shd w:val="clear" w:color="auto" w:fill="auto"/>
            <w:vAlign w:val="center"/>
          </w:tcPr>
          <w:p>
            <w:pPr>
              <w:jc w:val="right"/>
              <w:rPr>
                <w:rFonts w:ascii="宋体" w:hAnsi="宋体"/>
                <w:sz w:val="18"/>
                <w:szCs w:val="18"/>
              </w:rPr>
            </w:pPr>
            <w:r>
              <w:rPr>
                <w:rFonts w:ascii="宋体" w:hAnsi="宋体"/>
                <w:sz w:val="18"/>
                <w:szCs w:val="18"/>
              </w:rPr>
              <w:t>13.01</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303</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对个人和家庭的补助</w:t>
            </w:r>
          </w:p>
        </w:tc>
        <w:tc>
          <w:tcPr>
            <w:tcW w:w="1367" w:type="dxa"/>
            <w:shd w:val="clear" w:color="auto" w:fill="auto"/>
            <w:vAlign w:val="center"/>
          </w:tcPr>
          <w:p>
            <w:pPr>
              <w:jc w:val="right"/>
              <w:rPr>
                <w:rFonts w:ascii="宋体" w:hAnsi="宋体"/>
                <w:b/>
                <w:sz w:val="18"/>
                <w:szCs w:val="18"/>
              </w:rPr>
            </w:pPr>
            <w:r>
              <w:rPr>
                <w:rFonts w:ascii="宋体" w:hAnsi="宋体"/>
                <w:b/>
                <w:sz w:val="18"/>
                <w:szCs w:val="18"/>
              </w:rPr>
              <w:t>85.67</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85.67</w:t>
            </w:r>
          </w:p>
        </w:tc>
        <w:tc>
          <w:tcPr>
            <w:tcW w:w="1427" w:type="dxa"/>
            <w:shd w:val="clear" w:color="auto" w:fill="auto"/>
            <w:vAlign w:val="center"/>
          </w:tcPr>
          <w:p>
            <w:pPr>
              <w:jc w:val="right"/>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退休费</w:t>
            </w:r>
          </w:p>
        </w:tc>
        <w:tc>
          <w:tcPr>
            <w:tcW w:w="1367" w:type="dxa"/>
            <w:shd w:val="clear" w:color="auto" w:fill="auto"/>
            <w:vAlign w:val="center"/>
          </w:tcPr>
          <w:p>
            <w:pPr>
              <w:jc w:val="right"/>
              <w:rPr>
                <w:rFonts w:ascii="宋体" w:hAnsi="宋体"/>
                <w:sz w:val="18"/>
                <w:szCs w:val="18"/>
              </w:rPr>
            </w:pPr>
            <w:r>
              <w:rPr>
                <w:rFonts w:ascii="宋体" w:hAnsi="宋体"/>
                <w:sz w:val="18"/>
                <w:szCs w:val="18"/>
              </w:rPr>
              <w:t>77.86</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77.86</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05</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生活补助</w:t>
            </w:r>
          </w:p>
        </w:tc>
        <w:tc>
          <w:tcPr>
            <w:tcW w:w="1367" w:type="dxa"/>
            <w:shd w:val="clear" w:color="auto" w:fill="auto"/>
            <w:vAlign w:val="center"/>
          </w:tcPr>
          <w:p>
            <w:pPr>
              <w:jc w:val="right"/>
              <w:rPr>
                <w:rFonts w:ascii="宋体" w:hAnsi="宋体"/>
                <w:sz w:val="18"/>
                <w:szCs w:val="18"/>
              </w:rPr>
            </w:pPr>
            <w:r>
              <w:rPr>
                <w:rFonts w:ascii="宋体" w:hAnsi="宋体"/>
                <w:sz w:val="18"/>
                <w:szCs w:val="18"/>
              </w:rPr>
              <w:t>0.04</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0.04</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奖励金</w:t>
            </w:r>
          </w:p>
        </w:tc>
        <w:tc>
          <w:tcPr>
            <w:tcW w:w="1367" w:type="dxa"/>
            <w:shd w:val="clear" w:color="auto" w:fill="auto"/>
            <w:vAlign w:val="center"/>
          </w:tcPr>
          <w:p>
            <w:pPr>
              <w:jc w:val="right"/>
              <w:rPr>
                <w:rFonts w:ascii="宋体" w:hAnsi="宋体"/>
                <w:sz w:val="18"/>
                <w:szCs w:val="18"/>
              </w:rPr>
            </w:pPr>
            <w:r>
              <w:rPr>
                <w:rFonts w:ascii="宋体" w:hAnsi="宋体"/>
                <w:sz w:val="18"/>
                <w:szCs w:val="18"/>
              </w:rPr>
              <w:t>7.77</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7.77</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center"/>
              <w:rPr>
                <w:rFonts w:ascii="宋体" w:hAnsi="宋体"/>
                <w:b/>
                <w:sz w:val="18"/>
                <w:szCs w:val="18"/>
              </w:rPr>
            </w:pPr>
            <w:r>
              <w:rPr>
                <w:rFonts w:ascii="宋体" w:hAnsi="宋体"/>
                <w:b/>
                <w:sz w:val="18"/>
                <w:szCs w:val="18"/>
              </w:rPr>
              <w:t>总计</w:t>
            </w:r>
          </w:p>
        </w:tc>
        <w:tc>
          <w:tcPr>
            <w:tcW w:w="1367" w:type="dxa"/>
            <w:shd w:val="clear" w:color="auto" w:fill="auto"/>
            <w:vAlign w:val="center"/>
          </w:tcPr>
          <w:p>
            <w:pPr>
              <w:jc w:val="right"/>
              <w:rPr>
                <w:rFonts w:ascii="宋体" w:hAnsi="宋体"/>
                <w:b/>
                <w:sz w:val="18"/>
                <w:szCs w:val="18"/>
              </w:rPr>
            </w:pPr>
            <w:r>
              <w:rPr>
                <w:rFonts w:ascii="宋体" w:hAnsi="宋体"/>
                <w:b/>
                <w:sz w:val="18"/>
                <w:szCs w:val="18"/>
              </w:rPr>
              <w:t>1,244.75</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1,186.22</w:t>
            </w:r>
          </w:p>
        </w:tc>
        <w:tc>
          <w:tcPr>
            <w:tcW w:w="1427" w:type="dxa"/>
            <w:shd w:val="clear" w:color="auto" w:fill="auto"/>
            <w:vAlign w:val="center"/>
          </w:tcPr>
          <w:p>
            <w:pPr>
              <w:jc w:val="right"/>
              <w:rPr>
                <w:rFonts w:ascii="宋体" w:hAnsi="宋体"/>
                <w:b/>
                <w:sz w:val="18"/>
                <w:szCs w:val="18"/>
              </w:rPr>
            </w:pPr>
            <w:r>
              <w:rPr>
                <w:rFonts w:ascii="宋体" w:hAnsi="宋体"/>
                <w:b/>
                <w:sz w:val="18"/>
                <w:szCs w:val="18"/>
              </w:rPr>
              <w:t>58.53</w:t>
            </w: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292"/>
        <w:gridCol w:w="253"/>
        <w:gridCol w:w="292"/>
        <w:gridCol w:w="2415"/>
        <w:gridCol w:w="2416"/>
        <w:gridCol w:w="824"/>
        <w:gridCol w:w="824"/>
        <w:gridCol w:w="824"/>
        <w:gridCol w:w="824"/>
        <w:gridCol w:w="824"/>
        <w:gridCol w:w="824"/>
        <w:gridCol w:w="824"/>
        <w:gridCol w:w="824"/>
        <w:gridCol w:w="824"/>
        <w:gridCol w:w="824"/>
        <w:gridCol w:w="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1748"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编制部门：呼图壁县第六中学</w:t>
            </w:r>
          </w:p>
        </w:tc>
        <w:tc>
          <w:tcPr>
            <w:tcW w:w="1700"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60" w:type="dxa"/>
            <w:gridSpan w:val="3"/>
            <w:shd w:val="clear" w:color="auto" w:fill="auto"/>
            <w:vAlign w:val="center"/>
          </w:tcPr>
          <w:p>
            <w:pPr>
              <w:jc w:val="center"/>
              <w:rPr>
                <w:sz w:val="18"/>
                <w:szCs w:val="18"/>
              </w:rPr>
            </w:pPr>
            <w:r>
              <w:rPr>
                <w:rFonts w:hint="eastAsia"/>
                <w:sz w:val="18"/>
                <w:szCs w:val="18"/>
              </w:rPr>
              <w:t>科目代码</w:t>
            </w:r>
          </w:p>
        </w:tc>
        <w:tc>
          <w:tcPr>
            <w:tcW w:w="2000" w:type="dxa"/>
            <w:vMerge w:val="restart"/>
            <w:shd w:val="clear" w:color="auto" w:fill="auto"/>
            <w:vAlign w:val="center"/>
          </w:tcPr>
          <w:p>
            <w:pPr>
              <w:jc w:val="center"/>
              <w:rPr>
                <w:sz w:val="18"/>
                <w:szCs w:val="18"/>
              </w:rPr>
            </w:pPr>
            <w:r>
              <w:rPr>
                <w:rFonts w:hint="eastAsia"/>
                <w:sz w:val="18"/>
                <w:szCs w:val="18"/>
              </w:rPr>
              <w:t>科目名称</w:t>
            </w:r>
          </w:p>
        </w:tc>
        <w:tc>
          <w:tcPr>
            <w:tcW w:w="2000" w:type="dxa"/>
            <w:vMerge w:val="restart"/>
            <w:shd w:val="clear" w:color="auto" w:fill="auto"/>
            <w:vAlign w:val="center"/>
          </w:tcPr>
          <w:p>
            <w:pPr>
              <w:jc w:val="center"/>
              <w:rPr>
                <w:sz w:val="18"/>
                <w:szCs w:val="18"/>
              </w:rPr>
            </w:pPr>
            <w:r>
              <w:rPr>
                <w:rFonts w:hint="eastAsia"/>
                <w:sz w:val="18"/>
                <w:szCs w:val="18"/>
              </w:rPr>
              <w:t>项目名称</w:t>
            </w:r>
          </w:p>
        </w:tc>
        <w:tc>
          <w:tcPr>
            <w:tcW w:w="850" w:type="dxa"/>
            <w:vMerge w:val="restart"/>
            <w:shd w:val="clear" w:color="auto" w:fill="auto"/>
            <w:vAlign w:val="center"/>
          </w:tcPr>
          <w:p>
            <w:pPr>
              <w:jc w:val="center"/>
              <w:rPr>
                <w:sz w:val="18"/>
                <w:szCs w:val="18"/>
              </w:rPr>
            </w:pPr>
            <w:r>
              <w:rPr>
                <w:rFonts w:hint="eastAsia"/>
                <w:sz w:val="18"/>
                <w:szCs w:val="18"/>
              </w:rPr>
              <w:t>项目支出合计</w:t>
            </w:r>
          </w:p>
        </w:tc>
        <w:tc>
          <w:tcPr>
            <w:tcW w:w="850" w:type="dxa"/>
            <w:vMerge w:val="restart"/>
            <w:shd w:val="clear" w:color="auto" w:fill="auto"/>
            <w:vAlign w:val="center"/>
          </w:tcPr>
          <w:p>
            <w:pPr>
              <w:jc w:val="center"/>
              <w:rPr>
                <w:sz w:val="18"/>
                <w:szCs w:val="18"/>
              </w:rPr>
            </w:pPr>
            <w:r>
              <w:rPr>
                <w:rFonts w:hint="eastAsia"/>
                <w:sz w:val="18"/>
                <w:szCs w:val="18"/>
              </w:rPr>
              <w:t>工资福利支出</w:t>
            </w:r>
          </w:p>
        </w:tc>
        <w:tc>
          <w:tcPr>
            <w:tcW w:w="850" w:type="dxa"/>
            <w:vMerge w:val="restart"/>
            <w:shd w:val="clear" w:color="auto" w:fill="auto"/>
            <w:vAlign w:val="center"/>
          </w:tcPr>
          <w:p>
            <w:pPr>
              <w:jc w:val="center"/>
              <w:rPr>
                <w:sz w:val="18"/>
                <w:szCs w:val="18"/>
              </w:rPr>
            </w:pPr>
            <w:r>
              <w:rPr>
                <w:rFonts w:hint="eastAsia"/>
                <w:sz w:val="18"/>
                <w:szCs w:val="18"/>
              </w:rPr>
              <w:t>商品和服务支出</w:t>
            </w:r>
          </w:p>
        </w:tc>
        <w:tc>
          <w:tcPr>
            <w:tcW w:w="850" w:type="dxa"/>
            <w:vMerge w:val="restart"/>
            <w:shd w:val="clear" w:color="auto" w:fill="auto"/>
            <w:vAlign w:val="center"/>
          </w:tcPr>
          <w:p>
            <w:pPr>
              <w:jc w:val="center"/>
              <w:rPr>
                <w:sz w:val="18"/>
                <w:szCs w:val="18"/>
              </w:rPr>
            </w:pPr>
            <w:r>
              <w:rPr>
                <w:rFonts w:hint="eastAsia"/>
                <w:sz w:val="18"/>
                <w:szCs w:val="18"/>
              </w:rPr>
              <w:t>对个人和家庭的补助</w:t>
            </w:r>
          </w:p>
        </w:tc>
        <w:tc>
          <w:tcPr>
            <w:tcW w:w="850" w:type="dxa"/>
            <w:vMerge w:val="restart"/>
            <w:shd w:val="clear" w:color="auto" w:fill="auto"/>
            <w:vAlign w:val="center"/>
          </w:tcPr>
          <w:p>
            <w:pPr>
              <w:jc w:val="center"/>
              <w:rPr>
                <w:sz w:val="18"/>
                <w:szCs w:val="18"/>
              </w:rPr>
            </w:pPr>
            <w:r>
              <w:rPr>
                <w:rFonts w:hint="eastAsia"/>
                <w:sz w:val="18"/>
                <w:szCs w:val="18"/>
              </w:rPr>
              <w:t>债务利息及费用支出</w:t>
            </w:r>
          </w:p>
        </w:tc>
        <w:tc>
          <w:tcPr>
            <w:tcW w:w="850" w:type="dxa"/>
            <w:vMerge w:val="restart"/>
            <w:shd w:val="clear" w:color="auto" w:fill="auto"/>
            <w:vAlign w:val="center"/>
          </w:tcPr>
          <w:p>
            <w:pPr>
              <w:jc w:val="center"/>
              <w:rPr>
                <w:sz w:val="18"/>
                <w:szCs w:val="18"/>
              </w:rPr>
            </w:pPr>
            <w:r>
              <w:rPr>
                <w:rFonts w:hint="eastAsia"/>
                <w:sz w:val="18"/>
                <w:szCs w:val="18"/>
              </w:rPr>
              <w:t>资本性支出（基本建设）</w:t>
            </w:r>
          </w:p>
        </w:tc>
        <w:tc>
          <w:tcPr>
            <w:tcW w:w="850" w:type="dxa"/>
            <w:vMerge w:val="restart"/>
            <w:shd w:val="clear" w:color="auto" w:fill="auto"/>
            <w:vAlign w:val="center"/>
          </w:tcPr>
          <w:p>
            <w:pPr>
              <w:jc w:val="center"/>
              <w:rPr>
                <w:sz w:val="18"/>
                <w:szCs w:val="18"/>
              </w:rPr>
            </w:pPr>
            <w:r>
              <w:rPr>
                <w:rFonts w:hint="eastAsia"/>
                <w:sz w:val="18"/>
                <w:szCs w:val="18"/>
              </w:rPr>
              <w:t>资本性支出</w:t>
            </w:r>
          </w:p>
        </w:tc>
        <w:tc>
          <w:tcPr>
            <w:tcW w:w="850" w:type="dxa"/>
            <w:vMerge w:val="restart"/>
            <w:shd w:val="clear" w:color="auto" w:fill="auto"/>
            <w:vAlign w:val="center"/>
          </w:tcPr>
          <w:p>
            <w:pPr>
              <w:jc w:val="center"/>
              <w:rPr>
                <w:sz w:val="18"/>
                <w:szCs w:val="18"/>
              </w:rPr>
            </w:pPr>
            <w:r>
              <w:rPr>
                <w:rFonts w:hint="eastAsia"/>
                <w:sz w:val="18"/>
                <w:szCs w:val="18"/>
              </w:rPr>
              <w:t>对企业补助（基本建设）</w:t>
            </w:r>
          </w:p>
        </w:tc>
        <w:tc>
          <w:tcPr>
            <w:tcW w:w="850" w:type="dxa"/>
            <w:vMerge w:val="restart"/>
            <w:shd w:val="clear" w:color="auto" w:fill="auto"/>
            <w:vAlign w:val="center"/>
          </w:tcPr>
          <w:p>
            <w:pPr>
              <w:jc w:val="center"/>
              <w:rPr>
                <w:sz w:val="18"/>
                <w:szCs w:val="18"/>
              </w:rPr>
            </w:pPr>
            <w:r>
              <w:rPr>
                <w:rFonts w:hint="eastAsia"/>
                <w:sz w:val="18"/>
                <w:szCs w:val="18"/>
              </w:rPr>
              <w:t>对企业补助</w:t>
            </w:r>
          </w:p>
        </w:tc>
        <w:tc>
          <w:tcPr>
            <w:tcW w:w="850" w:type="dxa"/>
            <w:vMerge w:val="restart"/>
            <w:shd w:val="clear" w:color="auto" w:fill="auto"/>
            <w:vAlign w:val="center"/>
          </w:tcPr>
          <w:p>
            <w:pPr>
              <w:jc w:val="center"/>
              <w:rPr>
                <w:sz w:val="18"/>
                <w:szCs w:val="18"/>
              </w:rPr>
            </w:pPr>
            <w:r>
              <w:rPr>
                <w:rFonts w:hint="eastAsia"/>
                <w:sz w:val="18"/>
                <w:szCs w:val="18"/>
              </w:rPr>
              <w:t>对社会保障基金补助</w:t>
            </w:r>
          </w:p>
        </w:tc>
        <w:tc>
          <w:tcPr>
            <w:tcW w:w="850"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260" w:type="dxa"/>
            <w:shd w:val="clear" w:color="auto" w:fill="auto"/>
            <w:vAlign w:val="center"/>
          </w:tcPr>
          <w:p>
            <w:pPr>
              <w:jc w:val="center"/>
              <w:rPr>
                <w:sz w:val="18"/>
                <w:szCs w:val="18"/>
              </w:rPr>
            </w:pPr>
            <w:r>
              <w:rPr>
                <w:rFonts w:hint="eastAsia"/>
                <w:sz w:val="18"/>
                <w:szCs w:val="18"/>
              </w:rPr>
              <w:t>项</w:t>
            </w:r>
          </w:p>
        </w:tc>
        <w:tc>
          <w:tcPr>
            <w:tcW w:w="2500" w:type="dxa"/>
            <w:vMerge w:val="continue"/>
            <w:shd w:val="clear" w:color="auto" w:fill="auto"/>
            <w:vAlign w:val="center"/>
          </w:tcPr>
          <w:p>
            <w:pPr>
              <w:jc w:val="center"/>
              <w:rPr>
                <w:sz w:val="18"/>
                <w:szCs w:val="18"/>
              </w:rPr>
            </w:pPr>
          </w:p>
        </w:tc>
        <w:tc>
          <w:tcPr>
            <w:tcW w:w="250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2500" w:type="dxa"/>
            <w:shd w:val="clear" w:color="auto" w:fill="auto"/>
            <w:vAlign w:val="center"/>
          </w:tcPr>
          <w:p>
            <w:pPr>
              <w:jc w:val="left"/>
              <w:rPr>
                <w:sz w:val="18"/>
                <w:szCs w:val="18"/>
              </w:rPr>
            </w:pPr>
          </w:p>
        </w:tc>
        <w:tc>
          <w:tcPr>
            <w:tcW w:w="2500" w:type="dxa"/>
            <w:shd w:val="clear" w:color="auto" w:fill="auto"/>
            <w:vAlign w:val="center"/>
          </w:tcPr>
          <w:p>
            <w:pPr>
              <w:jc w:val="left"/>
              <w:rPr>
                <w:sz w:val="18"/>
                <w:szCs w:val="18"/>
              </w:rPr>
            </w:pPr>
          </w:p>
        </w:tc>
        <w:tc>
          <w:tcPr>
            <w:tcW w:w="850" w:type="dxa"/>
            <w:shd w:val="clear" w:color="auto" w:fill="auto"/>
            <w:vAlign w:val="center"/>
          </w:tcPr>
          <w:p>
            <w:pPr>
              <w:ind w:right="-29" w:rightChars="-14"/>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2500" w:type="dxa"/>
            <w:shd w:val="clear" w:color="auto" w:fill="auto"/>
            <w:vAlign w:val="center"/>
          </w:tcPr>
          <w:p>
            <w:pPr>
              <w:jc w:val="left"/>
              <w:rPr>
                <w:sz w:val="18"/>
                <w:szCs w:val="18"/>
              </w:rPr>
            </w:pPr>
          </w:p>
        </w:tc>
        <w:tc>
          <w:tcPr>
            <w:tcW w:w="2500" w:type="dxa"/>
            <w:shd w:val="clear" w:color="auto" w:fill="auto"/>
            <w:vAlign w:val="center"/>
          </w:tcPr>
          <w:p>
            <w:pPr>
              <w:jc w:val="left"/>
              <w:rPr>
                <w:sz w:val="18"/>
                <w:szCs w:val="18"/>
              </w:rPr>
            </w:pPr>
          </w:p>
        </w:tc>
        <w:tc>
          <w:tcPr>
            <w:tcW w:w="850" w:type="dxa"/>
            <w:shd w:val="clear" w:color="auto" w:fill="auto"/>
            <w:vAlign w:val="center"/>
          </w:tcPr>
          <w:p>
            <w:pPr>
              <w:ind w:right="-29" w:rightChars="-14"/>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2500" w:type="dxa"/>
            <w:shd w:val="clear" w:color="auto" w:fill="auto"/>
            <w:vAlign w:val="center"/>
          </w:tcPr>
          <w:p>
            <w:pPr>
              <w:jc w:val="left"/>
              <w:rPr>
                <w:sz w:val="18"/>
                <w:szCs w:val="18"/>
              </w:rPr>
            </w:pPr>
          </w:p>
        </w:tc>
        <w:tc>
          <w:tcPr>
            <w:tcW w:w="2500" w:type="dxa"/>
            <w:shd w:val="clear" w:color="auto" w:fill="auto"/>
            <w:vAlign w:val="center"/>
          </w:tcPr>
          <w:p>
            <w:pPr>
              <w:jc w:val="left"/>
              <w:rPr>
                <w:sz w:val="18"/>
                <w:szCs w:val="18"/>
              </w:rPr>
            </w:pPr>
          </w:p>
        </w:tc>
        <w:tc>
          <w:tcPr>
            <w:tcW w:w="850" w:type="dxa"/>
            <w:shd w:val="clear" w:color="auto" w:fill="auto"/>
            <w:vAlign w:val="center"/>
          </w:tcPr>
          <w:p>
            <w:pPr>
              <w:ind w:right="-29" w:rightChars="-14"/>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260" w:type="dxa"/>
            <w:shd w:val="clear" w:color="auto" w:fill="auto"/>
            <w:vAlign w:val="center"/>
          </w:tcPr>
          <w:p>
            <w:pPr>
              <w:jc w:val="center"/>
              <w:rPr>
                <w:sz w:val="18"/>
                <w:szCs w:val="18"/>
              </w:rPr>
            </w:pPr>
          </w:p>
        </w:tc>
        <w:tc>
          <w:tcPr>
            <w:tcW w:w="2500" w:type="dxa"/>
            <w:shd w:val="clear" w:color="auto" w:fill="auto"/>
            <w:vAlign w:val="center"/>
          </w:tcPr>
          <w:p>
            <w:pPr>
              <w:jc w:val="left"/>
              <w:rPr>
                <w:sz w:val="18"/>
                <w:szCs w:val="18"/>
              </w:rPr>
            </w:pPr>
          </w:p>
        </w:tc>
        <w:tc>
          <w:tcPr>
            <w:tcW w:w="2500" w:type="dxa"/>
            <w:shd w:val="clear" w:color="auto" w:fill="auto"/>
            <w:vAlign w:val="center"/>
          </w:tcPr>
          <w:p>
            <w:pPr>
              <w:jc w:val="left"/>
              <w:rPr>
                <w:sz w:val="18"/>
                <w:szCs w:val="18"/>
              </w:rPr>
            </w:pPr>
          </w:p>
        </w:tc>
        <w:tc>
          <w:tcPr>
            <w:tcW w:w="850" w:type="dxa"/>
            <w:shd w:val="clear" w:color="auto" w:fill="auto"/>
            <w:vAlign w:val="center"/>
          </w:tcPr>
          <w:p>
            <w:pPr>
              <w:ind w:right="-29" w:rightChars="-14"/>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center"/>
              <w:rPr>
                <w:b/>
                <w:sz w:val="18"/>
                <w:szCs w:val="18"/>
              </w:rPr>
            </w:pPr>
            <w:r>
              <w:rPr>
                <w:rFonts w:ascii="宋体" w:hAnsi="宋体"/>
                <w:b/>
                <w:kern w:val="0"/>
                <w:sz w:val="13"/>
                <w:szCs w:val="13"/>
              </w:rPr>
              <w:t>总计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bl>
    <w:p>
      <w:pPr>
        <w:widowControl/>
        <w:jc w:val="left"/>
        <w:rPr>
          <w:rFonts w:ascii="仿宋" w:eastAsia="仿宋"/>
          <w:b/>
          <w:color w:val="000000"/>
          <w:szCs w:val="21"/>
        </w:rPr>
      </w:pPr>
      <w:r>
        <w:rPr>
          <w:rFonts w:hint="eastAsia" w:ascii="仿宋" w:eastAsia="仿宋"/>
          <w:b/>
          <w:color w:val="000000"/>
          <w:szCs w:val="21"/>
        </w:rPr>
        <w:t>呼图壁县第六中学2026年没有使用一般公共预算安排项目支出，一般公共预算项目支出情况表为空表。</w:t>
      </w:r>
    </w:p>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编制部门：呼图壁县第六中学</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ascii="仿宋" w:eastAsia="仿宋"/>
          <w:b/>
          <w:color w:val="000000"/>
          <w:szCs w:val="21"/>
        </w:rPr>
      </w:pPr>
      <w:r>
        <w:rPr>
          <w:rFonts w:hint="eastAsia" w:ascii="仿宋" w:eastAsia="仿宋"/>
          <w:b/>
          <w:color w:val="000000"/>
          <w:szCs w:val="21"/>
        </w:rPr>
        <w:t>呼图壁县第六中学2026年没有使用政府性基金预算拨款安排的支出，政府性基金预算支出情况表为空表。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编制部门：呼图壁县第六中学</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ascii="仿宋" w:eastAsia="仿宋"/>
          <w:b/>
          <w:color w:val="000000"/>
          <w:szCs w:val="21"/>
        </w:rPr>
      </w:pPr>
      <w:r>
        <w:rPr>
          <w:rFonts w:hint="eastAsia" w:ascii="仿宋" w:eastAsia="仿宋"/>
          <w:b/>
          <w:color w:val="000000"/>
          <w:szCs w:val="21"/>
        </w:rPr>
        <w:t>呼图壁县第六中学2026年没有使用国有资本经营预算拨款安排的支出，国有资本经营预算支出情况表为空表。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91"/>
        <w:gridCol w:w="1373"/>
        <w:gridCol w:w="1373"/>
        <w:gridCol w:w="1373"/>
        <w:gridCol w:w="1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ascii="宋体" w:hAnsi="宋体"/>
                <w:sz w:val="18"/>
                <w:szCs w:val="18"/>
              </w:rPr>
            </w:pPr>
            <w:r>
              <w:rPr>
                <w:rFonts w:hint="eastAsia"/>
                <w:color w:val="000000"/>
                <w:sz w:val="18"/>
                <w:szCs w:val="18"/>
              </w:rPr>
              <w:t>编制部门：呼图壁县第六中学</w:t>
            </w:r>
          </w:p>
        </w:tc>
        <w:tc>
          <w:tcPr>
            <w:tcW w:w="1600" w:type="dxa"/>
            <w:tcBorders>
              <w:top w:val="nil"/>
              <w:left w:val="nil"/>
              <w:right w:val="nil"/>
            </w:tcBorders>
            <w:shd w:val="clear" w:color="auto" w:fill="auto"/>
            <w:vAlign w:val="center"/>
          </w:tcPr>
          <w:p>
            <w:pPr>
              <w:jc w:val="right"/>
              <w:rPr>
                <w:rFonts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ascii="宋体" w:hAnsi="宋体"/>
                <w:color w:val="000000"/>
                <w:sz w:val="18"/>
                <w:szCs w:val="18"/>
              </w:rPr>
            </w:pPr>
          </w:p>
        </w:tc>
        <w:tc>
          <w:tcPr>
            <w:tcW w:w="1600" w:type="dxa"/>
            <w:vMerge w:val="continue"/>
            <w:shd w:val="clear" w:color="auto" w:fill="auto"/>
            <w:vAlign w:val="center"/>
          </w:tcPr>
          <w:p>
            <w:pPr>
              <w:jc w:val="center"/>
              <w:rPr>
                <w:rFonts w:ascii="宋体" w:hAnsi="宋体"/>
                <w:color w:val="000000"/>
                <w:sz w:val="18"/>
                <w:szCs w:val="18"/>
              </w:rPr>
            </w:pPr>
          </w:p>
        </w:tc>
        <w:tc>
          <w:tcPr>
            <w:tcW w:w="1600" w:type="dxa"/>
            <w:shd w:val="clear" w:color="auto" w:fill="auto"/>
            <w:vAlign w:val="center"/>
          </w:tcPr>
          <w:p>
            <w:pPr>
              <w:jc w:val="center"/>
              <w:rPr>
                <w:rFonts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000000"/>
                <w:sz w:val="18"/>
                <w:szCs w:val="18"/>
              </w:rPr>
            </w:pPr>
            <w:r>
              <w:rPr>
                <w:rFonts w:ascii="宋体" w:hAnsi="宋体"/>
                <w:kern w:val="0"/>
                <w:sz w:val="18"/>
                <w:szCs w:val="18"/>
              </w:rPr>
              <w:t>因公出国（境）费用</w:t>
            </w: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000000"/>
                <w:sz w:val="18"/>
                <w:szCs w:val="18"/>
              </w:rPr>
            </w:pPr>
            <w:r>
              <w:rPr>
                <w:rFonts w:ascii="宋体" w:hAnsi="宋体"/>
                <w:kern w:val="0"/>
                <w:sz w:val="18"/>
                <w:szCs w:val="18"/>
              </w:rPr>
              <w:t>公务接待费</w:t>
            </w: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000000"/>
                <w:sz w:val="18"/>
                <w:szCs w:val="18"/>
              </w:rPr>
            </w:pPr>
            <w:r>
              <w:rPr>
                <w:rFonts w:ascii="宋体" w:hAnsi="宋体"/>
                <w:b/>
                <w:kern w:val="0"/>
                <w:sz w:val="18"/>
                <w:szCs w:val="18"/>
              </w:rPr>
              <w:t>公务用车购置及运行维护费（小计）</w:t>
            </w: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000000"/>
                <w:sz w:val="18"/>
                <w:szCs w:val="18"/>
              </w:rPr>
            </w:pPr>
            <w:r>
              <w:rPr>
                <w:rFonts w:ascii="宋体" w:hAnsi="宋体"/>
                <w:kern w:val="0"/>
                <w:sz w:val="18"/>
                <w:szCs w:val="18"/>
              </w:rPr>
              <w:t>其中：公务用车购置</w:t>
            </w: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000000"/>
                <w:sz w:val="18"/>
                <w:szCs w:val="18"/>
              </w:rPr>
            </w:pPr>
            <w:r>
              <w:rPr>
                <w:rFonts w:ascii="宋体" w:hAnsi="宋体"/>
                <w:kern w:val="0"/>
                <w:sz w:val="18"/>
                <w:szCs w:val="18"/>
              </w:rPr>
              <w:t xml:space="preserve">      公务用车运行维护费</w:t>
            </w: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ascii="宋体" w:hAnsi="宋体"/>
                <w:color w:val="000000"/>
                <w:sz w:val="18"/>
                <w:szCs w:val="18"/>
              </w:rPr>
            </w:pPr>
            <w:r>
              <w:rPr>
                <w:rFonts w:ascii="宋体" w:hAnsi="宋体"/>
                <w:b/>
                <w:kern w:val="0"/>
                <w:sz w:val="18"/>
                <w:szCs w:val="18"/>
              </w:rPr>
              <w:t>总计</w:t>
            </w: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c>
          <w:tcPr>
            <w:tcW w:w="1600" w:type="dxa"/>
            <w:shd w:val="clear" w:color="auto" w:fill="auto"/>
            <w:vAlign w:val="center"/>
          </w:tcPr>
          <w:p>
            <w:pPr>
              <w:jc w:val="right"/>
              <w:rPr>
                <w:rFonts w:ascii="宋体" w:hAnsi="宋体"/>
                <w:color w:val="000000"/>
                <w:sz w:val="18"/>
                <w:szCs w:val="18"/>
              </w:rPr>
            </w:pPr>
          </w:p>
        </w:tc>
      </w:tr>
    </w:tbl>
    <w:p>
      <w:pPr>
        <w:widowControl/>
        <w:jc w:val="left"/>
        <w:rPr>
          <w:rFonts w:ascii="仿宋" w:eastAsia="仿宋"/>
          <w:b/>
          <w:color w:val="000000"/>
          <w:szCs w:val="21"/>
        </w:rPr>
      </w:pPr>
      <w:r>
        <w:rPr>
          <w:rFonts w:hint="eastAsia" w:ascii="仿宋" w:eastAsia="仿宋"/>
          <w:b/>
          <w:color w:val="000000"/>
          <w:szCs w:val="21"/>
        </w:rPr>
        <w:t>呼图壁县第六中学2026年没有使用财政拨款安排“三公”经费支出，财政拨款“三公”经费支出情况表为空表。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882"/>
        <w:gridCol w:w="1200"/>
        <w:gridCol w:w="1200"/>
        <w:gridCol w:w="1200"/>
        <w:gridCol w:w="1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10062" w:type="dxa"/>
            <w:gridSpan w:val="4"/>
            <w:tcBorders>
              <w:top w:val="nil"/>
              <w:left w:val="nil"/>
              <w:right w:val="nil"/>
            </w:tcBorders>
            <w:shd w:val="clear" w:color="auto" w:fill="auto"/>
            <w:vAlign w:val="center"/>
          </w:tcPr>
          <w:p>
            <w:pPr>
              <w:jc w:val="left"/>
              <w:rPr>
                <w:rFonts w:ascii="宋体" w:hAnsi="宋体"/>
                <w:sz w:val="18"/>
                <w:szCs w:val="18"/>
              </w:rPr>
            </w:pPr>
            <w:r>
              <w:rPr>
                <w:rFonts w:hint="eastAsia"/>
                <w:color w:val="000000"/>
                <w:sz w:val="18"/>
                <w:szCs w:val="18"/>
              </w:rPr>
              <w:t>编制部门：呼图壁县第六中学</w:t>
            </w:r>
          </w:p>
        </w:tc>
        <w:tc>
          <w:tcPr>
            <w:tcW w:w="1400" w:type="dxa"/>
            <w:tcBorders>
              <w:top w:val="nil"/>
              <w:left w:val="nil"/>
              <w:right w:val="nil"/>
            </w:tcBorders>
            <w:shd w:val="clear" w:color="auto" w:fill="auto"/>
            <w:vAlign w:val="center"/>
          </w:tcPr>
          <w:p>
            <w:pPr>
              <w:jc w:val="right"/>
              <w:rPr>
                <w:rFonts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5862" w:type="dxa"/>
            <w:vMerge w:val="restart"/>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项目名称</w:t>
            </w:r>
          </w:p>
        </w:tc>
        <w:tc>
          <w:tcPr>
            <w:tcW w:w="1400" w:type="dxa"/>
            <w:vMerge w:val="restart"/>
            <w:shd w:val="clear" w:color="auto" w:fill="auto"/>
            <w:vAlign w:val="center"/>
          </w:tcPr>
          <w:p>
            <w:pPr>
              <w:jc w:val="center"/>
              <w:rPr>
                <w:rFonts w:ascii="宋体" w:hAnsi="宋体"/>
                <w:color w:val="000000"/>
                <w:sz w:val="18"/>
                <w:szCs w:val="18"/>
              </w:rPr>
            </w:pPr>
            <w:r>
              <w:rPr>
                <w:rFonts w:hint="eastAsia" w:ascii="宋体" w:hAnsi="宋体"/>
                <w:sz w:val="18"/>
                <w:szCs w:val="18"/>
              </w:rPr>
              <w:t>合计</w:t>
            </w:r>
          </w:p>
        </w:tc>
        <w:tc>
          <w:tcPr>
            <w:tcW w:w="4200" w:type="dxa"/>
            <w:gridSpan w:val="3"/>
            <w:shd w:val="clear" w:color="auto" w:fill="auto"/>
            <w:vAlign w:val="center"/>
          </w:tcPr>
          <w:p>
            <w:pPr>
              <w:jc w:val="center"/>
              <w:rPr>
                <w:rFonts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5862" w:type="dxa"/>
            <w:vMerge w:val="continue"/>
            <w:shd w:val="clear" w:color="auto" w:fill="auto"/>
            <w:vAlign w:val="center"/>
          </w:tcPr>
          <w:p>
            <w:pPr>
              <w:jc w:val="center"/>
              <w:rPr>
                <w:rFonts w:ascii="宋体" w:hAnsi="宋体"/>
                <w:color w:val="000000"/>
                <w:sz w:val="18"/>
                <w:szCs w:val="18"/>
              </w:rPr>
            </w:pPr>
          </w:p>
        </w:tc>
        <w:tc>
          <w:tcPr>
            <w:tcW w:w="1400" w:type="dxa"/>
            <w:vMerge w:val="continue"/>
            <w:shd w:val="clear" w:color="auto" w:fill="auto"/>
            <w:vAlign w:val="center"/>
          </w:tcPr>
          <w:p>
            <w:pPr>
              <w:jc w:val="center"/>
              <w:rPr>
                <w:rFonts w:ascii="宋体" w:hAnsi="宋体"/>
                <w:color w:val="000000"/>
                <w:sz w:val="18"/>
                <w:szCs w:val="18"/>
              </w:rPr>
            </w:pPr>
          </w:p>
        </w:tc>
        <w:tc>
          <w:tcPr>
            <w:tcW w:w="1400" w:type="dxa"/>
            <w:shd w:val="clear" w:color="auto" w:fill="auto"/>
            <w:vAlign w:val="center"/>
          </w:tcPr>
          <w:p>
            <w:pPr>
              <w:jc w:val="center"/>
              <w:rPr>
                <w:rFonts w:ascii="宋体" w:hAnsi="宋体"/>
                <w:sz w:val="18"/>
                <w:szCs w:val="18"/>
              </w:rPr>
            </w:pPr>
            <w:r>
              <w:rPr>
                <w:rFonts w:hint="eastAsia" w:ascii="宋体" w:hAnsi="宋体"/>
                <w:sz w:val="18"/>
                <w:szCs w:val="18"/>
              </w:rPr>
              <w:t>一般公共预算</w:t>
            </w:r>
          </w:p>
        </w:tc>
        <w:tc>
          <w:tcPr>
            <w:tcW w:w="1400" w:type="dxa"/>
            <w:shd w:val="clear" w:color="auto" w:fill="auto"/>
            <w:vAlign w:val="center"/>
          </w:tcPr>
          <w:p>
            <w:pPr>
              <w:jc w:val="center"/>
              <w:rPr>
                <w:rFonts w:ascii="宋体" w:hAnsi="宋体"/>
                <w:sz w:val="18"/>
                <w:szCs w:val="18"/>
              </w:rPr>
            </w:pPr>
            <w:r>
              <w:rPr>
                <w:rFonts w:hint="eastAsia" w:ascii="宋体" w:hAnsi="宋体"/>
                <w:sz w:val="18"/>
                <w:szCs w:val="18"/>
              </w:rPr>
              <w:t>政府性基金</w:t>
            </w:r>
          </w:p>
        </w:tc>
        <w:tc>
          <w:tcPr>
            <w:tcW w:w="1400" w:type="dxa"/>
            <w:shd w:val="clear" w:color="auto" w:fill="auto"/>
            <w:vAlign w:val="center"/>
          </w:tcPr>
          <w:p>
            <w:pPr>
              <w:jc w:val="center"/>
              <w:rPr>
                <w:rFonts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c>
          <w:tcPr>
            <w:tcW w:w="140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center"/>
              <w:rPr>
                <w:rFonts w:ascii="宋体" w:hAnsi="宋体"/>
                <w:b/>
                <w:color w:val="000000"/>
                <w:sz w:val="18"/>
                <w:szCs w:val="18"/>
              </w:rPr>
            </w:pPr>
            <w:r>
              <w:rPr>
                <w:rFonts w:ascii="宋体" w:hAnsi="宋体"/>
                <w:b/>
                <w:kern w:val="0"/>
                <w:sz w:val="18"/>
                <w:szCs w:val="18"/>
              </w:rPr>
              <w:t>总计</w:t>
            </w:r>
          </w:p>
        </w:tc>
        <w:tc>
          <w:tcPr>
            <w:tcW w:w="1400" w:type="dxa"/>
            <w:shd w:val="clear" w:color="auto" w:fill="auto"/>
            <w:vAlign w:val="center"/>
          </w:tcPr>
          <w:p>
            <w:pPr>
              <w:jc w:val="right"/>
              <w:rPr>
                <w:rFonts w:ascii="宋体" w:hAnsi="宋体"/>
                <w:b/>
                <w:color w:val="000000"/>
                <w:sz w:val="18"/>
                <w:szCs w:val="18"/>
              </w:rPr>
            </w:pPr>
          </w:p>
        </w:tc>
        <w:tc>
          <w:tcPr>
            <w:tcW w:w="1400" w:type="dxa"/>
            <w:shd w:val="clear" w:color="auto" w:fill="auto"/>
            <w:vAlign w:val="center"/>
          </w:tcPr>
          <w:p>
            <w:pPr>
              <w:jc w:val="right"/>
              <w:rPr>
                <w:rFonts w:ascii="宋体" w:hAnsi="宋体"/>
                <w:b/>
                <w:color w:val="000000"/>
                <w:sz w:val="18"/>
                <w:szCs w:val="18"/>
              </w:rPr>
            </w:pPr>
          </w:p>
        </w:tc>
        <w:tc>
          <w:tcPr>
            <w:tcW w:w="1400" w:type="dxa"/>
            <w:shd w:val="clear" w:color="auto" w:fill="auto"/>
            <w:vAlign w:val="center"/>
          </w:tcPr>
          <w:p>
            <w:pPr>
              <w:jc w:val="right"/>
              <w:rPr>
                <w:rFonts w:ascii="宋体" w:hAnsi="宋体"/>
                <w:b/>
                <w:color w:val="000000"/>
                <w:sz w:val="18"/>
                <w:szCs w:val="18"/>
              </w:rPr>
            </w:pPr>
          </w:p>
        </w:tc>
        <w:tc>
          <w:tcPr>
            <w:tcW w:w="1400" w:type="dxa"/>
            <w:shd w:val="clear" w:color="auto" w:fill="auto"/>
            <w:vAlign w:val="center"/>
          </w:tcPr>
          <w:p>
            <w:pPr>
              <w:jc w:val="right"/>
              <w:rPr>
                <w:rFonts w:ascii="宋体" w:hAnsi="宋体"/>
                <w:b/>
                <w:color w:val="000000"/>
                <w:sz w:val="18"/>
                <w:szCs w:val="18"/>
              </w:rPr>
            </w:pPr>
          </w:p>
        </w:tc>
      </w:tr>
    </w:tbl>
    <w:p>
      <w:pPr>
        <w:widowControl/>
        <w:jc w:val="left"/>
        <w:rPr>
          <w:rFonts w:ascii="仿宋" w:eastAsia="仿宋"/>
          <w:b/>
          <w:color w:val="000000"/>
          <w:szCs w:val="21"/>
        </w:rPr>
      </w:pPr>
      <w:r>
        <w:rPr>
          <w:rFonts w:hint="eastAsia" w:ascii="仿宋" w:eastAsia="仿宋"/>
          <w:b/>
          <w:color w:val="000000"/>
          <w:szCs w:val="21"/>
        </w:rPr>
        <w:t>呼图壁县第六中学2026年没有委托业务费预算的支出，财政拨款委托业务费支出情况表为空表。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表12</w:t>
      </w:r>
    </w:p>
    <w:p>
      <w:pPr>
        <w:jc w:val="center"/>
        <w:rPr>
          <w:rFonts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编制部门：呼图壁县第六中学</w:t>
            </w:r>
          </w:p>
        </w:tc>
        <w:tc>
          <w:tcPr>
            <w:tcW w:w="4254" w:type="dxa"/>
            <w:gridSpan w:val="5"/>
            <w:tcBorders>
              <w:top w:val="nil"/>
              <w:left w:val="nil"/>
              <w:right w:val="nil"/>
            </w:tcBorders>
            <w:shd w:val="clear" w:color="auto" w:fill="auto"/>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sz w:val="18"/>
                <w:szCs w:val="18"/>
              </w:rPr>
            </w:pPr>
            <w:r>
              <w:rPr>
                <w:rFonts w:hint="eastAsia"/>
                <w:sz w:val="18"/>
                <w:szCs w:val="18"/>
              </w:rPr>
              <w:t>财政拨款</w:t>
            </w:r>
          </w:p>
        </w:tc>
        <w:tc>
          <w:tcPr>
            <w:tcW w:w="4988" w:type="dxa"/>
            <w:gridSpan w:val="5"/>
            <w:shd w:val="clear" w:color="auto" w:fill="auto"/>
            <w:vAlign w:val="center"/>
          </w:tcPr>
          <w:p>
            <w:pPr>
              <w:jc w:val="center"/>
              <w:rPr>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ascii="宋体" w:hAnsi="宋体"/>
                <w:b/>
                <w:kern w:val="0"/>
                <w:sz w:val="13"/>
                <w:szCs w:val="13"/>
              </w:rPr>
              <w:t>总计</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rPr>
        <w:t>呼图壁县第六中学2026年没有上年结转结余预算安排的支出，上年结转结余情况表为空表。</w:t>
      </w:r>
    </w:p>
    <w:p>
      <w:pPr>
        <w:pStyle w:val="3"/>
        <w:spacing w:before="156" w:beforeLines="50" w:after="156" w:afterLines="50" w:line="240" w:lineRule="atLeast"/>
        <w:jc w:val="center"/>
        <w:rPr>
          <w:rFonts w:ascii="黑体" w:eastAsia="黑体"/>
          <w:sz w:val="30"/>
          <w:szCs w:val="30"/>
        </w:rPr>
      </w:pPr>
      <w:r>
        <w:rPr>
          <w:rFonts w:hint="eastAsia" w:ascii="黑体" w:eastAsia="黑体"/>
          <w:sz w:val="30"/>
          <w:szCs w:val="30"/>
        </w:rPr>
        <w:t>第三部分 2026年部门预算情况说明</w:t>
      </w:r>
    </w:p>
    <w:p>
      <w:pPr>
        <w:pStyle w:val="4"/>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关于呼图壁县第六中学2026年收支预算情况总体说明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按照全口径预算的原则，呼图壁县第六中学2026年所有收入和支出均纳入部门预算管理。收支总预算2,380.75万元。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收入预算包括：一般公共预算、单位资金。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支出预算包括：教育支出。</w:t>
      </w:r>
    </w:p>
    <w:p>
      <w:pPr>
        <w:pStyle w:val="4"/>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关于呼图壁县第六中学2026年收入预算情况说明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呼图壁县第六中学部门收入预算2,380.75万元，其中：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一般公共预算1,244.75万元，占52.28%，比上年预算增加155.69万元，增长14.30%，主要原因是收入预算增加在职教职工基本工资岗位薪级工资，</w:t>
      </w:r>
      <w:r>
        <w:rPr>
          <w:rFonts w:hint="eastAsia" w:ascii="仿宋" w:hAnsi="微软雅黑" w:eastAsia="仿宋"/>
          <w:sz w:val="28"/>
          <w:szCs w:val="28"/>
          <w:lang w:val="en-US" w:eastAsia="zh-CN"/>
        </w:rPr>
        <w:t>住</w:t>
      </w:r>
      <w:bookmarkStart w:id="1" w:name="_GoBack"/>
      <w:bookmarkEnd w:id="1"/>
      <w:r>
        <w:rPr>
          <w:rFonts w:hint="eastAsia" w:ascii="仿宋" w:hAnsi="微软雅黑" w:eastAsia="仿宋"/>
          <w:sz w:val="28"/>
          <w:szCs w:val="28"/>
        </w:rPr>
        <w:t>房公积金随着收入增加而增加，退休人员增加，退休人员基础绩效奖、独生子女奖励金增加，保安劳务费增加了社保的支出，上级一般公共预算安排的转移支付资金0.00万元，占0.00%，比上年预算减少18.34万元，下降100.00%，主要原因是2025年上级一般公共预算安排的转移支付资金为2025年中央城乡义务教育补助经费-残疾公用经费1.2万元、2025年中央城乡义务教育补助经费-公用经费17.14万元，2026年以上公用经费由上级教育主管部门安排预算。</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单位资金1,136.00万元，占47.72%，比上年预算增加598.00万元，增长111.15%，主要原因是单位资金的预算增加了教师工资福利支出和社会保险费的预算，导致单位资金增幅较大。</w:t>
      </w:r>
    </w:p>
    <w:p>
      <w:pPr>
        <w:pStyle w:val="4"/>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关于呼图壁县第六中学2026年支出预算情况说明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呼图壁县第六中学2026年支出预算2,380.75万元，其中：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基本支出2,380.75万元，占100.00%，比上年预算增加766.52万元，增长47.49%，主要原因是2026年支出预算增加在职教职工基本工资岗位薪级工资增加，住房公积金随着收入增加而增加，退休人员增加，退休人员基础绩效奖、独生子女奖励金增加，保安劳务费增加了社保的支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支出0.00万元，占0.00%，比上年预算减少31.17万元，下降100.00%，主要原因是2025年项目支出资金为2025年中央城乡义务教育补助经费-残疾公用经费1.2万元、2025年中央城乡义务教育补助经费-公用经费17.14万元，银铃计划教师经费12万元（追减给一小），2025年非寄宿生生活补助0.67万元等，2026年六中无项目预算，公用经费项目由上级教育主管部门安排预算。</w:t>
      </w:r>
    </w:p>
    <w:p>
      <w:pPr>
        <w:pStyle w:val="4"/>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关于呼图壁县第六中学2026年财政拨款收支预算情况的总体说明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2026年财政拨款收支总预算1,244.75万元。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收入预算包括：一般公共预算拨款1,244.75万元。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一般公共预算支出包括：教育支出1,244.75万元，主要用于在职教师工资及津贴补贴发放、社会保障经费缴纳及在职教师工会经费支出，退休教师基础绩效奖及独生子女奖励金发放，保安劳务派遣费发放。</w:t>
      </w:r>
    </w:p>
    <w:p>
      <w:pPr>
        <w:pStyle w:val="4"/>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关于呼图壁县第六中学2026年一般公共预算当年拨款情况说明</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呼图壁县第六中学2026年一般公共预算拨款合计1,244.75万元，其中：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基本支出1,244.75万元，比上年预算增加168.52万元，增长15.66%，主要原因是在职教职工基本工资岗位薪级工资支出预算增加，住房公积金随着工资支出增加而增加，退休人员增加，退休人员基础绩效奖、独生子女奖励金支出增加，保安劳务费增加了社保的支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支出0.00万元，比上年预算减少31.17万元，下降100.00%，主要原因是2025年项目支出资金为2025年中央城乡义务教育补助经费-残疾公用经费1.2万元、2025年中央城乡义务教育补助经费-公用经费17.14万元，银铃计划教师经费12万元（追减给呼图壁县第一小学），2025年非寄宿生生活补助0.67万元等，2026年公用经费由上级教育主管部门安排预算。</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（二）一般公共预算当年拨款结构情况，其中：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1.教育支出（类）1,244.75万元，占100.00%。</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教育支出（类）普通教育（款）小学教育（项）：2026年预算数为1,244.75万元，比上年预算增加137.35万元，增长12.40%，主要原因是职教职工基本工资岗位薪级工资支出预算增加，房公积金随着工资支出增加而增加，退休人员增加，退休人员基础绩效奖、独生子女奖励金支出增加，保安劳务费增加了社保的支出，2026年六中无项目预算，2026公用经费等项目预算年由上级教育主管部门安排预算。</w:t>
      </w:r>
    </w:p>
    <w:p>
      <w:pPr>
        <w:pStyle w:val="4"/>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关于呼图壁县第六中学2026年一般公共预算基本支出情况说明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呼图壁县第六中学2026年一般公共预算基本支出1,244.75万元，其中：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人员经费1,186.22万元，主要包括：基本工资、津贴补贴、奖金、绩效工资、机关事业单位基本养老保险缴费、职业年金缴费、职工基本医疗保险缴费、公务员医疗补助缴费、其他社会保障缴费、住房公积金、退休费、生活补助、奖励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公用经费58.53万元，主要包括：取暖费、培训费、劳务费、工会经费。</w:t>
      </w:r>
    </w:p>
    <w:p>
      <w:pPr>
        <w:pStyle w:val="4"/>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关于呼图壁县第六中学2026年一般公共预算项目支出情况说明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呼图壁县第六中学2026年没有使用一般公共预算安排项目支出，一般公共预算项目支出情况表为空表。</w:t>
      </w:r>
    </w:p>
    <w:p>
      <w:pPr>
        <w:pStyle w:val="4"/>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关于呼图壁县第六中学2026年政府性基金预算拨款情况说明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呼图壁县第六中学2026年没有使用政府性基金预算拨款安排的支出，政府性基金预算支出情况表为空表。</w:t>
      </w:r>
    </w:p>
    <w:p>
      <w:pPr>
        <w:pStyle w:val="4"/>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关于呼图壁县第六中学2026年国有资本经营预算拨款情况说明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呼图壁县第六中学2026年没有使用国有资本经营预算拨款安排的支出，国有资本经营预算支出情况表为空表。</w:t>
      </w:r>
    </w:p>
    <w:p>
      <w:pPr>
        <w:pStyle w:val="4"/>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关于呼图壁县第六中学2026年财政拨款“三公”经费预算情况说明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呼图壁县第六中学2026年财政拨款“三公”经费数为0.00万元，其中：因公出国（境）费用0.00万元，公务用车购置0.00万元，公务用车运行维护费0.00万元，公务接待费0.00万元。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2026年财政拨款“三公”经费预算比上年预算增加0.00万元，增长0.00%，其中：因公出国（境）费用增加0.00万元，增长0.00%，主要原因是2025年与2026年均未安排因公出国（境）费用；公务用车购置增加0.00万元，增长0.00%，主要原因是2025年与2026年均未安排公务用车购置；公务用车运行维护费增加0.00万元，增长0.00%，主要原因是2025年与2026年均未安排公务用车运行维护费；公务接待费增加0.00万元，增长0.00%，主要原因是2025年与2026年均未安排公务接待费。</w:t>
      </w:r>
    </w:p>
    <w:p>
      <w:pPr>
        <w:pStyle w:val="4"/>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关于呼图壁县第六中学2026年财政拨款委托业务费支出情况说明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呼图壁县第六中学2026年没有委托业务费预算的支出，财政拨款委托业务费支出情况表为空表。</w:t>
      </w:r>
    </w:p>
    <w:p>
      <w:pPr>
        <w:pStyle w:val="4"/>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关于呼图壁县第六中学2026年上年结转结余预算情况说明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呼图壁县第六中学2026年没有上年结转结余预算安排的支出，上年结转结余情况表为空表。</w:t>
      </w:r>
    </w:p>
    <w:p>
      <w:pPr>
        <w:pStyle w:val="4"/>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其他重要事项的情况说明</w:t>
      </w:r>
    </w:p>
    <w:p>
      <w:pPr>
        <w:pStyle w:val="2"/>
        <w:numPr>
          <w:ilvl w:val="0"/>
          <w:numId w:val="2"/>
        </w:numPr>
        <w:spacing w:before="0" w:after="0" w:line="560" w:lineRule="exact"/>
        <w:ind w:left="0" w:firstLine="562" w:firstLineChars="201"/>
        <w:rPr>
          <w:rFonts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呼图壁县第六中学2026年的事业单位运行经费财政拨款预算58.53万元，比上年预算增加11.32万元，增长23.98%，主要原因是保安劳务费增加了社保的支出，工会经费随着教师工资的增长而增加。</w:t>
      </w:r>
    </w:p>
    <w:p>
      <w:pPr>
        <w:pStyle w:val="2"/>
        <w:numPr>
          <w:ilvl w:val="0"/>
          <w:numId w:val="2"/>
        </w:numPr>
        <w:spacing w:before="0" w:after="0" w:line="560" w:lineRule="exact"/>
        <w:ind w:left="0" w:firstLine="562" w:firstLineChars="201"/>
        <w:rPr>
          <w:rFonts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2026年，呼图壁县第六中学政府采购预算1.00万元，其中：政府采购货物预算1.00万元，政府采购工程预算0.00万元，政府采购服务预算0.00万元。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2026年，呼图壁县第六中学面向中小企业预留政府采购项目预算金额1.00万元，其中：小微企业预留政府采购项目预算金额1.00万元。</w:t>
      </w:r>
    </w:p>
    <w:p>
      <w:pPr>
        <w:pStyle w:val="2"/>
        <w:numPr>
          <w:ilvl w:val="0"/>
          <w:numId w:val="2"/>
        </w:numPr>
        <w:spacing w:before="0" w:after="0" w:line="560" w:lineRule="exact"/>
        <w:ind w:left="0" w:firstLine="562" w:firstLineChars="201"/>
        <w:rPr>
          <w:rFonts w:ascii="楷体" w:eastAsia="楷体"/>
          <w:sz w:val="28"/>
          <w:szCs w:val="28"/>
        </w:rPr>
      </w:pPr>
      <w:r>
        <w:rPr>
          <w:rFonts w:ascii="楷体" w:eastAsia="楷体"/>
          <w:sz w:val="28"/>
          <w:szCs w:val="28"/>
        </w:rPr>
        <w:t>国有资产占用使用情况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截至2025年底，呼图壁县第六中学占用使用国有资产总体情况为：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1.房屋12,017.49平方米，价值2,059.56万元。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3.办公家具价值0.00万元。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4.其他资产价值0.00万元。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部门价值单价50万元以上大型设备0台，部门价值单价100万元以上大型设备0台。</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2026年部门预算未安排购置车辆经费，安排购置单价50万元以上大型设备0台，部门单价100万元以上大型设备0台。</w:t>
      </w:r>
    </w:p>
    <w:p>
      <w:pPr>
        <w:pStyle w:val="2"/>
        <w:numPr>
          <w:ilvl w:val="0"/>
          <w:numId w:val="2"/>
        </w:numPr>
        <w:spacing w:before="0" w:after="0" w:line="560" w:lineRule="exact"/>
        <w:ind w:left="0" w:firstLine="562" w:firstLineChars="201"/>
        <w:rPr>
          <w:rFonts w:ascii="楷体" w:eastAsia="楷体"/>
          <w:sz w:val="28"/>
          <w:szCs w:val="28"/>
        </w:rPr>
      </w:pPr>
      <w:r>
        <w:rPr>
          <w:rFonts w:ascii="楷体" w:eastAsia="楷体"/>
          <w:sz w:val="28"/>
          <w:szCs w:val="28"/>
        </w:rPr>
        <w:t>预算绩效情况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2026年，本部门预算绩效管理整体预算绩效目标1个，涉及预算金额2,380.75万元；当年预算安排项目共0个，其中：财政拨款项目涉及预算金额0.00万元；非财政拨款项目涉及预算金额0.00万元。</w:t>
      </w:r>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ascii="仿宋" w:eastAsia="仿宋"/>
          <w:sz w:val="18"/>
          <w:szCs w:val="18"/>
        </w:rPr>
      </w:pPr>
      <w:r>
        <w:rPr>
          <w:rFonts w:hint="eastAsia" w:ascii="仿宋" w:eastAsia="仿宋"/>
          <w:sz w:val="18"/>
          <w:szCs w:val="18"/>
        </w:rPr>
        <w:t>（2026年）</w:t>
      </w:r>
    </w:p>
    <w:tbl>
      <w:tblPr>
        <w:tblStyle w:val="9"/>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呼图壁县第六中学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王江南</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18699557982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以习近平新时代中国特色社会主义思想为指导，深入贯彻党的二十大、二十届三中、四中全会精神，全面落实全国教育大会、新疆教育大会部署，锚定《教育强国建设规划纲要(2024一2035年)》目标任务与昌吉州“教育强州”建设要求及《呼图壁县2026年教育工作要点》部署，坚守立德树人初心，践行“五育并举”理念，以党建引领、立足筑基、培训赋能、提升质量、全面发展为主线，深化教育教学改革。一是保障3226名学生全面发展；统筹推进文化校园、绿色校园、平安校园、和谐校园建设，营造健康向上、和谐共进的育人环境；二是强化教学过程精细化管理，严格落实教学常规，全年开展教研活动不少于30次，保障教师学历本科以上，以“研训结合”推动教学质量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2410" w:type="dxa"/>
            <w:vMerge w:val="restart"/>
            <w:shd w:val="clear" w:color="auto" w:fill="auto"/>
            <w:vAlign w:val="center"/>
          </w:tcPr>
          <w:p>
            <w:pPr>
              <w:jc w:val="center"/>
              <w:rPr>
                <w:sz w:val="18"/>
                <w:szCs w:val="18"/>
              </w:rPr>
            </w:pPr>
            <w:r>
              <w:rPr>
                <w:rFonts w:hint="eastAsia"/>
                <w:sz w:val="18"/>
                <w:szCs w:val="18"/>
              </w:rPr>
              <w:t>财政资金（万元）</w:t>
            </w:r>
          </w:p>
        </w:tc>
        <w:tc>
          <w:tcPr>
            <w:tcW w:w="1448" w:type="dxa"/>
            <w:gridSpan w:val="2"/>
            <w:shd w:val="clear" w:color="auto" w:fill="auto"/>
            <w:vAlign w:val="center"/>
          </w:tcPr>
          <w:p>
            <w:pPr>
              <w:jc w:val="center"/>
              <w:rPr>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2410" w:type="dxa"/>
            <w:vMerge w:val="continue"/>
            <w:shd w:val="clear" w:color="auto" w:fill="auto"/>
            <w:vAlign w:val="center"/>
          </w:tcPr>
          <w:p>
            <w:pPr>
              <w:jc w:val="center"/>
              <w:rPr>
                <w:sz w:val="18"/>
                <w:szCs w:val="18"/>
              </w:rPr>
            </w:pPr>
          </w:p>
        </w:tc>
        <w:tc>
          <w:tcPr>
            <w:tcW w:w="1448" w:type="dxa"/>
            <w:gridSpan w:val="2"/>
            <w:shd w:val="clear" w:color="auto" w:fill="auto"/>
            <w:vAlign w:val="center"/>
          </w:tcPr>
          <w:p>
            <w:pPr>
              <w:jc w:val="center"/>
              <w:rPr>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1,244.75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2410" w:type="dxa"/>
            <w:shd w:val="clear" w:color="auto" w:fill="auto"/>
            <w:vAlign w:val="center"/>
          </w:tcPr>
          <w:p>
            <w:pPr>
              <w:jc w:val="center"/>
              <w:rPr>
                <w:sz w:val="18"/>
                <w:szCs w:val="18"/>
              </w:rPr>
            </w:pPr>
            <w:r>
              <w:rPr>
                <w:rFonts w:hint="eastAsia"/>
                <w:sz w:val="18"/>
                <w:szCs w:val="18"/>
              </w:rPr>
              <w:t>其他资金（万元）</w:t>
            </w:r>
          </w:p>
        </w:tc>
        <w:tc>
          <w:tcPr>
            <w:tcW w:w="1448" w:type="dxa"/>
            <w:gridSpan w:val="2"/>
            <w:shd w:val="clear" w:color="auto" w:fill="auto"/>
            <w:vAlign w:val="center"/>
          </w:tcPr>
          <w:p>
            <w:pPr>
              <w:jc w:val="center"/>
              <w:rPr>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1,136.00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3858" w:type="dxa"/>
            <w:gridSpan w:val="3"/>
            <w:shd w:val="clear" w:color="auto" w:fill="auto"/>
            <w:vAlign w:val="center"/>
          </w:tcPr>
          <w:p>
            <w:pPr>
              <w:jc w:val="center"/>
              <w:rPr>
                <w:sz w:val="18"/>
                <w:szCs w:val="18"/>
              </w:rPr>
            </w:pPr>
            <w:r>
              <w:rPr>
                <w:rFonts w:hint="eastAsia"/>
                <w:sz w:val="18"/>
                <w:szCs w:val="18"/>
              </w:rPr>
              <w:t>合计：</w:t>
            </w:r>
          </w:p>
        </w:tc>
        <w:tc>
          <w:tcPr>
            <w:tcW w:w="2720" w:type="dxa"/>
            <w:gridSpan w:val="2"/>
            <w:shd w:val="clear" w:color="auto" w:fill="auto"/>
            <w:vAlign w:val="center"/>
          </w:tcPr>
          <w:p>
            <w:pPr>
              <w:jc w:val="center"/>
              <w:rPr>
                <w:sz w:val="18"/>
                <w:szCs w:val="18"/>
              </w:rPr>
            </w:pPr>
            <w:r>
              <w:rPr>
                <w:rFonts w:hint="eastAsia"/>
                <w:sz w:val="18"/>
                <w:szCs w:val="18"/>
              </w:rPr>
              <w:t>2,380.75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学生人数</w:t>
            </w:r>
          </w:p>
        </w:tc>
        <w:tc>
          <w:tcPr>
            <w:tcW w:w="1448" w:type="dxa"/>
            <w:gridSpan w:val="2"/>
            <w:shd w:val="clear" w:color="auto" w:fill="auto"/>
            <w:vAlign w:val="center"/>
          </w:tcPr>
          <w:p>
            <w:pPr>
              <w:jc w:val="center"/>
              <w:rPr>
                <w:sz w:val="18"/>
                <w:szCs w:val="18"/>
              </w:rPr>
            </w:pPr>
            <w:r>
              <w:rPr>
                <w:rFonts w:hint="eastAsia"/>
                <w:sz w:val="18"/>
                <w:szCs w:val="18"/>
              </w:rPr>
              <w:t>＞=186人</w:t>
            </w:r>
          </w:p>
        </w:tc>
        <w:tc>
          <w:tcPr>
            <w:tcW w:w="1360" w:type="dxa"/>
            <w:shd w:val="clear" w:color="auto" w:fill="auto"/>
            <w:vAlign w:val="center"/>
          </w:tcPr>
          <w:p>
            <w:pPr>
              <w:jc w:val="center"/>
              <w:rPr>
                <w:sz w:val="18"/>
                <w:szCs w:val="18"/>
              </w:rPr>
            </w:pPr>
            <w:r>
              <w:rPr>
                <w:rFonts w:hint="eastAsia"/>
                <w:sz w:val="18"/>
                <w:szCs w:val="18"/>
              </w:rPr>
              <w:t>六中2025年教育事业综合统计调查表</w:t>
            </w:r>
          </w:p>
        </w:tc>
        <w:tc>
          <w:tcPr>
            <w:tcW w:w="1360" w:type="dxa"/>
            <w:shd w:val="clear" w:color="auto" w:fill="auto"/>
            <w:vAlign w:val="center"/>
          </w:tcPr>
          <w:p>
            <w:pPr>
              <w:jc w:val="center"/>
              <w:rPr>
                <w:sz w:val="18"/>
                <w:szCs w:val="18"/>
              </w:rPr>
            </w:pPr>
            <w:r>
              <w:rPr>
                <w:rFonts w:hint="eastAsia"/>
                <w:sz w:val="18"/>
                <w:szCs w:val="18"/>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开展教研按活动次数</w:t>
            </w:r>
          </w:p>
        </w:tc>
        <w:tc>
          <w:tcPr>
            <w:tcW w:w="1448" w:type="dxa"/>
            <w:gridSpan w:val="2"/>
            <w:shd w:val="clear" w:color="auto" w:fill="auto"/>
            <w:vAlign w:val="center"/>
          </w:tcPr>
          <w:p>
            <w:pPr>
              <w:jc w:val="center"/>
              <w:rPr>
                <w:sz w:val="18"/>
                <w:szCs w:val="18"/>
              </w:rPr>
            </w:pPr>
            <w:r>
              <w:rPr>
                <w:rFonts w:hint="eastAsia"/>
                <w:sz w:val="18"/>
                <w:szCs w:val="18"/>
              </w:rPr>
              <w:t>＞=30次</w:t>
            </w:r>
          </w:p>
        </w:tc>
        <w:tc>
          <w:tcPr>
            <w:tcW w:w="1360" w:type="dxa"/>
            <w:shd w:val="clear" w:color="auto" w:fill="auto"/>
            <w:vAlign w:val="center"/>
          </w:tcPr>
          <w:p>
            <w:pPr>
              <w:jc w:val="center"/>
              <w:rPr>
                <w:sz w:val="18"/>
                <w:szCs w:val="18"/>
              </w:rPr>
            </w:pPr>
            <w:r>
              <w:rPr>
                <w:rFonts w:hint="eastAsia"/>
                <w:sz w:val="18"/>
                <w:szCs w:val="18"/>
              </w:rPr>
              <w:t>2025-2026学年第二学期呼图壁县第六中学学校工作计划</w:t>
            </w:r>
          </w:p>
        </w:tc>
        <w:tc>
          <w:tcPr>
            <w:tcW w:w="1360" w:type="dxa"/>
            <w:shd w:val="clear" w:color="auto" w:fill="auto"/>
            <w:vAlign w:val="center"/>
          </w:tcPr>
          <w:p>
            <w:pPr>
              <w:jc w:val="center"/>
              <w:rPr>
                <w:sz w:val="18"/>
                <w:szCs w:val="18"/>
              </w:rPr>
            </w:pPr>
            <w:r>
              <w:rPr>
                <w:rFonts w:hint="eastAsia"/>
                <w:sz w:val="18"/>
                <w:szCs w:val="18"/>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教师本科学历及以上占比</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六中2025年教育事业综合统计调查表</w:t>
            </w:r>
          </w:p>
        </w:tc>
        <w:tc>
          <w:tcPr>
            <w:tcW w:w="1360" w:type="dxa"/>
            <w:shd w:val="clear" w:color="auto" w:fill="auto"/>
            <w:vAlign w:val="center"/>
          </w:tcPr>
          <w:p>
            <w:pPr>
              <w:jc w:val="center"/>
              <w:rPr>
                <w:sz w:val="18"/>
                <w:szCs w:val="18"/>
              </w:rPr>
            </w:pPr>
            <w:r>
              <w:rPr>
                <w:rFonts w:hint="eastAsia"/>
                <w:sz w:val="18"/>
                <w:szCs w:val="18"/>
              </w:rPr>
              <w:t>33</w:t>
            </w:r>
          </w:p>
        </w:tc>
      </w:tr>
    </w:tbl>
    <w:p>
      <w:pPr>
        <w:pStyle w:val="2"/>
        <w:numPr>
          <w:ilvl w:val="0"/>
          <w:numId w:val="2"/>
        </w:numPr>
        <w:spacing w:before="0" w:after="0" w:line="560" w:lineRule="exact"/>
        <w:ind w:left="0" w:firstLine="562" w:firstLineChars="201"/>
        <w:rPr>
          <w:rFonts w:ascii="楷体" w:eastAsia="楷体"/>
          <w:sz w:val="28"/>
          <w:szCs w:val="28"/>
        </w:rPr>
      </w:pPr>
      <w:r>
        <w:rPr>
          <w:rFonts w:ascii="楷体" w:eastAsia="楷体"/>
          <w:sz w:val="28"/>
          <w:szCs w:val="28"/>
        </w:rPr>
        <w:t>其他需说明的事项</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本部门无其他需说明事项。</w:t>
      </w:r>
    </w:p>
    <w:p>
      <w:pPr>
        <w:pStyle w:val="3"/>
        <w:spacing w:before="156" w:beforeLines="50" w:after="156" w:afterLines="50" w:line="560" w:lineRule="exact"/>
        <w:jc w:val="center"/>
        <w:rPr>
          <w:rFonts w:ascii="黑体" w:eastAsia="黑体"/>
          <w:sz w:val="30"/>
          <w:szCs w:val="30"/>
        </w:rPr>
      </w:pPr>
      <w:r>
        <w:rPr>
          <w:rFonts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呼图壁县第六中学</w:t>
      </w:r>
    </w:p>
    <w:p>
      <w:pPr>
        <w:spacing w:line="560" w:lineRule="exact"/>
        <w:jc w:val="right"/>
        <w:rPr>
          <w:rFonts w:ascii="仿宋" w:eastAsia="仿宋"/>
          <w:sz w:val="28"/>
          <w:szCs w:val="28"/>
        </w:rPr>
      </w:pPr>
      <w:r>
        <w:rPr>
          <w:rFonts w:hint="eastAsia" w:ascii="仿宋" w:hAnsi="CIDFont+F6" w:eastAsia="仿宋"/>
          <w:color w:val="000000"/>
          <w:sz w:val="28"/>
          <w:szCs w:val="28"/>
        </w:rPr>
        <w:t>2026年2月25日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153"/>
        <w:tab w:val="right" w:pos="8306"/>
      </w:tabs>
      <w:jc w:val="center"/>
    </w:pPr>
    <w:r>
      <w:fldChar w:fldCharType="begin"/>
    </w:r>
    <w:r>
      <w:instrText xml:space="preserve">PAGE   \* MERGEFORMAT</w:instrText>
    </w:r>
    <w:r>
      <w:fldChar w:fldCharType="separate"/>
    </w:r>
    <w:r>
      <w:rPr>
        <w:lang w:val="zh-CN"/>
      </w:rPr>
      <w:t>1</w:t>
    </w:r>
    <w:r>
      <w:rPr>
        <w:lang w:val="zh-CN"/>
      </w:rPr>
      <w:fldChar w:fldCharType="end"/>
    </w:r>
  </w:p>
  <w:p>
    <w:pPr>
      <w:pStyle w:val="7"/>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BB5918"/>
    <w:multiLevelType w:val="multilevel"/>
    <w:tmpl w:val="4CBB5918"/>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55654128"/>
    <w:multiLevelType w:val="multilevel"/>
    <w:tmpl w:val="55654128"/>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DEF"/>
    <w:rsid w:val="00013D98"/>
    <w:rsid w:val="00060D25"/>
    <w:rsid w:val="001F58E0"/>
    <w:rsid w:val="00240428"/>
    <w:rsid w:val="00240AA7"/>
    <w:rsid w:val="00344B15"/>
    <w:rsid w:val="00444681"/>
    <w:rsid w:val="005033CC"/>
    <w:rsid w:val="00825833"/>
    <w:rsid w:val="00841DEF"/>
    <w:rsid w:val="00A63A9D"/>
    <w:rsid w:val="00BC0D52"/>
    <w:rsid w:val="00C40139"/>
    <w:rsid w:val="00E30770"/>
    <w:rsid w:val="00F1524C"/>
    <w:rsid w:val="39B4129F"/>
    <w:rsid w:val="60934653"/>
    <w:rsid w:val="6EA21FF9"/>
  </w:rsids>
  <m:mathPr>
    <m:mathFont m:val="Cambria Math"/>
    <m:brkBin m:val="before"/>
    <m:brkBinSub m:val="--"/>
    <m:smallFrac m:val="0"/>
    <m:dispDef/>
    <m:lMargin m:val="0"/>
    <m:rMargin m:val="0"/>
    <m:defJc m:val="centerGroup"/>
    <m:wrapIndent m:val="1440"/>
    <m:intLim m:val="subSup"/>
    <m:naryLim m:val="undOvr"/>
  </m:mathPr>
  <w:attachedSchema w:val="http://www.wps.cn/officeDocument/2013/wpsCustomData"/>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4"/>
    <w:qFormat/>
    <w:uiPriority w:val="0"/>
    <w:pPr>
      <w:keepNext/>
      <w:keepLines/>
      <w:spacing w:before="340" w:after="330" w:line="578" w:lineRule="auto"/>
      <w:outlineLvl w:val="0"/>
    </w:pPr>
    <w:rPr>
      <w:rFonts w:ascii="Times New Roman" w:hAnsi="Times New Roman"/>
      <w:b/>
      <w:kern w:val="44"/>
      <w:sz w:val="44"/>
      <w:szCs w:val="44"/>
    </w:rPr>
  </w:style>
  <w:style w:type="paragraph" w:styleId="4">
    <w:name w:val="heading 2"/>
    <w:basedOn w:val="1"/>
    <w:next w:val="1"/>
    <w:link w:val="15"/>
    <w:qFormat/>
    <w:uiPriority w:val="0"/>
    <w:pPr>
      <w:keepNext/>
      <w:keepLines/>
      <w:spacing w:before="260" w:after="260" w:line="416" w:lineRule="auto"/>
      <w:outlineLvl w:val="1"/>
    </w:pPr>
    <w:rPr>
      <w:rFonts w:ascii="Cambria" w:hAnsi="Cambria"/>
      <w:b/>
      <w:sz w:val="32"/>
      <w:szCs w:val="32"/>
    </w:rPr>
  </w:style>
  <w:style w:type="paragraph" w:styleId="2">
    <w:name w:val="heading 3"/>
    <w:basedOn w:val="1"/>
    <w:next w:val="1"/>
    <w:link w:val="16"/>
    <w:qFormat/>
    <w:uiPriority w:val="0"/>
    <w:pPr>
      <w:keepNext/>
      <w:keepLines/>
      <w:spacing w:before="260" w:after="260" w:line="416" w:lineRule="auto"/>
      <w:outlineLvl w:val="2"/>
    </w:pPr>
    <w:rPr>
      <w:rFonts w:ascii="Times New Roman" w:hAnsi="Times New Roman"/>
      <w:b/>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alloon Text"/>
    <w:basedOn w:val="1"/>
    <w:semiHidden/>
    <w:qFormat/>
    <w:uiPriority w:val="0"/>
    <w:rPr>
      <w:sz w:val="18"/>
      <w:szCs w:val="18"/>
    </w:rPr>
  </w:style>
  <w:style w:type="paragraph" w:styleId="7">
    <w:name w:val="footer"/>
    <w:basedOn w:val="1"/>
    <w:link w:val="18"/>
    <w:qFormat/>
    <w:uiPriority w:val="0"/>
    <w:pPr>
      <w:snapToGrid w:val="0"/>
      <w:jc w:val="left"/>
    </w:pPr>
    <w:rPr>
      <w:sz w:val="18"/>
      <w:szCs w:val="18"/>
    </w:rPr>
  </w:style>
  <w:style w:type="paragraph" w:styleId="8">
    <w:name w:val="header"/>
    <w:basedOn w:val="1"/>
    <w:link w:val="17"/>
    <w:qFormat/>
    <w:uiPriority w:val="0"/>
    <w:pPr>
      <w:pBdr>
        <w:bottom w:val="single" w:color="auto" w:sz="6" w:space="1"/>
      </w:pBdr>
      <w:snapToGrid w:val="0"/>
      <w:jc w:val="center"/>
    </w:pPr>
    <w:rPr>
      <w:sz w:val="18"/>
      <w:szCs w:val="18"/>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bCs/>
    </w:rPr>
  </w:style>
  <w:style w:type="paragraph" w:styleId="13">
    <w:name w:val="List Paragraph"/>
    <w:basedOn w:val="1"/>
    <w:qFormat/>
    <w:uiPriority w:val="0"/>
    <w:pPr>
      <w:ind w:firstLine="200" w:firstLineChars="200"/>
    </w:pPr>
  </w:style>
  <w:style w:type="character" w:customStyle="1" w:styleId="14">
    <w:name w:val="标题 1 Char"/>
    <w:link w:val="3"/>
    <w:qFormat/>
    <w:uiPriority w:val="0"/>
    <w:rPr>
      <w:rFonts w:hint="default" w:ascii="Times New Roman" w:hAnsi="Times New Roman"/>
      <w:b/>
      <w:kern w:val="44"/>
      <w:sz w:val="44"/>
      <w:szCs w:val="44"/>
    </w:rPr>
  </w:style>
  <w:style w:type="character" w:customStyle="1" w:styleId="15">
    <w:name w:val="标题 2 Char"/>
    <w:link w:val="4"/>
    <w:qFormat/>
    <w:uiPriority w:val="0"/>
    <w:rPr>
      <w:rFonts w:hint="default" w:ascii="Cambria" w:hAnsi="Cambria"/>
      <w:b/>
      <w:kern w:val="2"/>
      <w:sz w:val="32"/>
      <w:szCs w:val="32"/>
    </w:rPr>
  </w:style>
  <w:style w:type="character" w:customStyle="1" w:styleId="16">
    <w:name w:val="标题 3 Char"/>
    <w:link w:val="2"/>
    <w:qFormat/>
    <w:uiPriority w:val="0"/>
    <w:rPr>
      <w:rFonts w:hint="default" w:ascii="Times New Roman" w:hAnsi="Times New Roman"/>
      <w:b/>
      <w:kern w:val="2"/>
      <w:sz w:val="32"/>
      <w:szCs w:val="32"/>
    </w:rPr>
  </w:style>
  <w:style w:type="character" w:customStyle="1" w:styleId="17">
    <w:name w:val="页眉 Char"/>
    <w:link w:val="8"/>
    <w:uiPriority w:val="0"/>
    <w:rPr>
      <w:kern w:val="2"/>
      <w:sz w:val="18"/>
      <w:szCs w:val="18"/>
    </w:rPr>
  </w:style>
  <w:style w:type="character" w:customStyle="1" w:styleId="18">
    <w:name w:val="页脚 Char"/>
    <w:link w:val="7"/>
    <w:qFormat/>
    <w:uiPriority w:val="0"/>
    <w:rPr>
      <w:kern w:val="2"/>
      <w:sz w:val="18"/>
      <w:szCs w:val="18"/>
    </w:rPr>
  </w:style>
  <w:style w:type="paragraph" w:customStyle="1" w:styleId="19">
    <w:name w:val="ds-markdown-paragraph"/>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20">
    <w:name w:val="ds-markdown-cite"/>
    <w:basedOn w:val="1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beijing</Company>
  <Pages>25</Pages>
  <Words>2506</Words>
  <Characters>2869</Characters>
  <Lines>79</Lines>
  <Paragraphs>22</Paragraphs>
  <TotalTime>7</TotalTime>
  <ScaleCrop>false</ScaleCrop>
  <LinksUpToDate>false</LinksUpToDate>
  <CharactersWithSpaces>3011</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2026-04-14T10:22:00Z</dcterms:created>
  <dc:creator>home</dc:creator>
  <cp:lastModifiedBy>htbczj</cp:lastModifiedBy>
  <dcterms:modified xsi:type="dcterms:W3CDTF">2026-05-25T05:01:42Z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eyJoZGlkIjoiN2VlNzM2NDNmY2NkNDYwY2YwYTFkYzExOWUyMjRiOGIiLCJ1c2VySWQiOiIxNTE0NDUzMzczIn0=</vt:lpwstr>
  </property>
  <property fmtid="{D5CDD505-2E9C-101B-9397-08002B2CF9AE}" pid="3" name="KSOProductBuildVer">
    <vt:lpwstr>2052-11.8.2.10154</vt:lpwstr>
  </property>
  <property fmtid="{D5CDD505-2E9C-101B-9397-08002B2CF9AE}" pid="4" name="ICV">
    <vt:lpwstr>61205E85374347E6873D84D7E06896C4_12</vt:lpwstr>
  </property>
</Properties>
</file>