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2026年呼图壁县公共检验检测中心</w:t>
      </w: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部门预算公开</w:t>
      </w:r>
    </w:p>
    <w:p>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pPr>
        <w:spacing w:line="560" w:lineRule="exact"/>
        <w:jc w:val="center"/>
        <w:rPr>
          <w:rFonts w:hint="default" w:ascii="黑体" w:eastAsia="黑体"/>
          <w:color w:val="000000"/>
          <w:sz w:val="36"/>
          <w:szCs w:val="36"/>
        </w:rPr>
      </w:pP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2026年部门概况</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2026年部门预算公开表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部门收支总体情况表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部门收入总体情况表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部门支出总体情况表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2026年部门预算情况说明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关于呼图壁县公共检验检测中心2026年收支预算情况的总体说明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关于呼图壁县公共检验检测中心2026年收入预算情况说明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关于呼图壁县公共检验检测中心2026年支出预算情况说明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关于呼图壁县公共检验检测中心2026年财政拨款收支预算情况的总体说明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关于呼图壁县公共检验检测中心2026年一般公共预算当年拨款情况说明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关于呼图壁县公共检验检测中心2026年一般公共预算基本支出情况说明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关于呼图壁县公共检验检测中心2026年一般公共预算项目支出情况说明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关于呼图壁县公共检验检测中心2026年政府性基金预算拨款情况说明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关于呼图壁县公共检验检测中心2026年国有资本经营预算拨款情况说明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关于呼图壁县公共检验检测中心2026年财政拨款“三公”经费预算情况说明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关于呼图壁县公共检验检测中心2026年财政拨款委托业务费支出情况说明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关于呼图壁县公共检验检测中心2026年上年结转结余预算情况说明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pPr>
        <w:jc w:val="left"/>
        <w:rPr>
          <w:rFonts w:hint="default" w:ascii="宋体" w:hAnsi="宋体"/>
          <w:color w:val="000000"/>
          <w:sz w:val="18"/>
          <w:szCs w:val="18"/>
        </w:rPr>
      </w:pPr>
    </w:p>
    <w:p>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2026年部门概况</w:t>
      </w:r>
    </w:p>
    <w:p>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坚持以“客户为中心、质量第一”的服务宗旨，向所有客户提供同等的服务，严格保护客户的所有权，热忱提供强制检定计量器具检定与授权范围内的产品质量监督检验及相关委托检验检测的优质服务，努力实现让客户满意的服务标准。保证产品质量，提供量质标准与检验检测技术服务、用于贸易结算、安全防护、医疗卫生行业涉及的强制检定计量器具授权范围产品质量监督检验、相关委托检验、政府委托产品安全检查、统计及综合信息上报等相关社会服务。</w:t>
      </w:r>
    </w:p>
    <w:p>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呼图壁县公共检验检测中心无下属预算单位。</w:t>
      </w:r>
    </w:p>
    <w:p>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2026年部门预算公开表</w:t>
      </w:r>
    </w:p>
    <w:p>
      <w:pPr>
        <w:jc w:val="left"/>
        <w:rPr>
          <w:rFonts w:hint="default" w:ascii="宋体" w:hAnsi="宋体"/>
          <w:color w:val="000000"/>
          <w:sz w:val="18"/>
          <w:szCs w:val="18"/>
        </w:rPr>
      </w:pPr>
      <w:r>
        <w:rPr>
          <w:rFonts w:hint="eastAsia" w:ascii="宋体" w:hAnsi="宋体"/>
          <w:color w:val="000000"/>
          <w:sz w:val="18"/>
          <w:szCs w:val="18"/>
        </w:rPr>
        <w:t>表1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081" w:type="dxa"/>
            <w:gridSpan w:val="3"/>
            <w:tcBorders>
              <w:top w:val="nil"/>
              <w:left w:val="nil"/>
              <w:bottom w:val="single" w:color="auto" w:sz="4" w:space="0"/>
              <w:right w:val="nil"/>
            </w:tcBorders>
            <w:shd w:val="clear" w:color="auto" w:fill="auto"/>
          </w:tcPr>
          <w:p>
            <w:pPr>
              <w:jc w:val="left"/>
              <w:rPr>
                <w:rFonts w:hint="default" w:ascii="宋体" w:hAnsi="宋体"/>
                <w:color w:val="000000"/>
                <w:sz w:val="18"/>
                <w:szCs w:val="18"/>
              </w:rPr>
            </w:pPr>
            <w:r>
              <w:rPr>
                <w:rFonts w:hint="eastAsia"/>
                <w:color w:val="000000"/>
                <w:sz w:val="18"/>
                <w:szCs w:val="18"/>
              </w:rPr>
              <w:t>编制部门：呼图壁县公共检验检测中心</w:t>
            </w:r>
          </w:p>
        </w:tc>
        <w:tc>
          <w:tcPr>
            <w:tcW w:w="1150" w:type="dxa"/>
            <w:tcBorders>
              <w:top w:val="nil"/>
              <w:left w:val="nil"/>
              <w:bottom w:val="single" w:color="auto" w:sz="4" w:space="0"/>
              <w:right w:val="nil"/>
            </w:tcBorders>
            <w:shd w:val="clear" w:color="auto" w:fill="auto"/>
          </w:tcPr>
          <w:p>
            <w:pPr>
              <w:jc w:val="right"/>
              <w:rPr>
                <w:rFonts w:hint="default" w:ascii="宋体" w:hAnsi="宋体"/>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一、本年收入</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412.05</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268.15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1.一般公共预算拨款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362.05</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其中：一般财力</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362.05</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上级一般公共预算安排转移支付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其中：政府性基金收入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 xml:space="preserve">      上级政府性基金安排转移支付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3.国有资本经营预算拨款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54.19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其中：国有资本经营收入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上级国有资本经营预算安排转移支付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28.27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4.财政专户核拨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5.单位资金</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50.00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其中：事业收入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上级补助收入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附属单位上缴收入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事业单位经营收入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其他收入</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50.00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二、上年结转结余</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1.财政拨款结转</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其中：一般公共预算拨款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61.45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2.非财政拨款结转结余</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单位资金</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233 债务发行费用支出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21"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234 抗疫特别国债安排的支出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jc w:val="center"/>
              <w:rPr>
                <w:rFonts w:hint="default" w:ascii="宋体" w:hAnsi="宋体"/>
                <w:color w:val="000000"/>
                <w:sz w:val="18"/>
                <w:szCs w:val="18"/>
              </w:rPr>
            </w:pPr>
            <w:r>
              <w:rPr>
                <w:rFonts w:hint="eastAsia" w:ascii="宋体" w:hAnsi="宋体"/>
                <w:b/>
                <w:color w:val="000000"/>
                <w:sz w:val="18"/>
                <w:szCs w:val="18"/>
              </w:rPr>
              <w:t>收 入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412.05</w:t>
            </w:r>
          </w:p>
        </w:tc>
        <w:tc>
          <w:tcPr>
            <w:tcW w:w="3600" w:type="dxa"/>
            <w:shd w:val="clear" w:color="auto" w:fill="auto"/>
          </w:tcPr>
          <w:p>
            <w:pPr>
              <w:jc w:val="center"/>
              <w:rPr>
                <w:rFonts w:hint="default" w:ascii="宋体" w:hAnsi="宋体" w:cs="宋体"/>
                <w:color w:val="000000"/>
                <w:sz w:val="18"/>
                <w:szCs w:val="18"/>
              </w:rPr>
            </w:pPr>
            <w:r>
              <w:rPr>
                <w:rFonts w:hint="eastAsia" w:ascii="宋体" w:hAnsi="宋体"/>
                <w:b/>
                <w:color w:val="000000"/>
                <w:sz w:val="18"/>
                <w:szCs w:val="18"/>
              </w:rPr>
              <w:t>支 出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412.05</w:t>
            </w:r>
          </w:p>
        </w:tc>
      </w:tr>
    </w:tbl>
    <w:p>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表2</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部门收入总体情况表</w:t>
      </w:r>
    </w:p>
    <w:tbl>
      <w:tblPr>
        <w:tblStyle w:val="9"/>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pPr>
              <w:jc w:val="left"/>
              <w:rPr>
                <w:rFonts w:hint="default" w:ascii="宋体" w:hAnsi="宋体"/>
                <w:sz w:val="18"/>
                <w:szCs w:val="18"/>
              </w:rPr>
            </w:pPr>
            <w:r>
              <w:rPr>
                <w:rFonts w:hint="eastAsia"/>
                <w:color w:val="000000"/>
                <w:sz w:val="18"/>
                <w:szCs w:val="18"/>
              </w:rPr>
              <w:t>编制部门：呼图壁县公共检验检测中心</w:t>
            </w:r>
          </w:p>
        </w:tc>
        <w:tc>
          <w:tcPr>
            <w:tcW w:w="1800" w:type="dxa"/>
            <w:gridSpan w:val="2"/>
            <w:tcBorders>
              <w:top w:val="nil"/>
              <w:left w:val="nil"/>
              <w:bottom w:val="single" w:color="auto" w:sz="4" w:space="0"/>
              <w:right w:val="nil"/>
            </w:tcBorders>
            <w:shd w:val="clear" w:color="auto" w:fill="auto"/>
            <w:vAlign w:val="center"/>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0" w:type="dxa"/>
            <w:shd w:val="clear" w:color="auto" w:fill="auto"/>
            <w:vAlign w:val="center"/>
          </w:tcPr>
          <w:p>
            <w:pPr>
              <w:jc w:val="center"/>
              <w:rPr>
                <w:rFonts w:hint="default" w:ascii="宋体" w:hAnsi="宋体"/>
                <w:sz w:val="18"/>
                <w:szCs w:val="18"/>
              </w:rPr>
            </w:pPr>
            <w:r>
              <w:rPr>
                <w:rFonts w:hint="eastAsia" w:ascii="宋体" w:hAnsi="宋体"/>
                <w:sz w:val="18"/>
                <w:szCs w:val="18"/>
              </w:rPr>
              <w:t>类</w:t>
            </w:r>
          </w:p>
        </w:tc>
        <w:tc>
          <w:tcPr>
            <w:tcW w:w="260" w:type="dxa"/>
            <w:shd w:val="clear" w:color="auto" w:fill="auto"/>
            <w:vAlign w:val="center"/>
          </w:tcPr>
          <w:p>
            <w:pPr>
              <w:jc w:val="center"/>
              <w:rPr>
                <w:rFonts w:hint="default" w:ascii="宋体" w:hAnsi="宋体"/>
                <w:sz w:val="18"/>
                <w:szCs w:val="18"/>
              </w:rPr>
            </w:pPr>
            <w:r>
              <w:rPr>
                <w:rFonts w:hint="eastAsia" w:ascii="宋体" w:hAnsi="宋体"/>
                <w:sz w:val="18"/>
                <w:szCs w:val="18"/>
              </w:rPr>
              <w:t>款</w:t>
            </w:r>
          </w:p>
        </w:tc>
        <w:tc>
          <w:tcPr>
            <w:tcW w:w="260" w:type="dxa"/>
            <w:shd w:val="clear" w:color="auto" w:fill="auto"/>
            <w:vAlign w:val="center"/>
          </w:tcPr>
          <w:p>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pPr>
              <w:jc w:val="center"/>
              <w:rPr>
                <w:rFonts w:hint="default" w:ascii="宋体" w:hAnsi="宋体"/>
                <w:sz w:val="18"/>
                <w:szCs w:val="18"/>
              </w:rPr>
            </w:pPr>
          </w:p>
        </w:tc>
        <w:tc>
          <w:tcPr>
            <w:tcW w:w="1140" w:type="dxa"/>
            <w:vMerge w:val="continue"/>
            <w:shd w:val="clear" w:color="auto" w:fill="auto"/>
            <w:vAlign w:val="center"/>
          </w:tcPr>
          <w:p>
            <w:pPr>
              <w:jc w:val="center"/>
              <w:rPr>
                <w:rFonts w:hint="default" w:ascii="宋体" w:hAnsi="宋体"/>
                <w:sz w:val="18"/>
                <w:szCs w:val="18"/>
              </w:rPr>
            </w:pP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财政拨款(补助)小计</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一般公共预算</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上级一般公共预算安排的转移支付</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政府性基金预算</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上级政府性基金安排的转移支付</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国有资本经营预算</w:t>
            </w:r>
          </w:p>
        </w:tc>
        <w:tc>
          <w:tcPr>
            <w:tcW w:w="900" w:type="dxa"/>
            <w:shd w:val="clear" w:color="auto" w:fill="auto"/>
            <w:vAlign w:val="center"/>
          </w:tcPr>
          <w:p>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201</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一般公共服务支出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268.15</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252.15</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252.15</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16.00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201</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38</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市场监督管理事务</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268.15</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252.15</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252.15</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16.00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38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10</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质量基础</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5.40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5.40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5.40</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38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50</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事业运行</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262.75</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246.75</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246.75</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16.00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社会保障和就业支出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54.19</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54.19</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54.19</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05</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行政事业单位养老支出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54.19</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54.19</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54.19</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事业单位离退休</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4.31</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4.31</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4.31</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机关事业单位基本养老保险缴费支出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33.25</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33.25</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33.25</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06</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机关事业单位职业年金缴费支出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16.63</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16.63</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16.63</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卫生健康支出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28.27</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28.27</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28.27</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11</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行政事业单位医疗</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28.27</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28.27</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28.27</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事业单位医疗</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19.74</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19.74</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19.74</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03</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公务员医疗补助</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8.31</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8.31</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8.31</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其他行政事业单位医疗支出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0.21</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0.21</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0.21</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住房保障支出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61.45</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27.45</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27.45</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34.00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02</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住房改革支出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61.45</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27.45</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27.45</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34.00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221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住房公积金</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61.45</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27.45</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27.45</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34.00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总计</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412.05</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362.05</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362.05</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50.00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表3</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部门支出总体情况表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编制部门：呼图壁县公共检验检测中心</w:t>
            </w:r>
          </w:p>
        </w:tc>
        <w:tc>
          <w:tcPr>
            <w:tcW w:w="1679"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pPr>
              <w:jc w:val="center"/>
              <w:rPr>
                <w:sz w:val="18"/>
                <w:szCs w:val="18"/>
              </w:rPr>
            </w:pPr>
            <w:r>
              <w:rPr>
                <w:rFonts w:hint="eastAsia"/>
                <w:sz w:val="18"/>
                <w:szCs w:val="18"/>
              </w:rPr>
              <w:t>科目</w:t>
            </w:r>
          </w:p>
        </w:tc>
        <w:tc>
          <w:tcPr>
            <w:tcW w:w="4017" w:type="dxa"/>
            <w:gridSpan w:val="4"/>
            <w:shd w:val="clear" w:color="auto" w:fill="auto"/>
            <w:vAlign w:val="center"/>
          </w:tcPr>
          <w:p>
            <w:pPr>
              <w:jc w:val="center"/>
              <w:rPr>
                <w:sz w:val="18"/>
                <w:szCs w:val="18"/>
              </w:rPr>
            </w:pPr>
            <w:r>
              <w:rPr>
                <w:rFonts w:hint="eastAsia"/>
                <w:sz w:val="18"/>
                <w:szCs w:val="18"/>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4169" w:type="dxa"/>
            <w:vMerge w:val="restart"/>
            <w:shd w:val="clear" w:color="auto" w:fill="auto"/>
            <w:vAlign w:val="center"/>
          </w:tcPr>
          <w:p>
            <w:pPr>
              <w:jc w:val="center"/>
              <w:rPr>
                <w:sz w:val="18"/>
                <w:szCs w:val="18"/>
              </w:rPr>
            </w:pPr>
            <w:r>
              <w:rPr>
                <w:rFonts w:hint="eastAsia"/>
                <w:sz w:val="18"/>
                <w:szCs w:val="18"/>
              </w:rPr>
              <w:t>科目名称</w:t>
            </w:r>
          </w:p>
        </w:tc>
        <w:tc>
          <w:tcPr>
            <w:tcW w:w="1306" w:type="dxa"/>
            <w:vMerge w:val="restart"/>
            <w:shd w:val="clear" w:color="auto" w:fill="auto"/>
            <w:vAlign w:val="center"/>
          </w:tcPr>
          <w:p>
            <w:pPr>
              <w:jc w:val="center"/>
              <w:rPr>
                <w:sz w:val="18"/>
                <w:szCs w:val="18"/>
              </w:rPr>
            </w:pPr>
            <w:r>
              <w:rPr>
                <w:rFonts w:hint="eastAsia"/>
                <w:sz w:val="18"/>
                <w:szCs w:val="18"/>
              </w:rPr>
              <w:t>合计</w:t>
            </w:r>
          </w:p>
        </w:tc>
        <w:tc>
          <w:tcPr>
            <w:tcW w:w="1306" w:type="dxa"/>
            <w:gridSpan w:val="2"/>
            <w:vMerge w:val="restart"/>
            <w:shd w:val="clear" w:color="auto" w:fill="auto"/>
            <w:vAlign w:val="center"/>
          </w:tcPr>
          <w:p>
            <w:pPr>
              <w:jc w:val="center"/>
              <w:rPr>
                <w:sz w:val="18"/>
                <w:szCs w:val="18"/>
              </w:rPr>
            </w:pPr>
            <w:r>
              <w:rPr>
                <w:rFonts w:hint="eastAsia"/>
                <w:sz w:val="18"/>
                <w:szCs w:val="18"/>
              </w:rPr>
              <w:t>基本支出</w:t>
            </w:r>
          </w:p>
        </w:tc>
        <w:tc>
          <w:tcPr>
            <w:tcW w:w="1405"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169" w:type="dxa"/>
            <w:vMerge w:val="continue"/>
            <w:shd w:val="clear" w:color="auto" w:fill="auto"/>
            <w:vAlign w:val="center"/>
          </w:tcPr>
          <w:p>
            <w:pPr>
              <w:jc w:val="center"/>
              <w:rPr>
                <w:sz w:val="18"/>
                <w:szCs w:val="18"/>
              </w:rPr>
            </w:pPr>
          </w:p>
        </w:tc>
        <w:tc>
          <w:tcPr>
            <w:tcW w:w="1306" w:type="dxa"/>
            <w:vMerge w:val="continue"/>
            <w:shd w:val="clear" w:color="auto" w:fill="auto"/>
            <w:vAlign w:val="center"/>
          </w:tcPr>
          <w:p>
            <w:pPr>
              <w:jc w:val="center"/>
              <w:rPr>
                <w:sz w:val="18"/>
                <w:szCs w:val="18"/>
              </w:rPr>
            </w:pPr>
          </w:p>
        </w:tc>
        <w:tc>
          <w:tcPr>
            <w:tcW w:w="1306" w:type="dxa"/>
            <w:gridSpan w:val="2"/>
            <w:vMerge w:val="continue"/>
            <w:shd w:val="clear" w:color="auto" w:fill="auto"/>
            <w:vAlign w:val="center"/>
          </w:tcPr>
          <w:p>
            <w:pPr>
              <w:jc w:val="center"/>
              <w:rPr>
                <w:sz w:val="18"/>
                <w:szCs w:val="18"/>
              </w:rPr>
            </w:pPr>
          </w:p>
        </w:tc>
        <w:tc>
          <w:tcPr>
            <w:tcW w:w="1405"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201</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一般公共服务支出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268.15</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262.75</w:t>
            </w:r>
          </w:p>
        </w:tc>
        <w:tc>
          <w:tcPr>
            <w:tcW w:w="340" w:type="dxa"/>
            <w:shd w:val="clear" w:color="auto" w:fill="auto"/>
            <w:vAlign w:val="center"/>
          </w:tcPr>
          <w:p>
            <w:pPr>
              <w:jc w:val="right"/>
              <w:rPr>
                <w:b/>
                <w:sz w:val="18"/>
                <w:szCs w:val="18"/>
              </w:rPr>
            </w:pPr>
            <w:r>
              <w:rPr>
                <w:rFonts w:hint="eastAsia" w:ascii="宋体" w:hAnsi="宋体"/>
                <w:b/>
                <w:color w:val="000000"/>
                <w:sz w:val="18"/>
                <w:szCs w:val="18"/>
              </w:rPr>
              <w:t>5.40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201</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38</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市场监督管理事务</w:t>
            </w:r>
          </w:p>
        </w:tc>
        <w:tc>
          <w:tcPr>
            <w:tcW w:w="340" w:type="dxa"/>
            <w:shd w:val="clear" w:color="auto" w:fill="auto"/>
            <w:vAlign w:val="center"/>
          </w:tcPr>
          <w:p>
            <w:pPr>
              <w:jc w:val="right"/>
              <w:rPr>
                <w:b/>
                <w:sz w:val="18"/>
                <w:szCs w:val="18"/>
              </w:rPr>
            </w:pPr>
            <w:r>
              <w:rPr>
                <w:rFonts w:hint="eastAsia" w:ascii="宋体" w:hAnsi="宋体"/>
                <w:b/>
                <w:color w:val="000000"/>
                <w:sz w:val="18"/>
                <w:szCs w:val="18"/>
              </w:rPr>
              <w:t>268.15</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262.75</w:t>
            </w:r>
          </w:p>
        </w:tc>
        <w:tc>
          <w:tcPr>
            <w:tcW w:w="340" w:type="dxa"/>
            <w:shd w:val="clear" w:color="auto" w:fill="auto"/>
            <w:vAlign w:val="center"/>
          </w:tcPr>
          <w:p>
            <w:pPr>
              <w:jc w:val="right"/>
              <w:rPr>
                <w:b/>
                <w:sz w:val="18"/>
                <w:szCs w:val="18"/>
              </w:rPr>
            </w:pPr>
            <w:r>
              <w:rPr>
                <w:rFonts w:hint="eastAsia" w:ascii="宋体" w:hAnsi="宋体"/>
                <w:b/>
                <w:color w:val="000000"/>
                <w:sz w:val="18"/>
                <w:szCs w:val="18"/>
              </w:rPr>
              <w:t>5.40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38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10</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质量基础</w:t>
            </w:r>
          </w:p>
        </w:tc>
        <w:tc>
          <w:tcPr>
            <w:tcW w:w="340" w:type="dxa"/>
            <w:shd w:val="clear" w:color="auto" w:fill="auto"/>
            <w:vAlign w:val="center"/>
          </w:tcPr>
          <w:p>
            <w:pPr>
              <w:jc w:val="right"/>
              <w:rPr>
                <w:sz w:val="18"/>
                <w:szCs w:val="18"/>
              </w:rPr>
            </w:pPr>
            <w:r>
              <w:rPr>
                <w:rFonts w:hint="eastAsia" w:ascii="宋体" w:hAnsi="宋体"/>
                <w:color w:val="000000"/>
                <w:sz w:val="18"/>
                <w:szCs w:val="18"/>
              </w:rPr>
              <w:t>5.40</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5.40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38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50</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事业运行</w:t>
            </w:r>
          </w:p>
        </w:tc>
        <w:tc>
          <w:tcPr>
            <w:tcW w:w="340" w:type="dxa"/>
            <w:shd w:val="clear" w:color="auto" w:fill="auto"/>
            <w:vAlign w:val="center"/>
          </w:tcPr>
          <w:p>
            <w:pPr>
              <w:jc w:val="right"/>
              <w:rPr>
                <w:sz w:val="18"/>
                <w:szCs w:val="18"/>
              </w:rPr>
            </w:pPr>
            <w:r>
              <w:rPr>
                <w:rFonts w:hint="eastAsia" w:ascii="宋体" w:hAnsi="宋体"/>
                <w:color w:val="000000"/>
                <w:sz w:val="18"/>
                <w:szCs w:val="18"/>
              </w:rPr>
              <w:t>262.75</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262.75</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社会保障和就业支出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54.19</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54.19</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05</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行政事业单位养老支出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54.19</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54.19</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事业单位离退休</w:t>
            </w:r>
          </w:p>
        </w:tc>
        <w:tc>
          <w:tcPr>
            <w:tcW w:w="340" w:type="dxa"/>
            <w:shd w:val="clear" w:color="auto" w:fill="auto"/>
            <w:vAlign w:val="center"/>
          </w:tcPr>
          <w:p>
            <w:pPr>
              <w:jc w:val="right"/>
              <w:rPr>
                <w:sz w:val="18"/>
                <w:szCs w:val="18"/>
              </w:rPr>
            </w:pPr>
            <w:r>
              <w:rPr>
                <w:rFonts w:hint="eastAsia" w:ascii="宋体" w:hAnsi="宋体"/>
                <w:color w:val="000000"/>
                <w:sz w:val="18"/>
                <w:szCs w:val="18"/>
              </w:rPr>
              <w:t>4.31</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4.31</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机关事业单位基本养老保险缴费支出</w:t>
            </w:r>
          </w:p>
        </w:tc>
        <w:tc>
          <w:tcPr>
            <w:tcW w:w="340" w:type="dxa"/>
            <w:shd w:val="clear" w:color="auto" w:fill="auto"/>
            <w:vAlign w:val="center"/>
          </w:tcPr>
          <w:p>
            <w:pPr>
              <w:jc w:val="right"/>
              <w:rPr>
                <w:sz w:val="18"/>
                <w:szCs w:val="18"/>
              </w:rPr>
            </w:pPr>
            <w:r>
              <w:rPr>
                <w:rFonts w:hint="eastAsia" w:ascii="宋体" w:hAnsi="宋体"/>
                <w:color w:val="000000"/>
                <w:sz w:val="18"/>
                <w:szCs w:val="18"/>
              </w:rPr>
              <w:t>33.25</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33.25</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06</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机关事业单位职业年金缴费支出</w:t>
            </w:r>
          </w:p>
        </w:tc>
        <w:tc>
          <w:tcPr>
            <w:tcW w:w="340" w:type="dxa"/>
            <w:shd w:val="clear" w:color="auto" w:fill="auto"/>
            <w:vAlign w:val="center"/>
          </w:tcPr>
          <w:p>
            <w:pPr>
              <w:jc w:val="right"/>
              <w:rPr>
                <w:sz w:val="18"/>
                <w:szCs w:val="18"/>
              </w:rPr>
            </w:pPr>
            <w:r>
              <w:rPr>
                <w:rFonts w:hint="eastAsia" w:ascii="宋体" w:hAnsi="宋体"/>
                <w:color w:val="000000"/>
                <w:sz w:val="18"/>
                <w:szCs w:val="18"/>
              </w:rPr>
              <w:t>16.63</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16.63</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卫生健康支出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28.27</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28.27</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11</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行政事业单位医疗</w:t>
            </w:r>
          </w:p>
        </w:tc>
        <w:tc>
          <w:tcPr>
            <w:tcW w:w="340" w:type="dxa"/>
            <w:shd w:val="clear" w:color="auto" w:fill="auto"/>
            <w:vAlign w:val="center"/>
          </w:tcPr>
          <w:p>
            <w:pPr>
              <w:jc w:val="right"/>
              <w:rPr>
                <w:b/>
                <w:sz w:val="18"/>
                <w:szCs w:val="18"/>
              </w:rPr>
            </w:pPr>
            <w:r>
              <w:rPr>
                <w:rFonts w:hint="eastAsia" w:ascii="宋体" w:hAnsi="宋体"/>
                <w:b/>
                <w:color w:val="000000"/>
                <w:sz w:val="18"/>
                <w:szCs w:val="18"/>
              </w:rPr>
              <w:t>28.27</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28.27</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事业单位医疗</w:t>
            </w:r>
          </w:p>
        </w:tc>
        <w:tc>
          <w:tcPr>
            <w:tcW w:w="340" w:type="dxa"/>
            <w:shd w:val="clear" w:color="auto" w:fill="auto"/>
            <w:vAlign w:val="center"/>
          </w:tcPr>
          <w:p>
            <w:pPr>
              <w:jc w:val="right"/>
              <w:rPr>
                <w:sz w:val="18"/>
                <w:szCs w:val="18"/>
              </w:rPr>
            </w:pPr>
            <w:r>
              <w:rPr>
                <w:rFonts w:hint="eastAsia" w:ascii="宋体" w:hAnsi="宋体"/>
                <w:color w:val="000000"/>
                <w:sz w:val="18"/>
                <w:szCs w:val="18"/>
              </w:rPr>
              <w:t>19.74</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19.74</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03</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公务员医疗补助</w:t>
            </w:r>
          </w:p>
        </w:tc>
        <w:tc>
          <w:tcPr>
            <w:tcW w:w="340" w:type="dxa"/>
            <w:shd w:val="clear" w:color="auto" w:fill="auto"/>
            <w:vAlign w:val="center"/>
          </w:tcPr>
          <w:p>
            <w:pPr>
              <w:jc w:val="right"/>
              <w:rPr>
                <w:sz w:val="18"/>
                <w:szCs w:val="18"/>
              </w:rPr>
            </w:pPr>
            <w:r>
              <w:rPr>
                <w:rFonts w:hint="eastAsia" w:ascii="宋体" w:hAnsi="宋体"/>
                <w:color w:val="000000"/>
                <w:sz w:val="18"/>
                <w:szCs w:val="18"/>
              </w:rPr>
              <w:t>8.31</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8.31</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其他行政事业单位医疗支出</w:t>
            </w:r>
          </w:p>
        </w:tc>
        <w:tc>
          <w:tcPr>
            <w:tcW w:w="340" w:type="dxa"/>
            <w:shd w:val="clear" w:color="auto" w:fill="auto"/>
            <w:vAlign w:val="center"/>
          </w:tcPr>
          <w:p>
            <w:pPr>
              <w:jc w:val="right"/>
              <w:rPr>
                <w:sz w:val="18"/>
                <w:szCs w:val="18"/>
              </w:rPr>
            </w:pPr>
            <w:r>
              <w:rPr>
                <w:rFonts w:hint="eastAsia" w:ascii="宋体" w:hAnsi="宋体"/>
                <w:color w:val="000000"/>
                <w:sz w:val="18"/>
                <w:szCs w:val="18"/>
              </w:rPr>
              <w:t>0.21</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0.21</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住房保障支出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61.45</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61.45</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02</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住房改革支出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61.45</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61.45</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221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住房公积金</w:t>
            </w:r>
          </w:p>
        </w:tc>
        <w:tc>
          <w:tcPr>
            <w:tcW w:w="340" w:type="dxa"/>
            <w:shd w:val="clear" w:color="auto" w:fill="auto"/>
            <w:vAlign w:val="center"/>
          </w:tcPr>
          <w:p>
            <w:pPr>
              <w:jc w:val="right"/>
              <w:rPr>
                <w:sz w:val="18"/>
                <w:szCs w:val="18"/>
              </w:rPr>
            </w:pPr>
            <w:r>
              <w:rPr>
                <w:rFonts w:hint="eastAsia" w:ascii="宋体" w:hAnsi="宋体"/>
                <w:color w:val="000000"/>
                <w:sz w:val="18"/>
                <w:szCs w:val="18"/>
              </w:rPr>
              <w:t>61.45</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61.45</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总计</w:t>
            </w:r>
          </w:p>
        </w:tc>
        <w:tc>
          <w:tcPr>
            <w:tcW w:w="340" w:type="dxa"/>
            <w:shd w:val="clear" w:color="auto" w:fill="auto"/>
            <w:vAlign w:val="center"/>
          </w:tcPr>
          <w:p>
            <w:pPr>
              <w:jc w:val="right"/>
              <w:rPr>
                <w:b/>
                <w:sz w:val="18"/>
                <w:szCs w:val="18"/>
              </w:rPr>
            </w:pPr>
            <w:r>
              <w:rPr>
                <w:rFonts w:hint="eastAsia" w:ascii="宋体" w:hAnsi="宋体"/>
                <w:b/>
                <w:color w:val="000000"/>
                <w:sz w:val="18"/>
                <w:szCs w:val="18"/>
              </w:rPr>
              <w:t>412.05</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406.65</w:t>
            </w:r>
          </w:p>
        </w:tc>
        <w:tc>
          <w:tcPr>
            <w:tcW w:w="340" w:type="dxa"/>
            <w:shd w:val="clear" w:color="auto" w:fill="auto"/>
            <w:vAlign w:val="center"/>
          </w:tcPr>
          <w:p>
            <w:pPr>
              <w:jc w:val="right"/>
              <w:rPr>
                <w:b/>
                <w:sz w:val="18"/>
                <w:szCs w:val="18"/>
              </w:rPr>
            </w:pPr>
            <w:r>
              <w:rPr>
                <w:rFonts w:hint="eastAsia" w:ascii="宋体" w:hAnsi="宋体"/>
                <w:b/>
                <w:color w:val="000000"/>
                <w:sz w:val="18"/>
                <w:szCs w:val="18"/>
              </w:rPr>
              <w:t>5.40</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表4</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pPr>
              <w:jc w:val="left"/>
              <w:rPr>
                <w:color w:val="000000"/>
                <w:sz w:val="18"/>
                <w:szCs w:val="18"/>
              </w:rPr>
            </w:pPr>
            <w:r>
              <w:rPr>
                <w:rFonts w:hint="eastAsia"/>
                <w:color w:val="000000"/>
                <w:sz w:val="18"/>
                <w:szCs w:val="18"/>
              </w:rPr>
              <w:t>编制部门：呼图壁县公共检验检测中心</w:t>
            </w:r>
          </w:p>
        </w:tc>
        <w:tc>
          <w:tcPr>
            <w:tcW w:w="1119" w:type="dxa"/>
            <w:gridSpan w:val="2"/>
            <w:tcBorders>
              <w:top w:val="nil"/>
              <w:left w:val="nil"/>
              <w:right w:val="nil"/>
            </w:tcBorders>
            <w:shd w:val="clear" w:color="auto" w:fill="auto"/>
          </w:tcPr>
          <w:p>
            <w:pPr>
              <w:jc w:val="right"/>
              <w:rPr>
                <w:color w:val="000000"/>
                <w:sz w:val="18"/>
                <w:szCs w:val="18"/>
              </w:rPr>
            </w:pPr>
          </w:p>
        </w:tc>
        <w:tc>
          <w:tcPr>
            <w:tcW w:w="2006" w:type="dxa"/>
            <w:gridSpan w:val="2"/>
            <w:tcBorders>
              <w:top w:val="nil"/>
              <w:left w:val="nil"/>
              <w:right w:val="nil"/>
            </w:tcBorders>
            <w:shd w:val="clear" w:color="auto" w:fill="auto"/>
            <w:vAlign w:val="center"/>
          </w:tcPr>
          <w:p>
            <w:pPr>
              <w:jc w:val="right"/>
              <w:rPr>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pPr>
              <w:jc w:val="center"/>
              <w:rPr>
                <w:b/>
                <w:color w:val="000000"/>
                <w:sz w:val="18"/>
                <w:szCs w:val="18"/>
              </w:rPr>
            </w:pPr>
            <w:r>
              <w:rPr>
                <w:rFonts w:hint="eastAsia"/>
                <w:b/>
                <w:color w:val="000000"/>
                <w:sz w:val="18"/>
                <w:szCs w:val="18"/>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pPr>
              <w:jc w:val="center"/>
              <w:rPr>
                <w:color w:val="000000"/>
                <w:sz w:val="18"/>
                <w:szCs w:val="18"/>
              </w:rPr>
            </w:pPr>
            <w:r>
              <w:rPr>
                <w:rFonts w:hint="eastAsia"/>
                <w:b/>
                <w:color w:val="000000"/>
                <w:sz w:val="18"/>
                <w:szCs w:val="18"/>
              </w:rPr>
              <w:t>项目</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2434" w:type="dxa"/>
            <w:shd w:val="clear" w:color="auto" w:fill="auto"/>
            <w:vAlign w:val="center"/>
          </w:tcPr>
          <w:p>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pPr>
              <w:jc w:val="center"/>
              <w:rPr>
                <w:color w:val="000000"/>
                <w:sz w:val="18"/>
                <w:szCs w:val="18"/>
              </w:rPr>
            </w:pPr>
            <w:r>
              <w:rPr>
                <w:rFonts w:hint="eastAsia"/>
                <w:b/>
                <w:color w:val="000000"/>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r>
              <w:rPr>
                <w:rFonts w:hint="eastAsia"/>
                <w:b/>
                <w:color w:val="000000"/>
                <w:sz w:val="18"/>
                <w:szCs w:val="18"/>
              </w:rPr>
              <w:t>一、财政拨款（补助）</w:t>
            </w:r>
          </w:p>
        </w:tc>
        <w:tc>
          <w:tcPr>
            <w:tcW w:w="1117"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362.05</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17"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252.15</w:t>
            </w:r>
          </w:p>
        </w:tc>
        <w:tc>
          <w:tcPr>
            <w:tcW w:w="1063" w:type="dxa"/>
            <w:gridSpan w:val="2"/>
            <w:shd w:val="clear" w:color="auto" w:fill="auto"/>
          </w:tcPr>
          <w:p>
            <w:pPr>
              <w:jc w:val="right"/>
              <w:rPr>
                <w:rFonts w:hint="default" w:ascii="宋体" w:hAnsi="宋体"/>
                <w:color w:val="000000"/>
                <w:sz w:val="18"/>
                <w:szCs w:val="18"/>
              </w:rPr>
            </w:pPr>
            <w:r>
              <w:rPr>
                <w:rFonts w:hint="eastAsia" w:ascii="宋体" w:hAnsi="宋体"/>
                <w:color w:val="000000"/>
                <w:sz w:val="18"/>
                <w:szCs w:val="18"/>
              </w:rPr>
              <w:t>252.15</w:t>
            </w: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一般公共预算</w:t>
            </w:r>
          </w:p>
        </w:tc>
        <w:tc>
          <w:tcPr>
            <w:tcW w:w="1117"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362.05</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17" w:type="dxa"/>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政府性基金预算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国有资本经营预算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54.19</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54.19</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28.27</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28.27</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27.45</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27.45</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233 债务发行费用支出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234 抗疫特别国债安排的支出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jc w:val="center"/>
              <w:rPr>
                <w:color w:val="000000"/>
                <w:sz w:val="18"/>
                <w:szCs w:val="18"/>
              </w:rPr>
            </w:pPr>
            <w:r>
              <w:rPr>
                <w:rFonts w:hint="eastAsia"/>
                <w:b/>
                <w:color w:val="000000"/>
                <w:sz w:val="18"/>
                <w:szCs w:val="18"/>
              </w:rPr>
              <w:t>收入总计</w:t>
            </w:r>
          </w:p>
        </w:tc>
        <w:tc>
          <w:tcPr>
            <w:tcW w:w="1117" w:type="dxa"/>
            <w:shd w:val="clear" w:color="auto" w:fill="auto"/>
          </w:tcPr>
          <w:p>
            <w:pPr>
              <w:jc w:val="right"/>
              <w:rPr>
                <w:sz w:val="18"/>
                <w:szCs w:val="18"/>
              </w:rPr>
            </w:pPr>
            <w:r>
              <w:rPr>
                <w:rFonts w:hint="eastAsia" w:ascii="宋体" w:hAnsi="宋体"/>
                <w:b/>
                <w:color w:val="000000"/>
                <w:sz w:val="18"/>
                <w:szCs w:val="18"/>
              </w:rPr>
              <w:t>362.05</w:t>
            </w:r>
          </w:p>
        </w:tc>
        <w:tc>
          <w:tcPr>
            <w:tcW w:w="2434" w:type="dxa"/>
            <w:shd w:val="clear" w:color="auto" w:fill="auto"/>
          </w:tcPr>
          <w:p>
            <w:pPr>
              <w:jc w:val="center"/>
              <w:rPr>
                <w:rFonts w:hint="default" w:ascii="宋体" w:hAnsi="宋体" w:cs="宋体"/>
                <w:color w:val="000000"/>
                <w:sz w:val="18"/>
                <w:szCs w:val="18"/>
              </w:rPr>
            </w:pPr>
            <w:r>
              <w:rPr>
                <w:rFonts w:hint="eastAsia"/>
                <w:b/>
                <w:color w:val="000000"/>
                <w:sz w:val="18"/>
                <w:szCs w:val="18"/>
              </w:rPr>
              <w:t>支出总计</w:t>
            </w:r>
          </w:p>
        </w:tc>
        <w:tc>
          <w:tcPr>
            <w:tcW w:w="1117" w:type="dxa"/>
            <w:shd w:val="clear" w:color="auto" w:fill="auto"/>
          </w:tcPr>
          <w:p>
            <w:pPr>
              <w:jc w:val="right"/>
              <w:rPr>
                <w:sz w:val="18"/>
                <w:szCs w:val="18"/>
              </w:rPr>
            </w:pPr>
            <w:r>
              <w:rPr>
                <w:rFonts w:hint="eastAsia" w:ascii="宋体" w:hAnsi="宋体"/>
                <w:b/>
                <w:color w:val="000000"/>
                <w:sz w:val="18"/>
                <w:szCs w:val="18"/>
              </w:rPr>
              <w:t>362.05</w:t>
            </w:r>
          </w:p>
        </w:tc>
        <w:tc>
          <w:tcPr>
            <w:tcW w:w="1063" w:type="dxa"/>
            <w:gridSpan w:val="2"/>
            <w:shd w:val="clear" w:color="auto" w:fill="auto"/>
          </w:tcPr>
          <w:p>
            <w:pPr>
              <w:jc w:val="right"/>
              <w:rPr>
                <w:sz w:val="18"/>
                <w:szCs w:val="18"/>
              </w:rPr>
            </w:pPr>
            <w:r>
              <w:rPr>
                <w:rFonts w:hint="eastAsia" w:ascii="宋体" w:hAnsi="宋体"/>
                <w:b/>
                <w:color w:val="000000"/>
                <w:sz w:val="18"/>
                <w:szCs w:val="18"/>
              </w:rPr>
              <w:t>362.05</w:t>
            </w:r>
          </w:p>
        </w:tc>
        <w:tc>
          <w:tcPr>
            <w:tcW w:w="1063" w:type="dxa"/>
            <w:gridSpan w:val="2"/>
            <w:shd w:val="clear" w:color="auto" w:fill="auto"/>
          </w:tcPr>
          <w:p>
            <w:pPr>
              <w:jc w:val="right"/>
              <w:rPr>
                <w:sz w:val="18"/>
                <w:szCs w:val="18"/>
              </w:rPr>
            </w:pPr>
          </w:p>
        </w:tc>
        <w:tc>
          <w:tcPr>
            <w:tcW w:w="1051" w:type="dxa"/>
            <w:shd w:val="clear" w:color="auto" w:fill="auto"/>
          </w:tcPr>
          <w:p>
            <w:pPr>
              <w:jc w:val="right"/>
              <w:rPr>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表5</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编制部门：呼图壁县公共检验检测中心</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4026" w:type="dxa"/>
            <w:vMerge w:val="restart"/>
            <w:shd w:val="clear" w:color="auto" w:fill="auto"/>
            <w:vAlign w:val="center"/>
          </w:tcPr>
          <w:p>
            <w:pPr>
              <w:jc w:val="center"/>
              <w:rPr>
                <w:sz w:val="18"/>
                <w:szCs w:val="18"/>
              </w:rPr>
            </w:pPr>
            <w:r>
              <w:rPr>
                <w:rFonts w:hint="eastAsia"/>
                <w:sz w:val="18"/>
                <w:szCs w:val="18"/>
              </w:rPr>
              <w:t>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基本支出</w:t>
            </w:r>
          </w:p>
        </w:tc>
        <w:tc>
          <w:tcPr>
            <w:tcW w:w="142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026"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一般公共服务支出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252.15</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246.75</w:t>
            </w:r>
          </w:p>
        </w:tc>
        <w:tc>
          <w:tcPr>
            <w:tcW w:w="1427" w:type="dxa"/>
            <w:shd w:val="clear" w:color="auto" w:fill="auto"/>
            <w:vAlign w:val="center"/>
          </w:tcPr>
          <w:p>
            <w:pPr>
              <w:jc w:val="right"/>
              <w:rPr>
                <w:b/>
                <w:sz w:val="18"/>
                <w:szCs w:val="18"/>
              </w:rPr>
            </w:pPr>
            <w:r>
              <w:rPr>
                <w:rFonts w:hint="eastAsia" w:ascii="宋体" w:hAnsi="宋体"/>
                <w:b/>
                <w:color w:val="000000"/>
                <w:sz w:val="18"/>
                <w:szCs w:val="18"/>
              </w:rPr>
              <w:t>5.40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b/>
                <w:sz w:val="18"/>
                <w:szCs w:val="18"/>
              </w:rPr>
            </w:pPr>
            <w:r>
              <w:rPr>
                <w:rFonts w:hint="eastAsia" w:ascii="宋体" w:hAnsi="宋体"/>
                <w:b/>
                <w:color w:val="000000"/>
                <w:sz w:val="18"/>
                <w:szCs w:val="18"/>
              </w:rPr>
              <w:t>38</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市场监督管理事务</w:t>
            </w:r>
          </w:p>
        </w:tc>
        <w:tc>
          <w:tcPr>
            <w:tcW w:w="1367" w:type="dxa"/>
            <w:shd w:val="clear" w:color="auto" w:fill="auto"/>
            <w:vAlign w:val="center"/>
          </w:tcPr>
          <w:p>
            <w:pPr>
              <w:jc w:val="right"/>
              <w:rPr>
                <w:b/>
                <w:sz w:val="18"/>
                <w:szCs w:val="18"/>
              </w:rPr>
            </w:pPr>
            <w:r>
              <w:rPr>
                <w:rFonts w:hint="eastAsia" w:ascii="宋体" w:hAnsi="宋体"/>
                <w:b/>
                <w:color w:val="000000"/>
                <w:sz w:val="18"/>
                <w:szCs w:val="18"/>
              </w:rPr>
              <w:t>252.15</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246.75</w:t>
            </w:r>
          </w:p>
        </w:tc>
        <w:tc>
          <w:tcPr>
            <w:tcW w:w="1427" w:type="dxa"/>
            <w:shd w:val="clear" w:color="auto" w:fill="auto"/>
            <w:vAlign w:val="center"/>
          </w:tcPr>
          <w:p>
            <w:pPr>
              <w:jc w:val="right"/>
              <w:rPr>
                <w:b/>
                <w:sz w:val="18"/>
                <w:szCs w:val="18"/>
              </w:rPr>
            </w:pPr>
            <w:r>
              <w:rPr>
                <w:rFonts w:hint="eastAsia" w:ascii="宋体" w:hAnsi="宋体"/>
                <w:b/>
                <w:color w:val="000000"/>
                <w:sz w:val="18"/>
                <w:szCs w:val="18"/>
              </w:rPr>
              <w:t>5.40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201</w:t>
            </w:r>
          </w:p>
        </w:tc>
        <w:tc>
          <w:tcPr>
            <w:tcW w:w="567" w:type="dxa"/>
            <w:shd w:val="clear" w:color="auto" w:fill="auto"/>
            <w:vAlign w:val="center"/>
          </w:tcPr>
          <w:p>
            <w:pPr>
              <w:jc w:val="center"/>
              <w:rPr>
                <w:sz w:val="18"/>
                <w:szCs w:val="18"/>
              </w:rPr>
            </w:pPr>
            <w:r>
              <w:rPr>
                <w:rFonts w:hint="eastAsia" w:ascii="宋体" w:hAnsi="宋体"/>
                <w:color w:val="000000"/>
                <w:sz w:val="18"/>
                <w:szCs w:val="18"/>
              </w:rPr>
              <w:t>38</w:t>
            </w:r>
          </w:p>
        </w:tc>
        <w:tc>
          <w:tcPr>
            <w:tcW w:w="567" w:type="dxa"/>
            <w:shd w:val="clear" w:color="auto" w:fill="auto"/>
            <w:vAlign w:val="center"/>
          </w:tcPr>
          <w:p>
            <w:pPr>
              <w:jc w:val="center"/>
              <w:rPr>
                <w:sz w:val="18"/>
                <w:szCs w:val="18"/>
              </w:rPr>
            </w:pPr>
            <w:r>
              <w:rPr>
                <w:rFonts w:hint="eastAsia" w:ascii="宋体" w:hAnsi="宋体"/>
                <w:color w:val="000000"/>
                <w:sz w:val="18"/>
                <w:szCs w:val="18"/>
              </w:rPr>
              <w:t>10</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质量基础</w:t>
            </w:r>
          </w:p>
        </w:tc>
        <w:tc>
          <w:tcPr>
            <w:tcW w:w="1367" w:type="dxa"/>
            <w:shd w:val="clear" w:color="auto" w:fill="auto"/>
            <w:vAlign w:val="center"/>
          </w:tcPr>
          <w:p>
            <w:pPr>
              <w:jc w:val="right"/>
              <w:rPr>
                <w:sz w:val="18"/>
                <w:szCs w:val="18"/>
              </w:rPr>
            </w:pPr>
            <w:r>
              <w:rPr>
                <w:rFonts w:hint="eastAsia" w:ascii="宋体" w:hAnsi="宋体"/>
                <w:color w:val="000000"/>
                <w:sz w:val="18"/>
                <w:szCs w:val="18"/>
              </w:rPr>
              <w:t>5.40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5.40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201</w:t>
            </w:r>
          </w:p>
        </w:tc>
        <w:tc>
          <w:tcPr>
            <w:tcW w:w="567" w:type="dxa"/>
            <w:shd w:val="clear" w:color="auto" w:fill="auto"/>
            <w:vAlign w:val="center"/>
          </w:tcPr>
          <w:p>
            <w:pPr>
              <w:jc w:val="center"/>
              <w:rPr>
                <w:sz w:val="18"/>
                <w:szCs w:val="18"/>
              </w:rPr>
            </w:pPr>
            <w:r>
              <w:rPr>
                <w:rFonts w:hint="eastAsia" w:ascii="宋体" w:hAnsi="宋体"/>
                <w:color w:val="000000"/>
                <w:sz w:val="18"/>
                <w:szCs w:val="18"/>
              </w:rPr>
              <w:t>38</w:t>
            </w:r>
          </w:p>
        </w:tc>
        <w:tc>
          <w:tcPr>
            <w:tcW w:w="567" w:type="dxa"/>
            <w:shd w:val="clear" w:color="auto" w:fill="auto"/>
            <w:vAlign w:val="center"/>
          </w:tcPr>
          <w:p>
            <w:pPr>
              <w:jc w:val="center"/>
              <w:rPr>
                <w:sz w:val="18"/>
                <w:szCs w:val="18"/>
              </w:rPr>
            </w:pPr>
            <w:r>
              <w:rPr>
                <w:rFonts w:hint="eastAsia" w:ascii="宋体" w:hAnsi="宋体"/>
                <w:color w:val="000000"/>
                <w:sz w:val="18"/>
                <w:szCs w:val="18"/>
              </w:rPr>
              <w:t>50</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事业运行</w:t>
            </w:r>
          </w:p>
        </w:tc>
        <w:tc>
          <w:tcPr>
            <w:tcW w:w="1367" w:type="dxa"/>
            <w:shd w:val="clear" w:color="auto" w:fill="auto"/>
            <w:vAlign w:val="center"/>
          </w:tcPr>
          <w:p>
            <w:pPr>
              <w:jc w:val="right"/>
              <w:rPr>
                <w:sz w:val="18"/>
                <w:szCs w:val="18"/>
              </w:rPr>
            </w:pPr>
            <w:r>
              <w:rPr>
                <w:rFonts w:hint="eastAsia" w:ascii="宋体" w:hAnsi="宋体"/>
                <w:color w:val="000000"/>
                <w:sz w:val="18"/>
                <w:szCs w:val="18"/>
              </w:rPr>
              <w:t>246.75</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246.75</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社会保障和就业支出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54.19</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54.19</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行政事业单位养老支出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54.19</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54.19</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事业单位离退休</w:t>
            </w:r>
          </w:p>
        </w:tc>
        <w:tc>
          <w:tcPr>
            <w:tcW w:w="1367" w:type="dxa"/>
            <w:shd w:val="clear" w:color="auto" w:fill="auto"/>
            <w:vAlign w:val="center"/>
          </w:tcPr>
          <w:p>
            <w:pPr>
              <w:jc w:val="right"/>
              <w:rPr>
                <w:sz w:val="18"/>
                <w:szCs w:val="18"/>
              </w:rPr>
            </w:pPr>
            <w:r>
              <w:rPr>
                <w:rFonts w:hint="eastAsia" w:ascii="宋体" w:hAnsi="宋体"/>
                <w:color w:val="000000"/>
                <w:sz w:val="18"/>
                <w:szCs w:val="18"/>
              </w:rPr>
              <w:t>4.31</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4.31</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机关事业单位基本养老保险缴费支出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33.25</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33.25</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06</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机关事业单位职业年金缴费支出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16.63</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16.63</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卫生健康支出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28.27</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28.27</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行政事业单位医疗</w:t>
            </w:r>
          </w:p>
        </w:tc>
        <w:tc>
          <w:tcPr>
            <w:tcW w:w="1367" w:type="dxa"/>
            <w:shd w:val="clear" w:color="auto" w:fill="auto"/>
            <w:vAlign w:val="center"/>
          </w:tcPr>
          <w:p>
            <w:pPr>
              <w:jc w:val="right"/>
              <w:rPr>
                <w:b/>
                <w:sz w:val="18"/>
                <w:szCs w:val="18"/>
              </w:rPr>
            </w:pPr>
            <w:r>
              <w:rPr>
                <w:rFonts w:hint="eastAsia" w:ascii="宋体" w:hAnsi="宋体"/>
                <w:b/>
                <w:color w:val="000000"/>
                <w:sz w:val="18"/>
                <w:szCs w:val="18"/>
              </w:rPr>
              <w:t>28.27</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28.27</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事业单位医疗</w:t>
            </w:r>
          </w:p>
        </w:tc>
        <w:tc>
          <w:tcPr>
            <w:tcW w:w="1367" w:type="dxa"/>
            <w:shd w:val="clear" w:color="auto" w:fill="auto"/>
            <w:vAlign w:val="center"/>
          </w:tcPr>
          <w:p>
            <w:pPr>
              <w:jc w:val="right"/>
              <w:rPr>
                <w:sz w:val="18"/>
                <w:szCs w:val="18"/>
              </w:rPr>
            </w:pPr>
            <w:r>
              <w:rPr>
                <w:rFonts w:hint="eastAsia" w:ascii="宋体" w:hAnsi="宋体"/>
                <w:color w:val="000000"/>
                <w:sz w:val="18"/>
                <w:szCs w:val="18"/>
              </w:rPr>
              <w:t>19.74</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19.74</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公务员医疗补助</w:t>
            </w:r>
          </w:p>
        </w:tc>
        <w:tc>
          <w:tcPr>
            <w:tcW w:w="1367" w:type="dxa"/>
            <w:shd w:val="clear" w:color="auto" w:fill="auto"/>
            <w:vAlign w:val="center"/>
          </w:tcPr>
          <w:p>
            <w:pPr>
              <w:jc w:val="right"/>
              <w:rPr>
                <w:sz w:val="18"/>
                <w:szCs w:val="18"/>
              </w:rPr>
            </w:pPr>
            <w:r>
              <w:rPr>
                <w:rFonts w:hint="eastAsia" w:ascii="宋体" w:hAnsi="宋体"/>
                <w:color w:val="000000"/>
                <w:sz w:val="18"/>
                <w:szCs w:val="18"/>
              </w:rPr>
              <w:t>8.31</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8.31</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99</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其他行政事业单位医疗支出</w:t>
            </w:r>
          </w:p>
        </w:tc>
        <w:tc>
          <w:tcPr>
            <w:tcW w:w="1367" w:type="dxa"/>
            <w:shd w:val="clear" w:color="auto" w:fill="auto"/>
            <w:vAlign w:val="center"/>
          </w:tcPr>
          <w:p>
            <w:pPr>
              <w:jc w:val="right"/>
              <w:rPr>
                <w:sz w:val="18"/>
                <w:szCs w:val="18"/>
              </w:rPr>
            </w:pPr>
            <w:r>
              <w:rPr>
                <w:rFonts w:hint="eastAsia" w:ascii="宋体" w:hAnsi="宋体"/>
                <w:color w:val="000000"/>
                <w:sz w:val="18"/>
                <w:szCs w:val="18"/>
              </w:rPr>
              <w:t>0.21</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0.21</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住房保障支出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27.45</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27.45</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住房改革支出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27.45</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27.45</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221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住房公积金</w:t>
            </w:r>
          </w:p>
        </w:tc>
        <w:tc>
          <w:tcPr>
            <w:tcW w:w="1367" w:type="dxa"/>
            <w:shd w:val="clear" w:color="auto" w:fill="auto"/>
            <w:vAlign w:val="center"/>
          </w:tcPr>
          <w:p>
            <w:pPr>
              <w:jc w:val="right"/>
              <w:rPr>
                <w:sz w:val="18"/>
                <w:szCs w:val="18"/>
              </w:rPr>
            </w:pPr>
            <w:r>
              <w:rPr>
                <w:rFonts w:hint="eastAsia" w:ascii="宋体" w:hAnsi="宋体"/>
                <w:color w:val="000000"/>
                <w:sz w:val="18"/>
                <w:szCs w:val="18"/>
              </w:rPr>
              <w:t>27.45</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27.45</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center"/>
              <w:rPr>
                <w:b/>
                <w:sz w:val="18"/>
                <w:szCs w:val="18"/>
              </w:rPr>
            </w:pPr>
            <w:r>
              <w:rPr>
                <w:rFonts w:hint="eastAsia" w:ascii="宋体" w:hAnsi="宋体"/>
                <w:b/>
                <w:color w:val="000000"/>
                <w:sz w:val="18"/>
                <w:szCs w:val="18"/>
              </w:rPr>
              <w:t>总计</w:t>
            </w:r>
          </w:p>
        </w:tc>
        <w:tc>
          <w:tcPr>
            <w:tcW w:w="1367" w:type="dxa"/>
            <w:shd w:val="clear" w:color="auto" w:fill="auto"/>
            <w:vAlign w:val="center"/>
          </w:tcPr>
          <w:p>
            <w:pPr>
              <w:jc w:val="right"/>
              <w:rPr>
                <w:b/>
                <w:sz w:val="18"/>
                <w:szCs w:val="18"/>
              </w:rPr>
            </w:pPr>
            <w:r>
              <w:rPr>
                <w:rFonts w:hint="eastAsia" w:ascii="宋体" w:hAnsi="宋体"/>
                <w:b/>
                <w:color w:val="000000"/>
                <w:sz w:val="18"/>
                <w:szCs w:val="18"/>
              </w:rPr>
              <w:t>362.05</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356.65</w:t>
            </w:r>
          </w:p>
        </w:tc>
        <w:tc>
          <w:tcPr>
            <w:tcW w:w="1427" w:type="dxa"/>
            <w:shd w:val="clear" w:color="auto" w:fill="auto"/>
            <w:vAlign w:val="center"/>
          </w:tcPr>
          <w:p>
            <w:pPr>
              <w:jc w:val="right"/>
              <w:rPr>
                <w:b/>
                <w:sz w:val="18"/>
                <w:szCs w:val="18"/>
              </w:rPr>
            </w:pPr>
            <w:r>
              <w:rPr>
                <w:rFonts w:hint="eastAsia" w:ascii="宋体" w:hAnsi="宋体"/>
                <w:b/>
                <w:color w:val="000000"/>
                <w:sz w:val="18"/>
                <w:szCs w:val="18"/>
              </w:rPr>
              <w:t>5.40</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表6</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编制部门：呼图壁县公共检验检测中心</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pPr>
              <w:jc w:val="center"/>
              <w:rPr>
                <w:sz w:val="18"/>
                <w:szCs w:val="18"/>
              </w:rPr>
            </w:pPr>
            <w:r>
              <w:rPr>
                <w:rFonts w:hint="eastAsia"/>
                <w:sz w:val="18"/>
                <w:szCs w:val="18"/>
              </w:rPr>
              <w:t>科目代码</w:t>
            </w:r>
          </w:p>
        </w:tc>
        <w:tc>
          <w:tcPr>
            <w:tcW w:w="4593" w:type="dxa"/>
            <w:vMerge w:val="restart"/>
            <w:shd w:val="clear" w:color="auto" w:fill="auto"/>
            <w:vAlign w:val="center"/>
          </w:tcPr>
          <w:p>
            <w:pPr>
              <w:jc w:val="center"/>
              <w:rPr>
                <w:sz w:val="18"/>
                <w:szCs w:val="18"/>
              </w:rPr>
            </w:pPr>
            <w:r>
              <w:rPr>
                <w:rFonts w:hint="eastAsia"/>
                <w:sz w:val="18"/>
                <w:szCs w:val="18"/>
              </w:rPr>
              <w:t>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人员经费</w:t>
            </w:r>
          </w:p>
        </w:tc>
        <w:tc>
          <w:tcPr>
            <w:tcW w:w="1427" w:type="dxa"/>
            <w:vMerge w:val="restart"/>
            <w:shd w:val="clear" w:color="auto" w:fill="auto"/>
            <w:vAlign w:val="center"/>
          </w:tcPr>
          <w:p>
            <w:pPr>
              <w:jc w:val="center"/>
              <w:rPr>
                <w:sz w:val="18"/>
                <w:szCs w:val="18"/>
              </w:rPr>
            </w:pPr>
            <w:r>
              <w:rPr>
                <w:rFonts w:hint="eastAsia"/>
                <w:sz w:val="18"/>
                <w:szCs w:val="18"/>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4593"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301</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工资福利支出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336.18</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336.18</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基本工资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94.46</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94.46</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津贴补贴</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22.91</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22.91</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奖金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63.00</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63.00</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绩效工资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48.34</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48.34</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机关事业单位基本养老保险缴费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33.25</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33.25</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职业年金缴费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16.63</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16.63</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10</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职工基本医疗保险缴费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19.74</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19.74</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公务员医疗补助缴费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8.31</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8.31</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其他社会保障缴费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2.08</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2.08</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住房公积金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27.45</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27.45</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302</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商品和服务支出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15.72</w:t>
            </w:r>
          </w:p>
        </w:tc>
        <w:tc>
          <w:tcPr>
            <w:tcW w:w="1366" w:type="dxa"/>
            <w:gridSpan w:val="2"/>
            <w:shd w:val="clear" w:color="auto" w:fill="auto"/>
            <w:vAlign w:val="center"/>
          </w:tcPr>
          <w:p>
            <w:pPr>
              <w:jc w:val="right"/>
              <w:rPr>
                <w:rFonts w:hint="default" w:ascii="宋体" w:hAnsi="宋体"/>
                <w:b/>
                <w:sz w:val="18"/>
                <w:szCs w:val="18"/>
              </w:rPr>
            </w:pP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15.72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办公费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1.00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05</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0.08</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06</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电费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0.75</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邮电费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0.52</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取暖费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5.67</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5.67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差旅费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0.10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16</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培训费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0.25</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公务接待费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0.15</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28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工会经费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4.00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31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公务用车运行维护费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0.85</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39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其他交通费用</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2.35</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303</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对个人和家庭的补助</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4.76</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4.76</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退休费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4.31</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4.31</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奖励金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0.45</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0.45</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center"/>
              <w:rPr>
                <w:rFonts w:hint="default" w:ascii="宋体" w:hAnsi="宋体"/>
                <w:b/>
                <w:sz w:val="18"/>
                <w:szCs w:val="18"/>
              </w:rPr>
            </w:pPr>
            <w:r>
              <w:rPr>
                <w:rFonts w:hint="default" w:ascii="宋体" w:hAnsi="宋体"/>
                <w:b/>
                <w:sz w:val="18"/>
                <w:szCs w:val="18"/>
              </w:rPr>
              <w:t>总计</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356.65</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340.94</w:t>
            </w: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15.72</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表7</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1748" w:type="dxa"/>
            <w:gridSpan w:val="14"/>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编制部门：呼图壁县公共检验检测中心</w:t>
            </w:r>
          </w:p>
        </w:tc>
        <w:tc>
          <w:tcPr>
            <w:tcW w:w="1700"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60" w:type="dxa"/>
            <w:gridSpan w:val="3"/>
            <w:shd w:val="clear" w:color="auto" w:fill="auto"/>
            <w:vAlign w:val="center"/>
          </w:tcPr>
          <w:p>
            <w:pPr>
              <w:jc w:val="center"/>
              <w:rPr>
                <w:sz w:val="18"/>
                <w:szCs w:val="18"/>
              </w:rPr>
            </w:pPr>
            <w:r>
              <w:rPr>
                <w:rFonts w:hint="eastAsia"/>
                <w:sz w:val="18"/>
                <w:szCs w:val="18"/>
              </w:rPr>
              <w:t>科目代码</w:t>
            </w:r>
          </w:p>
        </w:tc>
        <w:tc>
          <w:tcPr>
            <w:tcW w:w="2000" w:type="dxa"/>
            <w:vMerge w:val="restart"/>
            <w:shd w:val="clear" w:color="auto" w:fill="auto"/>
            <w:vAlign w:val="center"/>
          </w:tcPr>
          <w:p>
            <w:pPr>
              <w:jc w:val="center"/>
              <w:rPr>
                <w:sz w:val="18"/>
                <w:szCs w:val="18"/>
              </w:rPr>
            </w:pPr>
            <w:r>
              <w:rPr>
                <w:rFonts w:hint="eastAsia"/>
                <w:sz w:val="18"/>
                <w:szCs w:val="18"/>
              </w:rPr>
              <w:t>科目名称</w:t>
            </w:r>
          </w:p>
        </w:tc>
        <w:tc>
          <w:tcPr>
            <w:tcW w:w="2000" w:type="dxa"/>
            <w:vMerge w:val="restart"/>
            <w:shd w:val="clear" w:color="auto" w:fill="auto"/>
            <w:vAlign w:val="center"/>
          </w:tcPr>
          <w:p>
            <w:pPr>
              <w:jc w:val="center"/>
              <w:rPr>
                <w:sz w:val="18"/>
                <w:szCs w:val="18"/>
              </w:rPr>
            </w:pPr>
            <w:r>
              <w:rPr>
                <w:rFonts w:hint="eastAsia"/>
                <w:sz w:val="18"/>
                <w:szCs w:val="18"/>
              </w:rPr>
              <w:t>项目名称</w:t>
            </w:r>
          </w:p>
        </w:tc>
        <w:tc>
          <w:tcPr>
            <w:tcW w:w="850" w:type="dxa"/>
            <w:vMerge w:val="restart"/>
            <w:shd w:val="clear" w:color="auto" w:fill="auto"/>
            <w:vAlign w:val="center"/>
          </w:tcPr>
          <w:p>
            <w:pPr>
              <w:jc w:val="center"/>
              <w:rPr>
                <w:sz w:val="18"/>
                <w:szCs w:val="18"/>
              </w:rPr>
            </w:pPr>
            <w:r>
              <w:rPr>
                <w:rFonts w:hint="eastAsia"/>
                <w:sz w:val="18"/>
                <w:szCs w:val="18"/>
              </w:rPr>
              <w:t>项目支出合计</w:t>
            </w:r>
          </w:p>
        </w:tc>
        <w:tc>
          <w:tcPr>
            <w:tcW w:w="850" w:type="dxa"/>
            <w:vMerge w:val="restart"/>
            <w:shd w:val="clear" w:color="auto" w:fill="auto"/>
            <w:vAlign w:val="center"/>
          </w:tcPr>
          <w:p>
            <w:pPr>
              <w:jc w:val="center"/>
              <w:rPr>
                <w:sz w:val="18"/>
                <w:szCs w:val="18"/>
              </w:rPr>
            </w:pPr>
            <w:r>
              <w:rPr>
                <w:rFonts w:hint="eastAsia"/>
                <w:sz w:val="18"/>
                <w:szCs w:val="18"/>
              </w:rPr>
              <w:t>工资福利支出</w:t>
            </w:r>
          </w:p>
        </w:tc>
        <w:tc>
          <w:tcPr>
            <w:tcW w:w="850" w:type="dxa"/>
            <w:vMerge w:val="restart"/>
            <w:shd w:val="clear" w:color="auto" w:fill="auto"/>
            <w:vAlign w:val="center"/>
          </w:tcPr>
          <w:p>
            <w:pPr>
              <w:jc w:val="center"/>
              <w:rPr>
                <w:sz w:val="18"/>
                <w:szCs w:val="18"/>
              </w:rPr>
            </w:pPr>
            <w:r>
              <w:rPr>
                <w:rFonts w:hint="eastAsia"/>
                <w:sz w:val="18"/>
                <w:szCs w:val="18"/>
              </w:rPr>
              <w:t>商品和服务支出</w:t>
            </w:r>
          </w:p>
        </w:tc>
        <w:tc>
          <w:tcPr>
            <w:tcW w:w="850" w:type="dxa"/>
            <w:vMerge w:val="restart"/>
            <w:shd w:val="clear" w:color="auto" w:fill="auto"/>
            <w:vAlign w:val="center"/>
          </w:tcPr>
          <w:p>
            <w:pPr>
              <w:jc w:val="center"/>
              <w:rPr>
                <w:sz w:val="18"/>
                <w:szCs w:val="18"/>
              </w:rPr>
            </w:pPr>
            <w:r>
              <w:rPr>
                <w:rFonts w:hint="eastAsia"/>
                <w:sz w:val="18"/>
                <w:szCs w:val="18"/>
              </w:rPr>
              <w:t>对个人和家庭的补助</w:t>
            </w:r>
          </w:p>
        </w:tc>
        <w:tc>
          <w:tcPr>
            <w:tcW w:w="850" w:type="dxa"/>
            <w:vMerge w:val="restart"/>
            <w:shd w:val="clear" w:color="auto" w:fill="auto"/>
            <w:vAlign w:val="center"/>
          </w:tcPr>
          <w:p>
            <w:pPr>
              <w:jc w:val="center"/>
              <w:rPr>
                <w:sz w:val="18"/>
                <w:szCs w:val="18"/>
              </w:rPr>
            </w:pPr>
            <w:r>
              <w:rPr>
                <w:rFonts w:hint="eastAsia"/>
                <w:sz w:val="18"/>
                <w:szCs w:val="18"/>
              </w:rPr>
              <w:t>债务利息及费用支出</w:t>
            </w:r>
          </w:p>
        </w:tc>
        <w:tc>
          <w:tcPr>
            <w:tcW w:w="850" w:type="dxa"/>
            <w:vMerge w:val="restart"/>
            <w:shd w:val="clear" w:color="auto" w:fill="auto"/>
            <w:vAlign w:val="center"/>
          </w:tcPr>
          <w:p>
            <w:pPr>
              <w:jc w:val="center"/>
              <w:rPr>
                <w:sz w:val="18"/>
                <w:szCs w:val="18"/>
              </w:rPr>
            </w:pPr>
            <w:r>
              <w:rPr>
                <w:rFonts w:hint="eastAsia"/>
                <w:sz w:val="18"/>
                <w:szCs w:val="18"/>
              </w:rPr>
              <w:t>资本性支出（基本建设）</w:t>
            </w:r>
          </w:p>
        </w:tc>
        <w:tc>
          <w:tcPr>
            <w:tcW w:w="850" w:type="dxa"/>
            <w:vMerge w:val="restart"/>
            <w:shd w:val="clear" w:color="auto" w:fill="auto"/>
            <w:vAlign w:val="center"/>
          </w:tcPr>
          <w:p>
            <w:pPr>
              <w:jc w:val="center"/>
              <w:rPr>
                <w:sz w:val="18"/>
                <w:szCs w:val="18"/>
              </w:rPr>
            </w:pPr>
            <w:r>
              <w:rPr>
                <w:rFonts w:hint="eastAsia"/>
                <w:sz w:val="18"/>
                <w:szCs w:val="18"/>
              </w:rPr>
              <w:t>资本性支出</w:t>
            </w:r>
          </w:p>
        </w:tc>
        <w:tc>
          <w:tcPr>
            <w:tcW w:w="850" w:type="dxa"/>
            <w:vMerge w:val="restart"/>
            <w:shd w:val="clear" w:color="auto" w:fill="auto"/>
            <w:vAlign w:val="center"/>
          </w:tcPr>
          <w:p>
            <w:pPr>
              <w:jc w:val="center"/>
              <w:rPr>
                <w:sz w:val="18"/>
                <w:szCs w:val="18"/>
              </w:rPr>
            </w:pPr>
            <w:r>
              <w:rPr>
                <w:rFonts w:hint="eastAsia"/>
                <w:sz w:val="18"/>
                <w:szCs w:val="18"/>
              </w:rPr>
              <w:t>对企业补助（基本建设）</w:t>
            </w:r>
          </w:p>
        </w:tc>
        <w:tc>
          <w:tcPr>
            <w:tcW w:w="850" w:type="dxa"/>
            <w:vMerge w:val="restart"/>
            <w:shd w:val="clear" w:color="auto" w:fill="auto"/>
            <w:vAlign w:val="center"/>
          </w:tcPr>
          <w:p>
            <w:pPr>
              <w:jc w:val="center"/>
              <w:rPr>
                <w:sz w:val="18"/>
                <w:szCs w:val="18"/>
              </w:rPr>
            </w:pPr>
            <w:r>
              <w:rPr>
                <w:rFonts w:hint="eastAsia"/>
                <w:sz w:val="18"/>
                <w:szCs w:val="18"/>
              </w:rPr>
              <w:t>对企业补助</w:t>
            </w:r>
          </w:p>
        </w:tc>
        <w:tc>
          <w:tcPr>
            <w:tcW w:w="850" w:type="dxa"/>
            <w:vMerge w:val="restart"/>
            <w:shd w:val="clear" w:color="auto" w:fill="auto"/>
            <w:vAlign w:val="center"/>
          </w:tcPr>
          <w:p>
            <w:pPr>
              <w:jc w:val="center"/>
              <w:rPr>
                <w:sz w:val="18"/>
                <w:szCs w:val="18"/>
              </w:rPr>
            </w:pPr>
            <w:r>
              <w:rPr>
                <w:rFonts w:hint="eastAsia"/>
                <w:sz w:val="18"/>
                <w:szCs w:val="18"/>
              </w:rPr>
              <w:t>对社会保障基金补助</w:t>
            </w:r>
          </w:p>
        </w:tc>
        <w:tc>
          <w:tcPr>
            <w:tcW w:w="850" w:type="dxa"/>
            <w:vMerge w:val="restart"/>
            <w:shd w:val="clear" w:color="auto" w:fill="auto"/>
            <w:vAlign w:val="center"/>
          </w:tcPr>
          <w:p>
            <w:pPr>
              <w:jc w:val="center"/>
              <w:rPr>
                <w:sz w:val="18"/>
                <w:szCs w:val="18"/>
              </w:rPr>
            </w:pPr>
            <w:r>
              <w:rPr>
                <w:rFonts w:hint="eastAsia"/>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pPr>
              <w:jc w:val="center"/>
              <w:rPr>
                <w:sz w:val="18"/>
                <w:szCs w:val="18"/>
              </w:rPr>
            </w:pPr>
            <w:r>
              <w:rPr>
                <w:rFonts w:hint="eastAsia"/>
                <w:sz w:val="18"/>
                <w:szCs w:val="18"/>
              </w:rPr>
              <w:t>类</w:t>
            </w:r>
          </w:p>
        </w:tc>
        <w:tc>
          <w:tcPr>
            <w:tcW w:w="260" w:type="dxa"/>
            <w:shd w:val="clear" w:color="auto" w:fill="auto"/>
            <w:vAlign w:val="center"/>
          </w:tcPr>
          <w:p>
            <w:pPr>
              <w:jc w:val="center"/>
              <w:rPr>
                <w:sz w:val="18"/>
                <w:szCs w:val="18"/>
              </w:rPr>
            </w:pPr>
            <w:r>
              <w:rPr>
                <w:rFonts w:hint="eastAsia"/>
                <w:sz w:val="18"/>
                <w:szCs w:val="18"/>
              </w:rPr>
              <w:t>款</w:t>
            </w:r>
          </w:p>
        </w:tc>
        <w:tc>
          <w:tcPr>
            <w:tcW w:w="260" w:type="dxa"/>
            <w:shd w:val="clear" w:color="auto" w:fill="auto"/>
            <w:vAlign w:val="center"/>
          </w:tcPr>
          <w:p>
            <w:pPr>
              <w:jc w:val="center"/>
              <w:rPr>
                <w:sz w:val="18"/>
                <w:szCs w:val="18"/>
              </w:rPr>
            </w:pPr>
            <w:r>
              <w:rPr>
                <w:rFonts w:hint="eastAsia"/>
                <w:sz w:val="18"/>
                <w:szCs w:val="18"/>
              </w:rPr>
              <w:t>项</w:t>
            </w:r>
          </w:p>
        </w:tc>
        <w:tc>
          <w:tcPr>
            <w:tcW w:w="2500" w:type="dxa"/>
            <w:vMerge w:val="continue"/>
            <w:shd w:val="clear" w:color="auto" w:fill="auto"/>
            <w:vAlign w:val="center"/>
          </w:tcPr>
          <w:p>
            <w:pPr>
              <w:jc w:val="center"/>
              <w:rPr>
                <w:sz w:val="18"/>
                <w:szCs w:val="18"/>
              </w:rPr>
            </w:pPr>
          </w:p>
        </w:tc>
        <w:tc>
          <w:tcPr>
            <w:tcW w:w="250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tcPr>
          <w:p>
            <w:pPr>
              <w:jc w:val="center"/>
              <w:rPr>
                <w:sz w:val="18"/>
                <w:szCs w:val="18"/>
              </w:rPr>
            </w:pPr>
          </w:p>
        </w:tc>
        <w:tc>
          <w:tcPr>
            <w:tcW w:w="850" w:type="dxa"/>
            <w:vMerge w:val="continue"/>
            <w:shd w:val="clear" w:color="auto" w:fill="auto"/>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呼图壁县公共检验检测中心</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5.40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5.40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201</w:t>
            </w:r>
          </w:p>
        </w:tc>
        <w:tc>
          <w:tcPr>
            <w:tcW w:w="26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 xml:space="preserve">  一般公共服务支出</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5.40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5.40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201</w:t>
            </w:r>
          </w:p>
        </w:tc>
        <w:tc>
          <w:tcPr>
            <w:tcW w:w="260" w:type="dxa"/>
            <w:shd w:val="clear" w:color="auto" w:fill="auto"/>
            <w:vAlign w:val="center"/>
          </w:tcPr>
          <w:p>
            <w:pPr>
              <w:jc w:val="center"/>
              <w:rPr>
                <w:b/>
                <w:sz w:val="18"/>
                <w:szCs w:val="18"/>
              </w:rPr>
            </w:pPr>
            <w:r>
              <w:rPr>
                <w:rFonts w:hint="default" w:ascii="宋体" w:hAnsi="宋体"/>
                <w:b/>
                <w:kern w:val="0"/>
                <w:sz w:val="13"/>
                <w:szCs w:val="13"/>
              </w:rPr>
              <w:t>38</w:t>
            </w: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 xml:space="preserve">    市场监督管理事务</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5.40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5.40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201</w:t>
            </w:r>
          </w:p>
        </w:tc>
        <w:tc>
          <w:tcPr>
            <w:tcW w:w="260" w:type="dxa"/>
            <w:shd w:val="clear" w:color="auto" w:fill="auto"/>
            <w:vAlign w:val="center"/>
          </w:tcPr>
          <w:p>
            <w:pPr>
              <w:jc w:val="center"/>
              <w:rPr>
                <w:sz w:val="18"/>
                <w:szCs w:val="18"/>
              </w:rPr>
            </w:pPr>
            <w:r>
              <w:rPr>
                <w:rFonts w:hint="default" w:ascii="宋体" w:hAnsi="宋体"/>
                <w:kern w:val="0"/>
                <w:sz w:val="13"/>
                <w:szCs w:val="13"/>
              </w:rPr>
              <w:t>38</w:t>
            </w:r>
          </w:p>
        </w:tc>
        <w:tc>
          <w:tcPr>
            <w:tcW w:w="260" w:type="dxa"/>
            <w:shd w:val="clear" w:color="auto" w:fill="auto"/>
            <w:vAlign w:val="center"/>
          </w:tcPr>
          <w:p>
            <w:pPr>
              <w:jc w:val="center"/>
              <w:rPr>
                <w:sz w:val="18"/>
                <w:szCs w:val="18"/>
              </w:rPr>
            </w:pPr>
            <w:r>
              <w:rPr>
                <w:rFonts w:hint="default" w:ascii="宋体" w:hAnsi="宋体"/>
                <w:kern w:val="0"/>
                <w:sz w:val="13"/>
                <w:szCs w:val="13"/>
              </w:rPr>
              <w:t>10</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质量基础</w:t>
            </w:r>
          </w:p>
        </w:tc>
        <w:tc>
          <w:tcPr>
            <w:tcW w:w="2500" w:type="dxa"/>
            <w:shd w:val="clear" w:color="auto" w:fill="auto"/>
            <w:vAlign w:val="center"/>
          </w:tcPr>
          <w:p>
            <w:pPr>
              <w:jc w:val="left"/>
              <w:rPr>
                <w:sz w:val="18"/>
                <w:szCs w:val="18"/>
              </w:rPr>
            </w:pPr>
            <w:r>
              <w:rPr>
                <w:rFonts w:hint="default" w:ascii="宋体" w:hAnsi="宋体"/>
                <w:kern w:val="0"/>
                <w:sz w:val="13"/>
                <w:szCs w:val="13"/>
              </w:rPr>
              <w:t>2026年支付各类其他刚性资金</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5.40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5.40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center"/>
              <w:rPr>
                <w:b/>
                <w:sz w:val="18"/>
                <w:szCs w:val="18"/>
              </w:rPr>
            </w:pPr>
            <w:r>
              <w:rPr>
                <w:rFonts w:hint="default" w:ascii="宋体" w:hAnsi="宋体"/>
                <w:b/>
                <w:kern w:val="0"/>
                <w:sz w:val="13"/>
                <w:szCs w:val="13"/>
              </w:rPr>
              <w:t>总计</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5.40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5.40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r>
        <w:rPr>
          <w:rFonts w:hint="eastAsia" w:ascii="宋体" w:hAnsi="宋体"/>
          <w:color w:val="000000"/>
          <w:sz w:val="18"/>
          <w:szCs w:val="18"/>
        </w:rPr>
        <w:t>表8</w:t>
      </w:r>
    </w:p>
    <w:p>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编制部门：呼图壁县公共检验检测中心</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2551" w:type="dxa"/>
            <w:vMerge w:val="restart"/>
            <w:shd w:val="clear" w:color="auto" w:fill="auto"/>
            <w:vAlign w:val="center"/>
          </w:tcPr>
          <w:p>
            <w:pPr>
              <w:jc w:val="center"/>
              <w:rPr>
                <w:sz w:val="18"/>
                <w:szCs w:val="18"/>
              </w:rPr>
            </w:pPr>
            <w:r>
              <w:rPr>
                <w:rFonts w:hint="eastAsia"/>
                <w:sz w:val="18"/>
                <w:szCs w:val="18"/>
              </w:rPr>
              <w:t>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2551" w:type="dxa"/>
            <w:shd w:val="clear" w:color="auto" w:fill="auto"/>
            <w:vAlign w:val="center"/>
          </w:tcPr>
          <w:p>
            <w:pPr>
              <w:jc w:val="center"/>
              <w:rPr>
                <w:b/>
                <w:sz w:val="18"/>
                <w:szCs w:val="18"/>
              </w:rPr>
            </w:pPr>
            <w:r>
              <w:rPr>
                <w:rFonts w:hint="default" w:ascii="宋体" w:hAnsi="宋体"/>
                <w:b/>
                <w:kern w:val="0"/>
                <w:sz w:val="18"/>
                <w:szCs w:val="18"/>
              </w:rPr>
              <w:t>总计</w:t>
            </w:r>
          </w:p>
        </w:tc>
        <w:tc>
          <w:tcPr>
            <w:tcW w:w="1418" w:type="dxa"/>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c>
          <w:tcPr>
            <w:tcW w:w="1418" w:type="dxa"/>
            <w:gridSpan w:val="2"/>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呼图壁县公共检验检测中心2026年没有使用政府性基金预算拨款安排的支出，政府性基金预算支出情况表为空表。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表9</w:t>
      </w:r>
    </w:p>
    <w:p>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编制部门：呼图壁县公共检验检测中心</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2551" w:type="dxa"/>
            <w:vMerge w:val="restart"/>
            <w:shd w:val="clear" w:color="auto" w:fill="auto"/>
            <w:vAlign w:val="center"/>
          </w:tcPr>
          <w:p>
            <w:pPr>
              <w:jc w:val="center"/>
              <w:rPr>
                <w:sz w:val="18"/>
                <w:szCs w:val="18"/>
              </w:rPr>
            </w:pPr>
            <w:r>
              <w:rPr>
                <w:rFonts w:hint="eastAsia"/>
                <w:sz w:val="18"/>
                <w:szCs w:val="18"/>
              </w:rPr>
              <w:t>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2551" w:type="dxa"/>
            <w:shd w:val="clear" w:color="auto" w:fill="auto"/>
            <w:vAlign w:val="center"/>
          </w:tcPr>
          <w:p>
            <w:pPr>
              <w:jc w:val="center"/>
              <w:rPr>
                <w:b/>
                <w:sz w:val="18"/>
                <w:szCs w:val="18"/>
              </w:rPr>
            </w:pPr>
            <w:r>
              <w:rPr>
                <w:rFonts w:hint="default" w:ascii="宋体" w:hAnsi="宋体"/>
                <w:b/>
                <w:kern w:val="0"/>
                <w:sz w:val="18"/>
                <w:szCs w:val="18"/>
              </w:rPr>
              <w:t>总计</w:t>
            </w:r>
          </w:p>
        </w:tc>
        <w:tc>
          <w:tcPr>
            <w:tcW w:w="1418" w:type="dxa"/>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c>
          <w:tcPr>
            <w:tcW w:w="1418" w:type="dxa"/>
            <w:gridSpan w:val="2"/>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呼图壁县公共检验检测中心2026年没有使用国有资本经营预算拨款安排的支出，国有资本经营预算支出情况表为空表。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表10</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3"/>
        <w:gridCol w:w="1396"/>
        <w:gridCol w:w="1396"/>
        <w:gridCol w:w="1363"/>
        <w:gridCol w:w="1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9720" w:type="dxa"/>
            <w:gridSpan w:val="4"/>
            <w:tcBorders>
              <w:top w:val="nil"/>
              <w:left w:val="nil"/>
              <w:right w:val="nil"/>
            </w:tcBorders>
            <w:shd w:val="clear" w:color="auto" w:fill="auto"/>
            <w:vAlign w:val="center"/>
          </w:tcPr>
          <w:p>
            <w:pPr>
              <w:jc w:val="left"/>
              <w:rPr>
                <w:rFonts w:hint="default" w:ascii="宋体" w:hAnsi="宋体"/>
                <w:sz w:val="18"/>
                <w:szCs w:val="18"/>
              </w:rPr>
            </w:pPr>
            <w:r>
              <w:rPr>
                <w:rFonts w:hint="eastAsia"/>
                <w:color w:val="000000"/>
                <w:sz w:val="18"/>
                <w:szCs w:val="18"/>
              </w:rPr>
              <w:t>编制部门：呼图壁县公共检验检测中心</w:t>
            </w:r>
          </w:p>
        </w:tc>
        <w:tc>
          <w:tcPr>
            <w:tcW w:w="1600" w:type="dxa"/>
            <w:tcBorders>
              <w:top w:val="nil"/>
              <w:left w:val="nil"/>
              <w:right w:val="nil"/>
            </w:tcBorders>
            <w:shd w:val="clear" w:color="auto" w:fill="auto"/>
            <w:vAlign w:val="center"/>
          </w:tcPr>
          <w:p>
            <w:pPr>
              <w:jc w:val="right"/>
              <w:rPr>
                <w:rFonts w:hint="default"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0" w:type="dxa"/>
            <w:vMerge w:val="restart"/>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600" w:type="dxa"/>
            <w:vMerge w:val="restart"/>
            <w:shd w:val="clear" w:color="auto" w:fill="auto"/>
            <w:vAlign w:val="center"/>
          </w:tcPr>
          <w:p>
            <w:pPr>
              <w:jc w:val="center"/>
              <w:rPr>
                <w:rFonts w:hint="default" w:ascii="宋体" w:hAnsi="宋体"/>
                <w:color w:val="000000"/>
                <w:sz w:val="18"/>
                <w:szCs w:val="18"/>
              </w:rPr>
            </w:pPr>
            <w:r>
              <w:rPr>
                <w:rFonts w:hint="eastAsia" w:ascii="宋体" w:hAnsi="宋体"/>
                <w:sz w:val="18"/>
                <w:szCs w:val="18"/>
              </w:rPr>
              <w:t>合计</w:t>
            </w:r>
          </w:p>
        </w:tc>
        <w:tc>
          <w:tcPr>
            <w:tcW w:w="4800" w:type="dxa"/>
            <w:gridSpan w:val="3"/>
            <w:shd w:val="clear" w:color="auto" w:fill="auto"/>
            <w:vAlign w:val="center"/>
          </w:tcPr>
          <w:p>
            <w:pPr>
              <w:jc w:val="center"/>
              <w:rPr>
                <w:rFonts w:hint="default"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0" w:type="dxa"/>
            <w:vMerge w:val="continue"/>
            <w:shd w:val="clear" w:color="auto" w:fill="auto"/>
            <w:vAlign w:val="center"/>
          </w:tcPr>
          <w:p>
            <w:pPr>
              <w:jc w:val="center"/>
              <w:rPr>
                <w:rFonts w:hint="default" w:ascii="宋体" w:hAnsi="宋体"/>
                <w:color w:val="000000"/>
                <w:sz w:val="18"/>
                <w:szCs w:val="18"/>
              </w:rPr>
            </w:pPr>
          </w:p>
        </w:tc>
        <w:tc>
          <w:tcPr>
            <w:tcW w:w="1600" w:type="dxa"/>
            <w:vMerge w:val="continue"/>
            <w:shd w:val="clear" w:color="auto" w:fill="auto"/>
            <w:vAlign w:val="center"/>
          </w:tcPr>
          <w:p>
            <w:pPr>
              <w:jc w:val="center"/>
              <w:rPr>
                <w:rFonts w:hint="default" w:ascii="宋体" w:hAnsi="宋体"/>
                <w:color w:val="000000"/>
                <w:sz w:val="18"/>
                <w:szCs w:val="18"/>
              </w:rPr>
            </w:pP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一般公共预算</w:t>
            </w: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政府性基金</w:t>
            </w: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因公出国（境）费用</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公务接待费</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0.15</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0.15</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公务用车购置及运行维护费（小计）</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0.85</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0.85</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其中：公务用车购置</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 xml:space="preserve">      公务用车运行维护费</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0.85</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0.85</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总计</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1.00</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1.00</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859"/>
        <w:gridCol w:w="1222"/>
        <w:gridCol w:w="1222"/>
        <w:gridCol w:w="1188"/>
        <w:gridCol w:w="1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10062" w:type="dxa"/>
            <w:gridSpan w:val="4"/>
            <w:tcBorders>
              <w:top w:val="nil"/>
              <w:left w:val="nil"/>
              <w:right w:val="nil"/>
            </w:tcBorders>
            <w:shd w:val="clear" w:color="auto" w:fill="auto"/>
            <w:vAlign w:val="center"/>
          </w:tcPr>
          <w:p>
            <w:pPr>
              <w:jc w:val="left"/>
              <w:rPr>
                <w:rFonts w:hint="default" w:ascii="宋体" w:hAnsi="宋体"/>
                <w:sz w:val="18"/>
                <w:szCs w:val="18"/>
              </w:rPr>
            </w:pPr>
            <w:r>
              <w:rPr>
                <w:rFonts w:hint="eastAsia"/>
                <w:color w:val="000000"/>
                <w:sz w:val="18"/>
                <w:szCs w:val="18"/>
              </w:rPr>
              <w:t>编制部门：呼图壁县公共检验检测中心</w:t>
            </w:r>
          </w:p>
        </w:tc>
        <w:tc>
          <w:tcPr>
            <w:tcW w:w="1400" w:type="dxa"/>
            <w:tcBorders>
              <w:top w:val="nil"/>
              <w:left w:val="nil"/>
              <w:right w:val="nil"/>
            </w:tcBorders>
            <w:shd w:val="clear" w:color="auto" w:fill="auto"/>
            <w:vAlign w:val="center"/>
          </w:tcPr>
          <w:p>
            <w:pPr>
              <w:jc w:val="right"/>
              <w:rPr>
                <w:rFonts w:hint="default"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5862" w:type="dxa"/>
            <w:vMerge w:val="restart"/>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项目名称</w:t>
            </w:r>
          </w:p>
        </w:tc>
        <w:tc>
          <w:tcPr>
            <w:tcW w:w="1400" w:type="dxa"/>
            <w:vMerge w:val="restart"/>
            <w:shd w:val="clear" w:color="auto" w:fill="auto"/>
            <w:vAlign w:val="center"/>
          </w:tcPr>
          <w:p>
            <w:pPr>
              <w:jc w:val="center"/>
              <w:rPr>
                <w:rFonts w:hint="default" w:ascii="宋体" w:hAnsi="宋体"/>
                <w:color w:val="000000"/>
                <w:sz w:val="18"/>
                <w:szCs w:val="18"/>
              </w:rPr>
            </w:pPr>
            <w:r>
              <w:rPr>
                <w:rFonts w:hint="eastAsia" w:ascii="宋体" w:hAnsi="宋体"/>
                <w:sz w:val="18"/>
                <w:szCs w:val="18"/>
              </w:rPr>
              <w:t>合计</w:t>
            </w:r>
          </w:p>
        </w:tc>
        <w:tc>
          <w:tcPr>
            <w:tcW w:w="4200" w:type="dxa"/>
            <w:gridSpan w:val="3"/>
            <w:shd w:val="clear" w:color="auto" w:fill="auto"/>
            <w:vAlign w:val="center"/>
          </w:tcPr>
          <w:p>
            <w:pPr>
              <w:jc w:val="center"/>
              <w:rPr>
                <w:rFonts w:hint="default"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5862" w:type="dxa"/>
            <w:vMerge w:val="continue"/>
            <w:shd w:val="clear" w:color="auto" w:fill="auto"/>
            <w:vAlign w:val="center"/>
          </w:tcPr>
          <w:p>
            <w:pPr>
              <w:jc w:val="center"/>
              <w:rPr>
                <w:rFonts w:hint="default" w:ascii="宋体" w:hAnsi="宋体"/>
                <w:color w:val="000000"/>
                <w:sz w:val="18"/>
                <w:szCs w:val="18"/>
              </w:rPr>
            </w:pPr>
          </w:p>
        </w:tc>
        <w:tc>
          <w:tcPr>
            <w:tcW w:w="1400" w:type="dxa"/>
            <w:vMerge w:val="continue"/>
            <w:shd w:val="clear" w:color="auto" w:fill="auto"/>
            <w:vAlign w:val="center"/>
          </w:tcPr>
          <w:p>
            <w:pPr>
              <w:jc w:val="center"/>
              <w:rPr>
                <w:rFonts w:hint="default" w:ascii="宋体" w:hAnsi="宋体"/>
                <w:color w:val="000000"/>
                <w:sz w:val="18"/>
                <w:szCs w:val="18"/>
              </w:rPr>
            </w:pPr>
          </w:p>
        </w:tc>
        <w:tc>
          <w:tcPr>
            <w:tcW w:w="1400" w:type="dxa"/>
            <w:shd w:val="clear" w:color="auto" w:fill="auto"/>
            <w:vAlign w:val="center"/>
          </w:tcPr>
          <w:p>
            <w:pPr>
              <w:jc w:val="center"/>
              <w:rPr>
                <w:rFonts w:hint="default" w:ascii="宋体" w:hAnsi="宋体"/>
                <w:sz w:val="18"/>
                <w:szCs w:val="18"/>
              </w:rPr>
            </w:pPr>
            <w:r>
              <w:rPr>
                <w:rFonts w:hint="eastAsia" w:ascii="宋体" w:hAnsi="宋体"/>
                <w:sz w:val="18"/>
                <w:szCs w:val="18"/>
              </w:rPr>
              <w:t>一般公共预算</w:t>
            </w:r>
          </w:p>
        </w:tc>
        <w:tc>
          <w:tcPr>
            <w:tcW w:w="1400" w:type="dxa"/>
            <w:shd w:val="clear" w:color="auto" w:fill="auto"/>
            <w:vAlign w:val="center"/>
          </w:tcPr>
          <w:p>
            <w:pPr>
              <w:jc w:val="center"/>
              <w:rPr>
                <w:rFonts w:hint="default" w:ascii="宋体" w:hAnsi="宋体"/>
                <w:sz w:val="18"/>
                <w:szCs w:val="18"/>
              </w:rPr>
            </w:pPr>
            <w:r>
              <w:rPr>
                <w:rFonts w:hint="eastAsia" w:ascii="宋体" w:hAnsi="宋体"/>
                <w:sz w:val="18"/>
                <w:szCs w:val="18"/>
              </w:rPr>
              <w:t>政府性基金</w:t>
            </w:r>
          </w:p>
        </w:tc>
        <w:tc>
          <w:tcPr>
            <w:tcW w:w="1400" w:type="dxa"/>
            <w:shd w:val="clear" w:color="auto" w:fill="auto"/>
            <w:vAlign w:val="center"/>
          </w:tcPr>
          <w:p>
            <w:pPr>
              <w:jc w:val="center"/>
              <w:rPr>
                <w:rFonts w:hint="default"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b/>
                <w:color w:val="000000"/>
                <w:sz w:val="18"/>
                <w:szCs w:val="18"/>
              </w:rPr>
            </w:pPr>
            <w:r>
              <w:rPr>
                <w:rFonts w:hint="default" w:ascii="宋体" w:hAnsi="宋体"/>
                <w:b/>
                <w:kern w:val="0"/>
                <w:sz w:val="18"/>
                <w:szCs w:val="18"/>
              </w:rPr>
              <w:t>呼图壁县公共检验检测中心</w:t>
            </w:r>
          </w:p>
        </w:tc>
        <w:tc>
          <w:tcPr>
            <w:tcW w:w="1400" w:type="dxa"/>
            <w:shd w:val="clear" w:color="auto" w:fill="auto"/>
            <w:vAlign w:val="center"/>
          </w:tcPr>
          <w:p>
            <w:pPr>
              <w:jc w:val="right"/>
              <w:rPr>
                <w:rFonts w:hint="default" w:ascii="宋体" w:hAnsi="宋体"/>
                <w:b/>
                <w:color w:val="000000"/>
                <w:sz w:val="18"/>
                <w:szCs w:val="18"/>
              </w:rPr>
            </w:pPr>
            <w:r>
              <w:rPr>
                <w:rFonts w:hint="default" w:ascii="宋体" w:hAnsi="宋体"/>
                <w:b/>
                <w:kern w:val="0"/>
                <w:sz w:val="18"/>
                <w:szCs w:val="18"/>
              </w:rPr>
              <w:t>1.10</w:t>
            </w:r>
          </w:p>
        </w:tc>
        <w:tc>
          <w:tcPr>
            <w:tcW w:w="1400" w:type="dxa"/>
            <w:shd w:val="clear" w:color="auto" w:fill="auto"/>
            <w:vAlign w:val="center"/>
          </w:tcPr>
          <w:p>
            <w:pPr>
              <w:jc w:val="right"/>
              <w:rPr>
                <w:rFonts w:hint="default" w:ascii="宋体" w:hAnsi="宋体"/>
                <w:b/>
                <w:color w:val="000000"/>
                <w:sz w:val="18"/>
                <w:szCs w:val="18"/>
              </w:rPr>
            </w:pPr>
            <w:r>
              <w:rPr>
                <w:rFonts w:hint="default" w:ascii="宋体" w:hAnsi="宋体"/>
                <w:b/>
                <w:kern w:val="0"/>
                <w:sz w:val="18"/>
                <w:szCs w:val="18"/>
              </w:rPr>
              <w:t>1.10</w:t>
            </w:r>
          </w:p>
        </w:tc>
        <w:tc>
          <w:tcPr>
            <w:tcW w:w="1400" w:type="dxa"/>
            <w:shd w:val="clear" w:color="auto" w:fill="auto"/>
            <w:vAlign w:val="center"/>
          </w:tcPr>
          <w:p>
            <w:pPr>
              <w:jc w:val="right"/>
              <w:rPr>
                <w:rFonts w:hint="default" w:ascii="宋体" w:hAnsi="宋体"/>
                <w:b/>
                <w:color w:val="000000"/>
                <w:sz w:val="18"/>
                <w:szCs w:val="18"/>
              </w:rPr>
            </w:pPr>
          </w:p>
        </w:tc>
        <w:tc>
          <w:tcPr>
            <w:tcW w:w="1400" w:type="dxa"/>
            <w:shd w:val="clear" w:color="auto" w:fill="auto"/>
            <w:vAlign w:val="center"/>
          </w:tcPr>
          <w:p>
            <w:pPr>
              <w:jc w:val="right"/>
              <w:rPr>
                <w:rFonts w:hint="default"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color w:val="000000"/>
                <w:sz w:val="18"/>
                <w:szCs w:val="18"/>
              </w:rPr>
            </w:pPr>
            <w:r>
              <w:rPr>
                <w:rFonts w:hint="default" w:ascii="宋体" w:hAnsi="宋体"/>
                <w:kern w:val="0"/>
                <w:sz w:val="18"/>
                <w:szCs w:val="18"/>
              </w:rPr>
              <w:t xml:space="preserve">  2026年支付各类其他刚性资金</w:t>
            </w:r>
          </w:p>
        </w:tc>
        <w:tc>
          <w:tcPr>
            <w:tcW w:w="14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1.10</w:t>
            </w:r>
          </w:p>
        </w:tc>
        <w:tc>
          <w:tcPr>
            <w:tcW w:w="14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1.10</w:t>
            </w: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center"/>
              <w:rPr>
                <w:rFonts w:hint="default" w:ascii="宋体" w:hAnsi="宋体"/>
                <w:b/>
                <w:color w:val="000000"/>
                <w:sz w:val="18"/>
                <w:szCs w:val="18"/>
              </w:rPr>
            </w:pPr>
            <w:r>
              <w:rPr>
                <w:rFonts w:hint="default" w:ascii="宋体" w:hAnsi="宋体"/>
                <w:b/>
                <w:kern w:val="0"/>
                <w:sz w:val="18"/>
                <w:szCs w:val="18"/>
              </w:rPr>
              <w:t>总计</w:t>
            </w:r>
          </w:p>
        </w:tc>
        <w:tc>
          <w:tcPr>
            <w:tcW w:w="1400" w:type="dxa"/>
            <w:shd w:val="clear" w:color="auto" w:fill="auto"/>
            <w:vAlign w:val="center"/>
          </w:tcPr>
          <w:p>
            <w:pPr>
              <w:jc w:val="right"/>
              <w:rPr>
                <w:rFonts w:hint="default" w:ascii="宋体" w:hAnsi="宋体"/>
                <w:b/>
                <w:color w:val="000000"/>
                <w:sz w:val="18"/>
                <w:szCs w:val="18"/>
              </w:rPr>
            </w:pPr>
            <w:r>
              <w:rPr>
                <w:rFonts w:hint="default" w:ascii="宋体" w:hAnsi="宋体"/>
                <w:b/>
                <w:kern w:val="0"/>
                <w:sz w:val="18"/>
                <w:szCs w:val="18"/>
              </w:rPr>
              <w:t>1.10</w:t>
            </w:r>
          </w:p>
        </w:tc>
        <w:tc>
          <w:tcPr>
            <w:tcW w:w="1400" w:type="dxa"/>
            <w:shd w:val="clear" w:color="auto" w:fill="auto"/>
            <w:vAlign w:val="center"/>
          </w:tcPr>
          <w:p>
            <w:pPr>
              <w:jc w:val="right"/>
              <w:rPr>
                <w:rFonts w:hint="default" w:ascii="宋体" w:hAnsi="宋体"/>
                <w:b/>
                <w:color w:val="000000"/>
                <w:sz w:val="18"/>
                <w:szCs w:val="18"/>
              </w:rPr>
            </w:pPr>
            <w:r>
              <w:rPr>
                <w:rFonts w:hint="default" w:ascii="宋体" w:hAnsi="宋体"/>
                <w:b/>
                <w:kern w:val="0"/>
                <w:sz w:val="18"/>
                <w:szCs w:val="18"/>
              </w:rPr>
              <w:t>1.10</w:t>
            </w:r>
          </w:p>
        </w:tc>
        <w:tc>
          <w:tcPr>
            <w:tcW w:w="1400" w:type="dxa"/>
            <w:shd w:val="clear" w:color="auto" w:fill="auto"/>
            <w:vAlign w:val="center"/>
          </w:tcPr>
          <w:p>
            <w:pPr>
              <w:jc w:val="right"/>
              <w:rPr>
                <w:rFonts w:hint="default" w:ascii="宋体" w:hAnsi="宋体"/>
                <w:b/>
                <w:color w:val="000000"/>
                <w:sz w:val="18"/>
                <w:szCs w:val="18"/>
              </w:rPr>
            </w:pPr>
          </w:p>
        </w:tc>
        <w:tc>
          <w:tcPr>
            <w:tcW w:w="1400" w:type="dxa"/>
            <w:shd w:val="clear" w:color="auto" w:fill="auto"/>
            <w:vAlign w:val="center"/>
          </w:tcPr>
          <w:p>
            <w:pPr>
              <w:jc w:val="right"/>
              <w:rPr>
                <w:rFonts w:hint="default" w:ascii="宋体" w:hAnsi="宋体"/>
                <w:b/>
                <w:color w:val="000000"/>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表12</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pPr>
              <w:jc w:val="left"/>
              <w:rPr>
                <w:rFonts w:hint="eastAsia"/>
                <w:color w:val="000000"/>
                <w:sz w:val="18"/>
                <w:szCs w:val="18"/>
              </w:rPr>
            </w:pPr>
            <w:r>
              <w:rPr>
                <w:rFonts w:hint="eastAsia"/>
                <w:color w:val="000000"/>
                <w:sz w:val="18"/>
                <w:szCs w:val="18"/>
              </w:rPr>
              <w:t>编制部门：呼图壁县公共检验检测中心</w:t>
            </w:r>
          </w:p>
        </w:tc>
        <w:tc>
          <w:tcPr>
            <w:tcW w:w="4254" w:type="dxa"/>
            <w:gridSpan w:val="5"/>
            <w:tcBorders>
              <w:top w:val="nil"/>
              <w:left w:val="nil"/>
              <w:right w:val="nil"/>
            </w:tcBorders>
            <w:shd w:val="clear" w:color="auto" w:fill="auto"/>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pPr>
              <w:jc w:val="center"/>
              <w:rPr>
                <w:sz w:val="18"/>
                <w:szCs w:val="18"/>
              </w:rPr>
            </w:pPr>
            <w:r>
              <w:rPr>
                <w:rFonts w:hint="eastAsia"/>
                <w:sz w:val="18"/>
                <w:szCs w:val="18"/>
              </w:rPr>
              <w:t>项目</w:t>
            </w:r>
          </w:p>
        </w:tc>
        <w:tc>
          <w:tcPr>
            <w:tcW w:w="1247" w:type="dxa"/>
            <w:vMerge w:val="restart"/>
            <w:shd w:val="clear" w:color="auto" w:fill="auto"/>
            <w:vAlign w:val="center"/>
          </w:tcPr>
          <w:p>
            <w:pPr>
              <w:jc w:val="center"/>
              <w:rPr>
                <w:sz w:val="18"/>
                <w:szCs w:val="18"/>
              </w:rPr>
            </w:pPr>
            <w:r>
              <w:rPr>
                <w:rFonts w:hint="eastAsia"/>
                <w:sz w:val="18"/>
                <w:szCs w:val="18"/>
              </w:rPr>
              <w:t>合计</w:t>
            </w:r>
          </w:p>
        </w:tc>
        <w:tc>
          <w:tcPr>
            <w:tcW w:w="4988" w:type="dxa"/>
            <w:gridSpan w:val="4"/>
            <w:shd w:val="clear" w:color="auto" w:fill="auto"/>
            <w:vAlign w:val="center"/>
          </w:tcPr>
          <w:p>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pPr>
              <w:jc w:val="center"/>
              <w:rPr>
                <w:rFonts w:hint="eastAsia"/>
                <w:sz w:val="18"/>
                <w:szCs w:val="18"/>
              </w:rPr>
            </w:pPr>
            <w:r>
              <w:rPr>
                <w:rFonts w:hint="eastAsia"/>
                <w:sz w:val="18"/>
                <w:szCs w:val="18"/>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c>
          <w:tcPr>
            <w:tcW w:w="1247" w:type="dxa"/>
            <w:gridSpan w:val="2"/>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c>
          <w:tcPr>
            <w:tcW w:w="1247" w:type="dxa"/>
            <w:gridSpan w:val="2"/>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center"/>
              <w:rPr>
                <w:b/>
                <w:sz w:val="18"/>
                <w:szCs w:val="18"/>
              </w:rPr>
            </w:pPr>
            <w:r>
              <w:rPr>
                <w:rFonts w:hint="default" w:ascii="宋体" w:hAnsi="宋体"/>
                <w:b/>
                <w:kern w:val="0"/>
                <w:sz w:val="13"/>
                <w:szCs w:val="13"/>
              </w:rPr>
              <w:t>总计</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rPr>
        <w:t>呼图壁县公共检验检测中心2026年没有上年结转结余预算安排的支出，上年结转结余情况表为空表。</w:t>
      </w:r>
    </w:p>
    <w:p>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2026年部门预算情况说明</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关于呼图壁县公共检验检测中心2026年收支预算情况总体说明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按照全口径预算的原则，呼图壁县公共检验检测中心2026年所有收入和支出均纳入部门预算管理。收支总预算412.05万元。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收入预算包括：一般公共预算、单位资金。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关于呼图壁县公共检验检测中心2026年收入预算情况说明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呼图壁县公共检验检测中心部门收入预算412.05万元，其中：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一般公共预算362.05万元，占87.87%，比上年预算增加49.59万元，增长15.87%，主要原因是人员工资增加，养老、医疗保险、住房公积金等缴费增加，2026年新增职业年金预算。</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上级一般公共预算安排的转移支付资金未安排。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政府性基金预算未安排。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上级政府性基金安排的转移支付资金未安排。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国有资本经营预算未安排。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上级国有资本经营预算安排的转移支付资金未安排。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单位资金50.00万元，占12.13%，比上年预算减少138.30万元，下降73.45%，主要原因是根据2025年单位资金实际使用情况调减2026年单位资金部分预算安排。</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关于呼图壁县公共检验检测中心2026年支出预算情况说明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呼图壁县公共检验检测中心2026年支出预算412.05万元，其中：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基本支出406.65万元，占98.69%，比上年预算减少94.11万元，下降18.79%，主要原因是</w:t>
      </w:r>
      <w:r>
        <w:rPr>
          <w:rFonts w:hint="eastAsia" w:ascii="仿宋" w:hAnsi="微软雅黑" w:eastAsia="仿宋"/>
          <w:sz w:val="28"/>
          <w:szCs w:val="28"/>
          <w:lang w:val="en-US" w:eastAsia="zh-CN"/>
        </w:rPr>
        <w:t>因</w:t>
      </w:r>
      <w:r>
        <w:rPr>
          <w:rFonts w:hint="eastAsia" w:ascii="仿宋" w:hAnsi="微软雅黑" w:eastAsia="仿宋"/>
          <w:sz w:val="28"/>
          <w:szCs w:val="28"/>
        </w:rPr>
        <w:t>2025年单位资金</w:t>
      </w:r>
      <w:r>
        <w:rPr>
          <w:rFonts w:hint="eastAsia" w:ascii="仿宋" w:hAnsi="微软雅黑" w:eastAsia="仿宋"/>
          <w:sz w:val="28"/>
          <w:szCs w:val="28"/>
          <w:lang w:val="en-US" w:eastAsia="zh-CN"/>
        </w:rPr>
        <w:t>预算错误，导致2025年单位资金基本支出金额较大，2026年合理安排单位资金预算，所以总体基本支出</w:t>
      </w:r>
      <w:r>
        <w:rPr>
          <w:rFonts w:hint="eastAsia" w:ascii="仿宋" w:hAnsi="微软雅黑" w:eastAsia="仿宋"/>
          <w:sz w:val="28"/>
          <w:szCs w:val="28"/>
        </w:rPr>
        <w:t>比上年预算减少94.11万元，。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项目支出5.40万元，占1.31%，比上年预算增加5.40万元，增长100.00%，主要原因是新增项目用于历史拖欠公用经费问题。</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关于呼图壁县公共检验检测中心2026年财政拨款收支预算情况的总体说明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2026年财政拨款收支总预算362.05万元。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收入预算包括：一般公共预算拨款362.05万元。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支出包括：一般公共服务支出252.15万元，主要用于支付在职人员工资、绩效、奖金、办公经费及公务用车经费等支出；社会保障和就业支出54.19万元，主要用于支付人员养老、职业年金及退休费；卫生健康支出28.27万元，主要用于支付人员医疗保险；住房保障支出27.45万元，主要用于支付人员住房公积金。</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关于呼图壁县公共检验检测中心2026年一般公共预算当年拨款情况说明</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呼图壁县公共检验检测中心2026年一般公共预算拨款合计362.05万元，其中：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基本支出356.65万元，比上年预算增加44.19万元，增长14.14%，主要原因是人员工资增加，养老、医疗保险、住房公积金等缴费增加，2026年新增职业年金预算。</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项目支出5.40万元，比上年预算增加5.40万元，增长100.00%，主要原因是新增项目用于历史拖欠公用经费问题。</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1.一般公共服务支出（类）252.15万元，占69.64%。</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2.社会保障和就业支出（类）54.19万元，占14.97%。</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3.卫生健康支出（类）28.27万元，占7.81%。</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4.住房保障支出（类）27.45万元，占7.58%。</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1.一般公共服务支出（类）市场监督管理事务（款）质量基础（项）：2026年预算数为5.40万元，比上年预算增加5.40万元，增长100.00%，主要原因是新增项目用于历史拖欠公用经费问题。</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2.一般公共服务支出（类）市场监督管理事务（款）事业运行（项）：2026年预算数为246.75万元，比上年预算增加17.59万元，增长7.68%，主要原因是人员工资增加，养老、医疗保险、住房公积金等缴费增加。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3.社会保障和就业支出（类）行政事业单位养老支出（款）事业单位离退休（项）：2026年预算数为4.31万元，比上年预算增加1.20万元，增长38.59%，主要原因是事业单位退休人员基础绩效奖比上年增加。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2026年预算数为33.25万元，比上年预算增加2.04万元，增长6.54%，主要原因是人员工资增加，基本养老保险缴费基数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社会保障和就业支出（类）行政事业单位养老支出（款）机关事业单位职业年金缴费支出（项）：2026年预算数为16.63万元，比上年预算增加16.63万元，增长100.00%，主要原因是2025年无职业年金预算安排，2026年新增职业年金预算。</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6.卫生健康支出（类）行政事业单位医疗（款）事业单位医疗（项）：2026年预算数为19.74万元，比上年预算增加4.14万元，增长26.54%，主要原因是人员工资增加，医疗保险缴费基数增加。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7.卫生健康支出（类）行政事业单位医疗（款）公务员医疗补助（项）：2026年预算数为8.31万元，比上年预算增加0.51万元，增长6.54%，主要原因是人员工资增加，公务员医疗补助缴费基数增加。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8.卫生健康支出（类）行政事业单位医疗（款）其他行政事业单位医疗支出（项）：2026年预算数为0.21万元，比上年预算增加0.01万元，增长5.00%，主要原因是人员工资增加，其他行政事业单位医疗缴费基数增加。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9.住房保障支出（类）住房改革支出（款）住房公积金（项）：2026年预算数为27.45万元，比上年预算增加2.07万元，增长8.16%，主要原因是人员工资增加，住房公积金缴费基数增加。</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关于呼图壁县公共检验检测中心2026年一般公共预算基本支出情况说明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呼图壁县公共检验检测中心2026年一般公共预算基本支出356.65万元，其中：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人员经费340.94万元，主要包括：基本工资、津贴补贴、奖金、绩效工资、机关事业单位基本养老保险缴费、职业年金缴费、职工基本医疗保险缴费、公务员医疗补助缴费、其他社会保障缴费、住房公积金、退休费、奖励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公用经费15.72万元，主要包括：办公费、水费、电费、邮电费、取暖费、差旅费、培训费、公务接待费、工会经费、公务用车运行维护费、其他交通费用。</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关于呼图壁县公共检验检测中心2026年一般公共预算项目支出情况说明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（一）项目名称：2026年支付各类其他刚性资金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设立的政策依据：《2025年呼图壁县财经委员会第五次会议纪要》（呼党财[2025]号）。</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预算安排规模：5.40万元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项目承担单位：呼图壁县公共检验检测中心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资金分配情况：主要用于</w:t>
      </w:r>
      <w:r>
        <w:rPr>
          <w:rFonts w:hint="eastAsia" w:ascii="仿宋" w:hAnsi="微软雅黑" w:eastAsia="仿宋"/>
          <w:sz w:val="28"/>
          <w:szCs w:val="28"/>
          <w:lang w:eastAsia="zh-CN"/>
        </w:rPr>
        <w:t>计量器具</w:t>
      </w:r>
      <w:r>
        <w:rPr>
          <w:rFonts w:hint="eastAsia" w:ascii="仿宋" w:hAnsi="微软雅黑" w:eastAsia="仿宋"/>
          <w:sz w:val="28"/>
          <w:szCs w:val="28"/>
        </w:rPr>
        <w:t>委托</w:t>
      </w:r>
      <w:r>
        <w:rPr>
          <w:rFonts w:hint="eastAsia" w:ascii="仿宋" w:hAnsi="微软雅黑" w:eastAsia="仿宋"/>
          <w:sz w:val="28"/>
          <w:szCs w:val="28"/>
          <w:lang w:eastAsia="zh-CN"/>
        </w:rPr>
        <w:t>检定费</w:t>
      </w:r>
      <w:r>
        <w:rPr>
          <w:rFonts w:hint="eastAsia" w:ascii="仿宋" w:hAnsi="微软雅黑" w:eastAsia="仿宋"/>
          <w:sz w:val="28"/>
          <w:szCs w:val="28"/>
          <w:lang w:val="en-US" w:eastAsia="zh-CN"/>
        </w:rPr>
        <w:t>1.1万元</w:t>
      </w:r>
      <w:r>
        <w:rPr>
          <w:rFonts w:hint="eastAsia" w:ascii="仿宋" w:hAnsi="微软雅黑" w:eastAsia="仿宋"/>
          <w:sz w:val="28"/>
          <w:szCs w:val="28"/>
        </w:rPr>
        <w:t>、</w:t>
      </w:r>
      <w:r>
        <w:rPr>
          <w:rFonts w:hint="eastAsia" w:ascii="仿宋" w:hAnsi="微软雅黑" w:eastAsia="仿宋"/>
          <w:sz w:val="28"/>
          <w:szCs w:val="28"/>
          <w:lang w:eastAsia="zh-CN"/>
        </w:rPr>
        <w:t>实验室</w:t>
      </w:r>
      <w:r>
        <w:rPr>
          <w:rFonts w:hint="eastAsia" w:ascii="仿宋" w:hAnsi="微软雅黑" w:eastAsia="仿宋"/>
          <w:sz w:val="28"/>
          <w:szCs w:val="28"/>
        </w:rPr>
        <w:t>维修（护）费</w:t>
      </w:r>
      <w:r>
        <w:rPr>
          <w:rFonts w:hint="eastAsia" w:ascii="仿宋" w:hAnsi="微软雅黑" w:eastAsia="仿宋"/>
          <w:sz w:val="28"/>
          <w:szCs w:val="28"/>
          <w:lang w:val="en-US" w:eastAsia="zh-CN"/>
        </w:rPr>
        <w:t>2.5万元</w:t>
      </w:r>
      <w:r>
        <w:rPr>
          <w:rFonts w:hint="eastAsia" w:ascii="仿宋" w:hAnsi="微软雅黑" w:eastAsia="仿宋"/>
          <w:sz w:val="28"/>
          <w:szCs w:val="28"/>
        </w:rPr>
        <w:t>、</w:t>
      </w:r>
      <w:r>
        <w:rPr>
          <w:rFonts w:hint="eastAsia" w:ascii="仿宋" w:hAnsi="微软雅黑" w:eastAsia="仿宋"/>
          <w:sz w:val="28"/>
          <w:szCs w:val="28"/>
          <w:lang w:eastAsia="zh-CN"/>
        </w:rPr>
        <w:t>平台网络</w:t>
      </w:r>
      <w:r>
        <w:rPr>
          <w:rFonts w:hint="eastAsia" w:ascii="仿宋" w:hAnsi="微软雅黑" w:eastAsia="仿宋"/>
          <w:sz w:val="28"/>
          <w:szCs w:val="28"/>
        </w:rPr>
        <w:t>费</w:t>
      </w:r>
      <w:r>
        <w:rPr>
          <w:rFonts w:hint="eastAsia" w:ascii="仿宋" w:hAnsi="微软雅黑" w:eastAsia="仿宋"/>
          <w:sz w:val="28"/>
          <w:szCs w:val="28"/>
          <w:lang w:val="en-US" w:eastAsia="zh-CN"/>
        </w:rPr>
        <w:t>1.35万元</w:t>
      </w:r>
      <w:r>
        <w:rPr>
          <w:rFonts w:hint="eastAsia" w:ascii="仿宋" w:hAnsi="微软雅黑" w:eastAsia="仿宋"/>
          <w:sz w:val="28"/>
          <w:szCs w:val="28"/>
        </w:rPr>
        <w:t>、专用材料费</w:t>
      </w:r>
      <w:r>
        <w:rPr>
          <w:rFonts w:hint="eastAsia" w:ascii="仿宋" w:hAnsi="微软雅黑" w:eastAsia="仿宋"/>
          <w:sz w:val="28"/>
          <w:szCs w:val="28"/>
          <w:lang w:val="en-US" w:eastAsia="zh-CN"/>
        </w:rPr>
        <w:t>0.45万元</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资金执行时间：2026年1月1日到2026年12月31日。</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关于呼图壁县公共检验检测中心2026年政府性基金预算拨款情况说明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呼图壁县公共检验检测中心2026年没有使用政府性基金预算拨款安排的支出，政府性基金预算支出情况表为空表。</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关于呼图壁县公共检验检测中心2026年国有资本经营预算拨款情况说明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呼图壁县公共检验检测中心2026年没有使用国有资本经营预算拨款安排的支出，国有资本经营预算支出情况表为空表。</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关于呼图壁县公共检验检测中心2026年财政拨款“三公”经费预算情况说明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呼图壁县公共检验检测中心2026年财政拨款“三公”经费数为1.00万元，其中：因公出国（境）费用0.00万元，公务用车购置0.00万元，公务用车运行维护费0.85万元，公务接待费0.15万元。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预算比上年预算减少0.05万元，下降4.76%，其中：因公出国（境）费用增加0.00万元，增长0.00%，主要原因是2025年与2026年均未安排因公出国（境）费用；公务用车购置增加0.00万元，增长0.00%，主要原因是2025年与2026年均未安排公务用车购置；公务用车运行维护费减少0.00万元，下降0.00%，主要原因是贯彻厉行节约，严格控制“三公”经费；公务接待费减少0.05万元，下降25.00%，主要原因是贯彻厉行节约，严格控制“三公”经费。</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关于呼图壁县公共检验检测中心2026年财政拨款委托业务费支出情况说明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呼图壁县公共检验检测中心2026年委托业务费1.10万元，其中：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1.2026年支付各类其他刚性资金委托业务费1.10万元，主要用于：计量标准器及工作计量器具委托检定。</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关于呼图壁县公共检验检测中心2026年上年结转结余预算情况说明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呼图壁县公共检验检测中心2026年没有上年结转结余预算安排的支出，上年结转结余情况表为空表。</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呼图壁县公共检验检测中心2026年的事业单位运行经费财政拨款预算15.72万元，比上年预算增加0.23万元，增长1.48%，主要原因是2026年公用经费预算里新增工会经费。</w:t>
      </w:r>
    </w:p>
    <w:p>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2026年，呼图壁县公共检验检测中心政府采购预算6.54万元，其中：政府采购货物预算0.77万元，政府采购工程预算0.00万元，政府采购服务预算5.77万元。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2026年，呼图壁县公共检验检测中心面向中小企业预留政府采购项目预算金额4.64万元，其中：小微企业预留政府采购项目预算金额4.64万元。</w:t>
      </w:r>
    </w:p>
    <w:p>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截至2025年底，呼图壁县公共检验检测中心占用使用国有资产总体情况为：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1.房屋0.00平方米，价值0.00万元。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2.车辆2辆，价值28.41万元；其中：一般公务用车1辆，价值19.60万元；执法执勤用车0辆，价值0.00万元；其他车辆1辆，价值8.81万元。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3.办公家具价值9.41万元。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4.其他资产价值167.56万元。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部门价值单价50万元以上大型设备0台，部门价值单价100万元以上大型设备0台。</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2026年部门预算未安排购置车辆经费，安排购置单价50万元以上大型设备0台，部门单价100万元以上大型设备0台。</w:t>
      </w:r>
    </w:p>
    <w:p>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2026年，本部门预算绩效管理整体预算绩效目标1个，涉及预算金额412.05万元；当年预算安排项目共1个，其中：财政拨款项目涉及预算金额5.40万元；非财政拨款项目涉及预算金额0.00万元。具体情况见下表：</w:t>
      </w:r>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9"/>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部门名称（盖章）</w:t>
            </w:r>
          </w:p>
        </w:tc>
        <w:tc>
          <w:tcPr>
            <w:tcW w:w="6578" w:type="dxa"/>
            <w:gridSpan w:val="5"/>
            <w:shd w:val="clear" w:color="auto" w:fill="auto"/>
            <w:vAlign w:val="center"/>
          </w:tcPr>
          <w:p>
            <w:pPr>
              <w:jc w:val="center"/>
              <w:rPr>
                <w:sz w:val="18"/>
                <w:szCs w:val="18"/>
              </w:rPr>
            </w:pPr>
            <w:r>
              <w:rPr>
                <w:rFonts w:hint="eastAsia"/>
                <w:sz w:val="18"/>
                <w:szCs w:val="18"/>
              </w:rPr>
              <w:t>呼图壁县公共检验检测中心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部门联系人</w:t>
            </w:r>
          </w:p>
        </w:tc>
        <w:tc>
          <w:tcPr>
            <w:tcW w:w="2498" w:type="dxa"/>
            <w:gridSpan w:val="2"/>
            <w:shd w:val="clear" w:color="auto" w:fill="auto"/>
            <w:vAlign w:val="center"/>
          </w:tcPr>
          <w:p>
            <w:pPr>
              <w:jc w:val="center"/>
              <w:rPr>
                <w:b/>
                <w:sz w:val="18"/>
                <w:szCs w:val="18"/>
              </w:rPr>
            </w:pPr>
            <w:r>
              <w:rPr>
                <w:rFonts w:hint="eastAsia"/>
                <w:sz w:val="18"/>
                <w:szCs w:val="18"/>
              </w:rPr>
              <w:t>恩卡尔·杰恩斯</w:t>
            </w:r>
          </w:p>
        </w:tc>
        <w:tc>
          <w:tcPr>
            <w:tcW w:w="1360" w:type="dxa"/>
            <w:shd w:val="clear" w:color="auto" w:fill="auto"/>
            <w:vAlign w:val="center"/>
          </w:tcPr>
          <w:p>
            <w:pPr>
              <w:jc w:val="center"/>
              <w:rPr>
                <w:b/>
                <w:sz w:val="18"/>
                <w:szCs w:val="18"/>
              </w:rPr>
            </w:pPr>
            <w:r>
              <w:rPr>
                <w:rFonts w:hint="eastAsia"/>
                <w:b/>
                <w:sz w:val="18"/>
                <w:szCs w:val="18"/>
              </w:rPr>
              <w:t>联系电话</w:t>
            </w:r>
          </w:p>
        </w:tc>
        <w:tc>
          <w:tcPr>
            <w:tcW w:w="2720" w:type="dxa"/>
            <w:gridSpan w:val="2"/>
            <w:shd w:val="clear" w:color="auto" w:fill="auto"/>
            <w:vAlign w:val="center"/>
          </w:tcPr>
          <w:p>
            <w:pPr>
              <w:jc w:val="center"/>
              <w:rPr>
                <w:sz w:val="18"/>
                <w:szCs w:val="18"/>
              </w:rPr>
            </w:pPr>
            <w:r>
              <w:rPr>
                <w:rFonts w:hint="eastAsia"/>
                <w:sz w:val="18"/>
                <w:szCs w:val="18"/>
              </w:rPr>
              <w:t>13679438346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pPr>
              <w:jc w:val="center"/>
              <w:rPr>
                <w:b/>
                <w:sz w:val="18"/>
                <w:szCs w:val="18"/>
              </w:rPr>
            </w:pPr>
            <w:r>
              <w:rPr>
                <w:rFonts w:hint="eastAsia"/>
                <w:b/>
                <w:sz w:val="18"/>
                <w:szCs w:val="18"/>
              </w:rPr>
              <w:t>年度绩效目标</w:t>
            </w:r>
          </w:p>
        </w:tc>
        <w:tc>
          <w:tcPr>
            <w:tcW w:w="6578" w:type="dxa"/>
            <w:gridSpan w:val="5"/>
            <w:shd w:val="clear" w:color="auto" w:fill="auto"/>
            <w:vAlign w:val="center"/>
          </w:tcPr>
          <w:p>
            <w:pPr>
              <w:rPr>
                <w:b/>
                <w:sz w:val="18"/>
                <w:szCs w:val="18"/>
              </w:rPr>
            </w:pPr>
            <w:r>
              <w:rPr>
                <w:rFonts w:hint="eastAsia"/>
                <w:color w:val="000000"/>
                <w:sz w:val="18"/>
                <w:szCs w:val="18"/>
              </w:rPr>
              <w:t>强化计量基础保障作用，围绕贸易结算、安全防护、环境监测、医疗卫生等领域，分时段对集贸市场电子秤、农副产品收购企业电子汽车衡、工业企业压力表、运输公司出租车计价器、加油站加油枪、民用天然气表、医疗卫生血压计等计量器具开展强制检定，全年完成检定台件不少于12000台，覆盖器具种类不少于7种，为公平交易、安全生产及民生健康提供精准技术支撑；二是深化重点领域服务效能，结合各行业计量需求动态优化检定计划，严格器具量值素溯源准确性，保障市场秩序规范与公共安全底线；三是构建“检-管-用”协同机制，推动计量数据赋能经济高质量发展，切实提升计量服务民生、服务产业、服务社会治理的综合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pPr>
              <w:jc w:val="center"/>
              <w:rPr>
                <w:b/>
                <w:sz w:val="18"/>
                <w:szCs w:val="18"/>
              </w:rPr>
            </w:pPr>
            <w:r>
              <w:rPr>
                <w:rFonts w:hint="eastAsia"/>
                <w:b/>
                <w:sz w:val="18"/>
                <w:szCs w:val="18"/>
              </w:rPr>
              <w:t>年度预算(万元)</w:t>
            </w:r>
          </w:p>
        </w:tc>
        <w:tc>
          <w:tcPr>
            <w:tcW w:w="3858" w:type="dxa"/>
            <w:gridSpan w:val="3"/>
            <w:shd w:val="clear" w:color="auto" w:fill="auto"/>
            <w:vAlign w:val="center"/>
          </w:tcPr>
          <w:p>
            <w:pPr>
              <w:jc w:val="center"/>
              <w:rPr>
                <w:sz w:val="18"/>
                <w:szCs w:val="18"/>
              </w:rPr>
            </w:pPr>
            <w:r>
              <w:rPr>
                <w:rFonts w:hint="eastAsia"/>
                <w:sz w:val="18"/>
                <w:szCs w:val="18"/>
              </w:rPr>
              <w:t>资金来源</w:t>
            </w:r>
          </w:p>
        </w:tc>
        <w:tc>
          <w:tcPr>
            <w:tcW w:w="2720" w:type="dxa"/>
            <w:gridSpan w:val="2"/>
            <w:shd w:val="clear" w:color="auto" w:fill="auto"/>
            <w:vAlign w:val="center"/>
          </w:tcPr>
          <w:p>
            <w:pPr>
              <w:jc w:val="center"/>
              <w:rPr>
                <w:sz w:val="18"/>
                <w:szCs w:val="18"/>
              </w:rPr>
            </w:pPr>
            <w:r>
              <w:rPr>
                <w:rFonts w:hint="eastAsia"/>
                <w:sz w:val="18"/>
                <w:szCs w:val="18"/>
              </w:rPr>
              <w:t>资金总额（万元）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restart"/>
            <w:shd w:val="clear" w:color="auto" w:fill="auto"/>
            <w:vAlign w:val="center"/>
          </w:tcPr>
          <w:p>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continue"/>
            <w:shd w:val="clear" w:color="auto" w:fill="auto"/>
            <w:vAlign w:val="center"/>
          </w:tcPr>
          <w:p>
            <w:pPr>
              <w:jc w:val="center"/>
              <w:rPr>
                <w:rFonts w:hint="eastAsia"/>
                <w:sz w:val="18"/>
                <w:szCs w:val="18"/>
              </w:rPr>
            </w:pPr>
          </w:p>
        </w:tc>
        <w:tc>
          <w:tcPr>
            <w:tcW w:w="1448" w:type="dxa"/>
            <w:gridSpan w:val="2"/>
            <w:shd w:val="clear" w:color="auto" w:fill="auto"/>
            <w:vAlign w:val="center"/>
          </w:tcPr>
          <w:p>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pPr>
              <w:jc w:val="center"/>
              <w:rPr>
                <w:sz w:val="18"/>
                <w:szCs w:val="18"/>
              </w:rPr>
            </w:pPr>
            <w:r>
              <w:rPr>
                <w:rFonts w:hint="eastAsia"/>
                <w:sz w:val="18"/>
                <w:szCs w:val="18"/>
              </w:rPr>
              <w:t>362.05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shd w:val="clear" w:color="auto" w:fill="auto"/>
            <w:vAlign w:val="center"/>
          </w:tcPr>
          <w:p>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pPr>
              <w:jc w:val="center"/>
              <w:rPr>
                <w:rFonts w:hint="eastAsia"/>
                <w:sz w:val="18"/>
                <w:szCs w:val="18"/>
              </w:rPr>
            </w:pPr>
            <w:r>
              <w:rPr>
                <w:rFonts w:hint="eastAsia"/>
                <w:sz w:val="18"/>
                <w:szCs w:val="18"/>
              </w:rPr>
              <w:t>其他</w:t>
            </w:r>
          </w:p>
        </w:tc>
        <w:tc>
          <w:tcPr>
            <w:tcW w:w="2720" w:type="dxa"/>
            <w:gridSpan w:val="2"/>
            <w:shd w:val="clear" w:color="auto" w:fill="auto"/>
            <w:vAlign w:val="center"/>
          </w:tcPr>
          <w:p>
            <w:pPr>
              <w:jc w:val="center"/>
              <w:rPr>
                <w:sz w:val="18"/>
                <w:szCs w:val="18"/>
              </w:rPr>
            </w:pPr>
            <w:r>
              <w:rPr>
                <w:rFonts w:hint="eastAsia"/>
                <w:sz w:val="18"/>
                <w:szCs w:val="18"/>
              </w:rPr>
              <w:t>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b/>
                <w:sz w:val="18"/>
                <w:szCs w:val="18"/>
              </w:rPr>
            </w:pPr>
          </w:p>
        </w:tc>
        <w:tc>
          <w:tcPr>
            <w:tcW w:w="3858" w:type="dxa"/>
            <w:gridSpan w:val="3"/>
            <w:shd w:val="clear" w:color="auto" w:fill="auto"/>
            <w:vAlign w:val="center"/>
          </w:tcPr>
          <w:p>
            <w:pPr>
              <w:jc w:val="center"/>
              <w:rPr>
                <w:sz w:val="18"/>
                <w:szCs w:val="18"/>
              </w:rPr>
            </w:pPr>
            <w:r>
              <w:rPr>
                <w:rFonts w:hint="eastAsia"/>
                <w:sz w:val="18"/>
                <w:szCs w:val="18"/>
              </w:rPr>
              <w:t>合计：</w:t>
            </w:r>
          </w:p>
        </w:tc>
        <w:tc>
          <w:tcPr>
            <w:tcW w:w="2720" w:type="dxa"/>
            <w:gridSpan w:val="2"/>
            <w:shd w:val="clear" w:color="auto" w:fill="auto"/>
            <w:vAlign w:val="center"/>
          </w:tcPr>
          <w:p>
            <w:pPr>
              <w:jc w:val="center"/>
              <w:rPr>
                <w:sz w:val="18"/>
                <w:szCs w:val="18"/>
              </w:rPr>
            </w:pPr>
            <w:r>
              <w:rPr>
                <w:rFonts w:hint="eastAsia"/>
                <w:sz w:val="18"/>
                <w:szCs w:val="18"/>
              </w:rPr>
              <w:t>412.05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pPr>
              <w:jc w:val="center"/>
              <w:rPr>
                <w:b/>
                <w:sz w:val="18"/>
                <w:szCs w:val="18"/>
              </w:rPr>
            </w:pPr>
            <w:r>
              <w:rPr>
                <w:rFonts w:hint="eastAsia"/>
                <w:b/>
                <w:sz w:val="18"/>
                <w:szCs w:val="18"/>
              </w:rPr>
              <w:t>一级指标</w:t>
            </w:r>
          </w:p>
        </w:tc>
        <w:tc>
          <w:tcPr>
            <w:tcW w:w="1559" w:type="dxa"/>
            <w:shd w:val="clear" w:color="auto" w:fill="auto"/>
            <w:vAlign w:val="center"/>
          </w:tcPr>
          <w:p>
            <w:pPr>
              <w:jc w:val="center"/>
              <w:rPr>
                <w:b/>
                <w:sz w:val="18"/>
                <w:szCs w:val="18"/>
              </w:rPr>
            </w:pPr>
            <w:r>
              <w:rPr>
                <w:rFonts w:hint="eastAsia"/>
                <w:b/>
                <w:sz w:val="18"/>
                <w:szCs w:val="18"/>
              </w:rPr>
              <w:t>二级指标</w:t>
            </w:r>
          </w:p>
        </w:tc>
        <w:tc>
          <w:tcPr>
            <w:tcW w:w="2410" w:type="dxa"/>
            <w:shd w:val="clear" w:color="auto" w:fill="auto"/>
            <w:vAlign w:val="center"/>
          </w:tcPr>
          <w:p>
            <w:pPr>
              <w:jc w:val="center"/>
              <w:rPr>
                <w:b/>
                <w:sz w:val="18"/>
                <w:szCs w:val="18"/>
              </w:rPr>
            </w:pPr>
            <w:r>
              <w:rPr>
                <w:rFonts w:hint="eastAsia"/>
                <w:b/>
                <w:sz w:val="18"/>
                <w:szCs w:val="18"/>
              </w:rPr>
              <w:t>三级指标</w:t>
            </w:r>
          </w:p>
        </w:tc>
        <w:tc>
          <w:tcPr>
            <w:tcW w:w="1448" w:type="dxa"/>
            <w:gridSpan w:val="2"/>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指标设定依据</w:t>
            </w:r>
          </w:p>
        </w:tc>
        <w:tc>
          <w:tcPr>
            <w:tcW w:w="1360" w:type="dxa"/>
            <w:shd w:val="clear" w:color="auto" w:fill="auto"/>
            <w:vAlign w:val="center"/>
          </w:tcPr>
          <w:p>
            <w:pPr>
              <w:jc w:val="center"/>
              <w:rPr>
                <w:b/>
                <w:sz w:val="18"/>
                <w:szCs w:val="18"/>
              </w:rPr>
            </w:pPr>
            <w:r>
              <w:rPr>
                <w:rFonts w:hint="eastAsia"/>
                <w:b/>
                <w:sz w:val="18"/>
                <w:szCs w:val="18"/>
              </w:rPr>
              <w:t>分值权重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restart"/>
            <w:shd w:val="clear" w:color="auto" w:fill="auto"/>
            <w:vAlign w:val="center"/>
          </w:tcPr>
          <w:p>
            <w:pPr>
              <w:jc w:val="center"/>
              <w:rPr>
                <w:sz w:val="18"/>
                <w:szCs w:val="18"/>
              </w:rPr>
            </w:pPr>
            <w:r>
              <w:rPr>
                <w:rFonts w:hint="eastAsia"/>
                <w:sz w:val="18"/>
                <w:szCs w:val="18"/>
              </w:rPr>
              <w:t>履职效能</w:t>
            </w: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送检标准器台件数</w:t>
            </w:r>
          </w:p>
        </w:tc>
        <w:tc>
          <w:tcPr>
            <w:tcW w:w="1448" w:type="dxa"/>
            <w:gridSpan w:val="2"/>
            <w:shd w:val="clear" w:color="auto" w:fill="auto"/>
            <w:vAlign w:val="center"/>
          </w:tcPr>
          <w:p>
            <w:pPr>
              <w:jc w:val="center"/>
              <w:rPr>
                <w:sz w:val="18"/>
                <w:szCs w:val="18"/>
              </w:rPr>
            </w:pPr>
            <w:r>
              <w:rPr>
                <w:rFonts w:hint="eastAsia"/>
                <w:sz w:val="18"/>
                <w:szCs w:val="18"/>
              </w:rPr>
              <w:t>＞=17台</w:t>
            </w:r>
          </w:p>
        </w:tc>
        <w:tc>
          <w:tcPr>
            <w:tcW w:w="1360" w:type="dxa"/>
            <w:shd w:val="clear" w:color="auto" w:fill="auto"/>
            <w:vAlign w:val="center"/>
          </w:tcPr>
          <w:p>
            <w:pPr>
              <w:jc w:val="center"/>
              <w:rPr>
                <w:sz w:val="18"/>
                <w:szCs w:val="18"/>
              </w:rPr>
            </w:pPr>
            <w:r>
              <w:rPr>
                <w:rFonts w:hint="eastAsia"/>
                <w:sz w:val="18"/>
                <w:szCs w:val="18"/>
              </w:rPr>
              <w:t>2025年工作总结和2026年工作计划</w:t>
            </w:r>
          </w:p>
        </w:tc>
        <w:tc>
          <w:tcPr>
            <w:tcW w:w="1360" w:type="dxa"/>
            <w:shd w:val="clear" w:color="auto" w:fill="auto"/>
            <w:vAlign w:val="center"/>
          </w:tcPr>
          <w:p>
            <w:pPr>
              <w:jc w:val="center"/>
              <w:rPr>
                <w:sz w:val="18"/>
                <w:szCs w:val="18"/>
              </w:rPr>
            </w:pPr>
            <w:r>
              <w:rPr>
                <w:rFonts w:hint="eastAsia"/>
                <w:sz w:val="18"/>
                <w:szCs w:val="18"/>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计量器具检定数量</w:t>
            </w:r>
          </w:p>
        </w:tc>
        <w:tc>
          <w:tcPr>
            <w:tcW w:w="1448" w:type="dxa"/>
            <w:gridSpan w:val="2"/>
            <w:shd w:val="clear" w:color="auto" w:fill="auto"/>
            <w:vAlign w:val="center"/>
          </w:tcPr>
          <w:p>
            <w:pPr>
              <w:jc w:val="center"/>
              <w:rPr>
                <w:sz w:val="18"/>
                <w:szCs w:val="18"/>
              </w:rPr>
            </w:pPr>
            <w:r>
              <w:rPr>
                <w:rFonts w:hint="eastAsia"/>
                <w:sz w:val="18"/>
                <w:szCs w:val="18"/>
              </w:rPr>
              <w:t>＞=12000台</w:t>
            </w:r>
          </w:p>
        </w:tc>
        <w:tc>
          <w:tcPr>
            <w:tcW w:w="1360" w:type="dxa"/>
            <w:shd w:val="clear" w:color="auto" w:fill="auto"/>
            <w:vAlign w:val="center"/>
          </w:tcPr>
          <w:p>
            <w:pPr>
              <w:jc w:val="center"/>
              <w:rPr>
                <w:sz w:val="18"/>
                <w:szCs w:val="18"/>
              </w:rPr>
            </w:pPr>
            <w:r>
              <w:rPr>
                <w:rFonts w:hint="eastAsia"/>
                <w:sz w:val="18"/>
                <w:szCs w:val="18"/>
              </w:rPr>
              <w:t>2025年工作总结和2026年工作计划</w:t>
            </w:r>
          </w:p>
        </w:tc>
        <w:tc>
          <w:tcPr>
            <w:tcW w:w="1360" w:type="dxa"/>
            <w:shd w:val="clear" w:color="auto" w:fill="auto"/>
            <w:vAlign w:val="center"/>
          </w:tcPr>
          <w:p>
            <w:pPr>
              <w:jc w:val="center"/>
              <w:rPr>
                <w:sz w:val="18"/>
                <w:szCs w:val="18"/>
              </w:rPr>
            </w:pPr>
            <w:r>
              <w:rPr>
                <w:rFonts w:hint="eastAsia"/>
                <w:sz w:val="18"/>
                <w:szCs w:val="18"/>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实验室维修升级</w:t>
            </w:r>
          </w:p>
        </w:tc>
        <w:tc>
          <w:tcPr>
            <w:tcW w:w="1448" w:type="dxa"/>
            <w:gridSpan w:val="2"/>
            <w:shd w:val="clear" w:color="auto" w:fill="auto"/>
            <w:vAlign w:val="center"/>
          </w:tcPr>
          <w:p>
            <w:pPr>
              <w:jc w:val="center"/>
              <w:rPr>
                <w:sz w:val="18"/>
                <w:szCs w:val="18"/>
              </w:rPr>
            </w:pPr>
            <w:r>
              <w:rPr>
                <w:rFonts w:hint="eastAsia"/>
                <w:sz w:val="18"/>
                <w:szCs w:val="18"/>
              </w:rPr>
              <w:t>＞=1个</w:t>
            </w:r>
          </w:p>
        </w:tc>
        <w:tc>
          <w:tcPr>
            <w:tcW w:w="1360" w:type="dxa"/>
            <w:shd w:val="clear" w:color="auto" w:fill="auto"/>
            <w:vAlign w:val="center"/>
          </w:tcPr>
          <w:p>
            <w:pPr>
              <w:jc w:val="center"/>
              <w:rPr>
                <w:sz w:val="18"/>
                <w:szCs w:val="18"/>
              </w:rPr>
            </w:pPr>
            <w:r>
              <w:rPr>
                <w:rFonts w:hint="eastAsia"/>
                <w:sz w:val="18"/>
                <w:szCs w:val="18"/>
              </w:rPr>
              <w:t>2025年工作总结和2026年工作计划</w:t>
            </w:r>
          </w:p>
        </w:tc>
        <w:tc>
          <w:tcPr>
            <w:tcW w:w="1360" w:type="dxa"/>
            <w:shd w:val="clear" w:color="auto" w:fill="auto"/>
            <w:vAlign w:val="center"/>
          </w:tcPr>
          <w:p>
            <w:pPr>
              <w:jc w:val="center"/>
              <w:rPr>
                <w:sz w:val="18"/>
                <w:szCs w:val="18"/>
              </w:rPr>
            </w:pPr>
            <w:r>
              <w:rPr>
                <w:rFonts w:hint="eastAsia"/>
                <w:sz w:val="18"/>
                <w:szCs w:val="18"/>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计量器具种类数</w:t>
            </w:r>
          </w:p>
        </w:tc>
        <w:tc>
          <w:tcPr>
            <w:tcW w:w="1448" w:type="dxa"/>
            <w:gridSpan w:val="2"/>
            <w:shd w:val="clear" w:color="auto" w:fill="auto"/>
            <w:vAlign w:val="center"/>
          </w:tcPr>
          <w:p>
            <w:pPr>
              <w:jc w:val="center"/>
              <w:rPr>
                <w:sz w:val="18"/>
                <w:szCs w:val="18"/>
              </w:rPr>
            </w:pPr>
            <w:r>
              <w:rPr>
                <w:rFonts w:hint="eastAsia"/>
                <w:sz w:val="18"/>
                <w:szCs w:val="18"/>
              </w:rPr>
              <w:t>＞=7种</w:t>
            </w:r>
          </w:p>
        </w:tc>
        <w:tc>
          <w:tcPr>
            <w:tcW w:w="1360" w:type="dxa"/>
            <w:shd w:val="clear" w:color="auto" w:fill="auto"/>
            <w:vAlign w:val="center"/>
          </w:tcPr>
          <w:p>
            <w:pPr>
              <w:jc w:val="center"/>
              <w:rPr>
                <w:sz w:val="18"/>
                <w:szCs w:val="18"/>
              </w:rPr>
            </w:pPr>
            <w:r>
              <w:rPr>
                <w:rFonts w:hint="eastAsia"/>
                <w:sz w:val="18"/>
                <w:szCs w:val="18"/>
              </w:rPr>
              <w:t>2025年工作总结和2026年工作计划</w:t>
            </w:r>
          </w:p>
        </w:tc>
        <w:tc>
          <w:tcPr>
            <w:tcW w:w="1360" w:type="dxa"/>
            <w:shd w:val="clear" w:color="auto" w:fill="auto"/>
            <w:vAlign w:val="center"/>
          </w:tcPr>
          <w:p>
            <w:pPr>
              <w:jc w:val="center"/>
              <w:rPr>
                <w:sz w:val="18"/>
                <w:szCs w:val="18"/>
              </w:rPr>
            </w:pPr>
            <w:r>
              <w:rPr>
                <w:rFonts w:hint="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shd w:val="clear" w:color="auto" w:fill="auto"/>
            <w:vAlign w:val="center"/>
          </w:tcPr>
          <w:p>
            <w:pPr>
              <w:jc w:val="center"/>
              <w:rPr>
                <w:sz w:val="18"/>
                <w:szCs w:val="18"/>
              </w:rPr>
            </w:pPr>
            <w:r>
              <w:rPr>
                <w:rFonts w:hint="eastAsia"/>
                <w:sz w:val="18"/>
                <w:szCs w:val="18"/>
              </w:rPr>
              <w:t>质量指标</w:t>
            </w:r>
          </w:p>
        </w:tc>
        <w:tc>
          <w:tcPr>
            <w:tcW w:w="2410" w:type="dxa"/>
            <w:shd w:val="clear" w:color="auto" w:fill="auto"/>
            <w:vAlign w:val="center"/>
          </w:tcPr>
          <w:p>
            <w:pPr>
              <w:jc w:val="center"/>
              <w:rPr>
                <w:sz w:val="18"/>
                <w:szCs w:val="18"/>
              </w:rPr>
            </w:pPr>
            <w:r>
              <w:rPr>
                <w:rFonts w:hint="eastAsia"/>
                <w:sz w:val="18"/>
                <w:szCs w:val="18"/>
              </w:rPr>
              <w:t>检验计量器具受检率</w:t>
            </w:r>
          </w:p>
        </w:tc>
        <w:tc>
          <w:tcPr>
            <w:tcW w:w="1448" w:type="dxa"/>
            <w:gridSpan w:val="2"/>
            <w:shd w:val="clear" w:color="auto" w:fill="auto"/>
            <w:vAlign w:val="center"/>
          </w:tcPr>
          <w:p>
            <w:pPr>
              <w:jc w:val="center"/>
              <w:rPr>
                <w:sz w:val="18"/>
                <w:szCs w:val="18"/>
              </w:rPr>
            </w:pPr>
            <w:r>
              <w:rPr>
                <w:rFonts w:hint="eastAsia"/>
                <w:sz w:val="18"/>
                <w:szCs w:val="18"/>
              </w:rPr>
              <w:t>＞=100%</w:t>
            </w:r>
          </w:p>
        </w:tc>
        <w:tc>
          <w:tcPr>
            <w:tcW w:w="1360" w:type="dxa"/>
            <w:shd w:val="clear" w:color="auto" w:fill="auto"/>
            <w:vAlign w:val="center"/>
          </w:tcPr>
          <w:p>
            <w:pPr>
              <w:jc w:val="center"/>
              <w:rPr>
                <w:sz w:val="18"/>
                <w:szCs w:val="18"/>
              </w:rPr>
            </w:pPr>
            <w:r>
              <w:rPr>
                <w:rFonts w:hint="eastAsia"/>
                <w:sz w:val="18"/>
                <w:szCs w:val="18"/>
              </w:rPr>
              <w:t>2025年工作总结和2026年工作计划</w:t>
            </w:r>
          </w:p>
        </w:tc>
        <w:tc>
          <w:tcPr>
            <w:tcW w:w="1360" w:type="dxa"/>
            <w:shd w:val="clear" w:color="auto" w:fill="auto"/>
            <w:vAlign w:val="center"/>
          </w:tcPr>
          <w:p>
            <w:pPr>
              <w:jc w:val="center"/>
              <w:rPr>
                <w:sz w:val="18"/>
                <w:szCs w:val="18"/>
              </w:rPr>
            </w:pPr>
            <w:r>
              <w:rPr>
                <w:rFonts w:hint="eastAsia"/>
                <w:sz w:val="18"/>
                <w:szCs w:val="18"/>
              </w:rPr>
              <w:t>13</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9"/>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呼图壁县公共检验检测中心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2026年支付各类其他刚性支出资金项目</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雷学梅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5.40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5.40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根据《节约型机关创建行动方案》、《党政机关厉行节约反对浪费条例》结合我单位职能，本项目拟投入5.4万元，构建一个安全、合规、高效的计量检测体系，以提升整体技术能力与运营水平，通过实施该项目，促进检测服务的规范化、专业化发展，为区域经济高质量发展提供坚实的技术支撑，并推动相关行业在质量控制、安全生产和社会服务方面的进步，体现公共资源投入的社会价值与长期效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bookmarkStart w:id="0" w:name="_GoBack"/>
            <w:bookmarkEnd w:id="0"/>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送检标准器数量</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＞=17台件</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eastAsia="宋体"/>
                <w:sz w:val="16"/>
                <w:szCs w:val="16"/>
                <w:lang w:val="en-US" w:eastAsia="zh-CN"/>
              </w:rPr>
            </w:pPr>
            <w:r>
              <w:rPr>
                <w:rFonts w:hint="eastAsia" w:ascii="宋体" w:hAnsi="宋体"/>
                <w:sz w:val="16"/>
                <w:szCs w:val="16"/>
                <w:lang w:val="en-US" w:eastAsia="zh-CN"/>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6</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维修改造实验室数量</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＞=1个</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eastAsia" w:ascii="宋体" w:hAnsi="宋体"/>
                <w:sz w:val="16"/>
                <w:szCs w:val="16"/>
                <w:lang w:val="en-US" w:eastAsia="zh-CN"/>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11</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资产管理平台网络维数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＞=1次</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eastAsia" w:ascii="宋体" w:hAnsi="宋体"/>
                <w:sz w:val="16"/>
                <w:szCs w:val="16"/>
                <w:lang w:val="en-US" w:eastAsia="zh-CN"/>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维修改造合格率（%）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eastAsia" w:ascii="宋体" w:hAnsi="宋体"/>
                <w:sz w:val="16"/>
                <w:szCs w:val="16"/>
                <w:lang w:val="en-US" w:eastAsia="zh-CN"/>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维修完工时限</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2026年12月10日前</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eastAsia" w:ascii="宋体" w:hAnsi="宋体"/>
                <w:sz w:val="16"/>
                <w:szCs w:val="16"/>
                <w:lang w:val="en-US" w:eastAsia="zh-CN"/>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6</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直接赋分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委托业务费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＜=1.10万元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eastAsia" w:ascii="宋体" w:hAnsi="宋体"/>
                <w:sz w:val="16"/>
                <w:szCs w:val="16"/>
                <w:lang w:val="en-US" w:eastAsia="zh-CN"/>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正式材料,原始凭证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维修（维护）费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＜=2.946万元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eastAsia" w:ascii="宋体" w:hAnsi="宋体"/>
                <w:sz w:val="16"/>
                <w:szCs w:val="16"/>
                <w:lang w:val="en-US" w:eastAsia="zh-CN"/>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6</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正式材料,原始凭证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资产管理平台网络维护费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＜=0.234万元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eastAsia" w:ascii="宋体" w:hAnsi="宋体"/>
                <w:sz w:val="16"/>
                <w:szCs w:val="16"/>
                <w:lang w:val="en-US" w:eastAsia="zh-CN"/>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正式材料,原始凭证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电信陈欠款</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＜=1.12万元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eastAsia" w:ascii="宋体" w:hAnsi="宋体"/>
                <w:sz w:val="16"/>
                <w:szCs w:val="16"/>
                <w:lang w:val="en-US" w:eastAsia="zh-CN"/>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正式材料,原始凭证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提升民生服务覆盖率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良好</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eastAsia" w:ascii="宋体" w:hAnsi="宋体"/>
                <w:sz w:val="16"/>
                <w:szCs w:val="16"/>
                <w:lang w:val="en-US" w:eastAsia="zh-CN"/>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群众满意度（%）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其他标准</w:t>
            </w:r>
          </w:p>
        </w:tc>
        <w:tc>
          <w:tcPr>
            <w:tcW w:w="680" w:type="dxa"/>
            <w:shd w:val="clear" w:color="auto" w:fill="auto"/>
            <w:vAlign w:val="center"/>
          </w:tcPr>
          <w:p>
            <w:pPr>
              <w:jc w:val="center"/>
              <w:rPr>
                <w:rFonts w:hint="eastAsia" w:ascii="宋体" w:hAnsi="宋体"/>
                <w:sz w:val="16"/>
                <w:szCs w:val="16"/>
              </w:rPr>
            </w:pPr>
            <w:r>
              <w:rPr>
                <w:rFonts w:hint="eastAsia" w:ascii="宋体" w:hAnsi="宋体"/>
                <w:sz w:val="16"/>
                <w:szCs w:val="16"/>
                <w:lang w:val="en-US" w:eastAsia="zh-CN"/>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其他需说明的事项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本部门无其他需说明事项。</w:t>
      </w:r>
    </w:p>
    <w:p>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呼图壁县公共检验检测中心</w:t>
      </w:r>
    </w:p>
    <w:p>
      <w:pPr>
        <w:spacing w:line="560" w:lineRule="exact"/>
        <w:jc w:val="right"/>
        <w:rPr>
          <w:rFonts w:hint="default" w:ascii="仿宋" w:eastAsia="仿宋"/>
          <w:sz w:val="28"/>
          <w:szCs w:val="28"/>
        </w:rPr>
      </w:pPr>
      <w:r>
        <w:rPr>
          <w:rFonts w:hint="eastAsia" w:ascii="仿宋" w:hAnsi="CIDFont+F6" w:eastAsia="仿宋"/>
          <w:color w:val="000000"/>
          <w:sz w:val="28"/>
          <w:szCs w:val="28"/>
        </w:rPr>
        <w:t>2026年2月25日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pPr>
      <w:pStyle w:val="7"/>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55D3FC"/>
    <w:multiLevelType w:val="multilevel"/>
    <w:tmpl w:val="CC55D3FC"/>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A711499"/>
    <w:multiLevelType w:val="multilevel"/>
    <w:tmpl w:val="3A711499"/>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506F5B2E"/>
    <w:multiLevelType w:val="multilevel"/>
    <w:tmpl w:val="506F5B2E"/>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564485"/>
    <w:rsid w:val="30574C55"/>
    <w:rsid w:val="5FA2659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13"/>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link w:val="14"/>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link w:val="15"/>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qFormat/>
    <w:uiPriority w:val="0"/>
  </w:style>
  <w:style w:type="table" w:default="1" w:styleId="9">
    <w:name w:val="Normal Table"/>
    <w:qFormat/>
    <w:uiPriority w:val="0"/>
    <w:rPr>
      <w:lang w:val="en-US" w:eastAsia="zh-CN" w:bidi="ar-SA"/>
    </w:rPr>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6">
    <w:name w:val="annotation text"/>
    <w:basedOn w:val="1"/>
    <w:qFormat/>
    <w:uiPriority w:val="0"/>
    <w:pPr>
      <w:jc w:val="left"/>
    </w:pPr>
  </w:style>
  <w:style w:type="paragraph" w:styleId="7">
    <w:name w:val="footer"/>
    <w:basedOn w:val="1"/>
    <w:link w:val="17"/>
    <w:qFormat/>
    <w:uiPriority w:val="0"/>
    <w:pPr>
      <w:snapToGrid w:val="0"/>
      <w:jc w:val="left"/>
    </w:pPr>
    <w:rPr>
      <w:sz w:val="18"/>
      <w:szCs w:val="18"/>
    </w:rPr>
  </w:style>
  <w:style w:type="paragraph" w:styleId="8">
    <w:name w:val="header"/>
    <w:basedOn w:val="1"/>
    <w:link w:val="16"/>
    <w:qFormat/>
    <w:uiPriority w:val="0"/>
    <w:pPr>
      <w:pBdr>
        <w:bottom w:val="single" w:color="auto" w:sz="6" w:space="1"/>
      </w:pBdr>
      <w:snapToGrid w:val="0"/>
      <w:jc w:val="center"/>
    </w:pPr>
    <w:rPr>
      <w:sz w:val="18"/>
      <w:szCs w:val="18"/>
    </w:rPr>
  </w:style>
  <w:style w:type="table" w:styleId="10">
    <w:name w:val="Table Grid"/>
    <w:basedOn w:val="9"/>
    <w:qFormat/>
    <w:uiPriority w:val="0"/>
    <w:rPr>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
    <w:name w:val="List Paragraph"/>
    <w:basedOn w:val="1"/>
    <w:qFormat/>
    <w:uiPriority w:val="0"/>
    <w:pPr>
      <w:ind w:firstLine="420" w:firstLineChars="200"/>
    </w:pPr>
  </w:style>
  <w:style w:type="character" w:customStyle="1" w:styleId="13">
    <w:name w:val="标题 1 Char"/>
    <w:link w:val="3"/>
    <w:qFormat/>
    <w:uiPriority w:val="0"/>
    <w:rPr>
      <w:rFonts w:hint="default" w:ascii="Times New Roman" w:hAnsi="Times New Roman"/>
      <w:b/>
      <w:kern w:val="44"/>
      <w:sz w:val="44"/>
      <w:szCs w:val="44"/>
    </w:rPr>
  </w:style>
  <w:style w:type="character" w:customStyle="1" w:styleId="14">
    <w:name w:val="标题 2 Char"/>
    <w:link w:val="4"/>
    <w:qFormat/>
    <w:uiPriority w:val="0"/>
    <w:rPr>
      <w:rFonts w:hint="default" w:ascii="Cambria" w:hAnsi="Cambria"/>
      <w:b/>
      <w:kern w:val="2"/>
      <w:sz w:val="32"/>
      <w:szCs w:val="32"/>
    </w:rPr>
  </w:style>
  <w:style w:type="character" w:customStyle="1" w:styleId="15">
    <w:name w:val="标题 3 Char"/>
    <w:link w:val="5"/>
    <w:qFormat/>
    <w:uiPriority w:val="0"/>
    <w:rPr>
      <w:rFonts w:hint="default" w:ascii="Times New Roman" w:hAnsi="Times New Roman"/>
      <w:b/>
      <w:kern w:val="2"/>
      <w:sz w:val="32"/>
      <w:szCs w:val="32"/>
    </w:rPr>
  </w:style>
  <w:style w:type="character" w:customStyle="1" w:styleId="16">
    <w:name w:val="页眉 Char"/>
    <w:link w:val="8"/>
    <w:qFormat/>
    <w:uiPriority w:val="0"/>
    <w:rPr>
      <w:kern w:val="2"/>
      <w:sz w:val="18"/>
      <w:szCs w:val="18"/>
    </w:rPr>
  </w:style>
  <w:style w:type="character" w:customStyle="1" w:styleId="17">
    <w:name w:val="页脚 Char"/>
    <w:link w:val="7"/>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beijing</Company>
  <Pages>28</Pages>
  <Words>2136</Words>
  <Characters>2816</Characters>
  <Lines>40</Lines>
  <Paragraphs>11</Paragraphs>
  <TotalTime>0</TotalTime>
  <ScaleCrop>false</ScaleCrop>
  <LinksUpToDate>false</LinksUpToDate>
  <CharactersWithSpaces>3034</CharactersWithSpaces>
  <Application>WPS Office_11.8.2.10154_F1E327BC-269C-435d-A152-05C5408002CA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2020-11-10T12:53:00Z</dcterms:created>
  <dc:creator>home</dc:creator>
  <cp:lastModifiedBy>htbczj</cp:lastModifiedBy>
  <dcterms:modified xsi:type="dcterms:W3CDTF">2026-06-02T03:20:38Z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60E8D91233C84A16AD901EEE9EF5F945_13</vt:lpwstr>
  </property>
  <property fmtid="{D5CDD505-2E9C-101B-9397-08002B2CF9AE}" pid="4" name="KSOTemplateDocerSaveRecord">
    <vt:lpwstr>eyJoZGlkIjoiM2QyNTVlMjA1MzU0ZmE2ZGVjNjEzNjExZjg0MmQ1MzciLCJ1c2VySWQiOiIyMjk4MzUzNDIifQ==</vt:lpwstr>
  </property>
</Properties>
</file>