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2026年呼图壁县应急管理局</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关于呼图壁县应急管理局2026年收支预算情况的总体说明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关于呼图壁县应急管理局2026年收入预算情况说明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关于呼图壁县应急管理局2026年支出预算情况说明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关于呼图壁县应急管理局2026年财政拨款收支预算情况的总体说明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关于呼图壁县应急管理局2026年一般公共预算当年拨款情况说明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关于呼图壁县应急管理局2026年一般公共预算基本支出情况说明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关于呼图壁县应急管理局2026年一般公共预算项目支出情况说明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关于呼图壁县应急管理局2026年政府性基金预算拨款情况说明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关于呼图壁县应急管理局2026年国有资本经营预算拨款情况说明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关于呼图壁县应急管理局2026年财政拨款“三公”经费预算情况说明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关于呼图壁县应急管理局2026年财政拨款委托业务费支出情况说明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关于呼图壁县应急管理局2026年上年结转结余预算情况说明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2026年部门概况</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呼图壁县应急管理局是主管安全生产及应急指挥综合管理的政府单位。呼图壁县应急管理局（以下简称应急局）为呼图壁县人民政府工作单位,履行呼图壁县人民政府应急指挥调度职能和安全生产综合监督管理职能,综合管理全县应急突发事件及安全生产工作。</w:t>
      </w:r>
    </w:p>
    <w:p>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呼图壁县应急管理局无下属预算单位。</w:t>
      </w:r>
    </w:p>
    <w:p>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081"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编制部门：呼图壁县应急管理局</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4,637.79</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4,468.29</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2,427.54</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2,040.75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172.86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74.05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169.50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853.98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169.50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1,346.90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1,346.90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883.90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158.85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463.00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4,724.95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2835"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2835"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5,984.69</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5,984.69</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8"/>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编制部门：呼图壁县应急管理局</w:t>
            </w:r>
          </w:p>
        </w:tc>
        <w:tc>
          <w:tcPr>
            <w:tcW w:w="1800" w:type="dxa"/>
            <w:gridSpan w:val="2"/>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0"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60"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pPr>
              <w:jc w:val="center"/>
              <w:rPr>
                <w:rFonts w:hint="default" w:ascii="宋体" w:hAnsi="宋体"/>
                <w:sz w:val="18"/>
                <w:szCs w:val="18"/>
              </w:rPr>
            </w:pPr>
          </w:p>
        </w:tc>
        <w:tc>
          <w:tcPr>
            <w:tcW w:w="1140" w:type="dxa"/>
            <w:vMerge w:val="continue"/>
            <w:shd w:val="clear" w:color="auto" w:fill="auto"/>
            <w:vAlign w:val="center"/>
          </w:tcPr>
          <w:p>
            <w:pPr>
              <w:jc w:val="center"/>
              <w:rPr>
                <w:rFonts w:hint="default" w:ascii="宋体" w:hAnsi="宋体"/>
                <w:sz w:val="18"/>
                <w:szCs w:val="18"/>
              </w:rPr>
            </w:pP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900"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900"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172.86</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142.86</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142.86</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172.86</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142.86</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142.86</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行政单位离退休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8.32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8.32</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8.32</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事业单位离退休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3.87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3.87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3.87</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87.11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87.11</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87.11</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机关事业单位职业年金缴费支出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73.56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43.56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43.56</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74.05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74.05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74.05</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74.05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74.05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74.05</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18.25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18.25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18.25</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事业单位医疗</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33.47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33.47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33.47</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公务员医疗补助</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21.78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21.78</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21.78</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其他行政事业单位医疗支出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0.54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0.54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0.54</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215</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资源勘探工业信息等支出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853.98</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853.98</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215</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资源勘探开发</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853.98</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853.98</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其他资源勘探业支出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853.98</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853.98</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158.85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73.85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73.85</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85.00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158.85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73.85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73.85</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85.00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158.85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73.85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73.85</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85.00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224</w:t>
            </w: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灾害防治及应急管理支出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4,724.95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4,177.53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2,136.78</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2,040.75</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54.50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492.92</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224</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01</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应急管理事务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3,868.56</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3,784.14</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1,745.74</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2,038.40</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54.50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29.92</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224</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347.77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323.27</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323.27</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24.50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224</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一般行政管理事务</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30.96</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19.04</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19.04</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11.92</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224</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04</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灾害风险防治</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2,038.40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2,038.40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2,038.40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224</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安全监管</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1,000.00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1,000.00</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1,000.00</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224</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应急管理</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18.00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18.00</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224</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50</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433.43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403.43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403.43</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224</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消防救援事务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391.03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391.03</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391.03</w:t>
            </w: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224</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行政运行</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391.03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391.03</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391.03</w:t>
            </w: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224</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地震事务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2.35</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2.35</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2.35</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224</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50</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地震事业机构</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2.35</w:t>
            </w: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2.35</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r>
              <w:rPr>
                <w:rFonts w:hint="eastAsia" w:ascii="宋体" w:hAnsi="宋体"/>
                <w:color w:val="000000"/>
                <w:sz w:val="15"/>
                <w:szCs w:val="15"/>
              </w:rPr>
              <w:t>2.35</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224</w:t>
            </w:r>
          </w:p>
        </w:tc>
        <w:tc>
          <w:tcPr>
            <w:tcW w:w="26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98</w:t>
            </w: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超长期特别国债安排的支出</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463.00</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5"/>
                <w:szCs w:val="15"/>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463.00</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224</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98</w:t>
            </w:r>
          </w:p>
        </w:tc>
        <w:tc>
          <w:tcPr>
            <w:tcW w:w="260"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其他灾害防治及应急管理支出</w:t>
            </w:r>
          </w:p>
        </w:tc>
        <w:tc>
          <w:tcPr>
            <w:tcW w:w="114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463.00</w:t>
            </w: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5"/>
                <w:szCs w:val="15"/>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463.00</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60"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14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5,984.69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4,468.29</w:t>
            </w: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2,427.54</w:t>
            </w:r>
          </w:p>
        </w:tc>
        <w:tc>
          <w:tcPr>
            <w:tcW w:w="900" w:type="dxa"/>
            <w:shd w:val="clear" w:color="auto" w:fill="auto"/>
            <w:vAlign w:val="center"/>
          </w:tcPr>
          <w:p>
            <w:pPr>
              <w:jc w:val="right"/>
              <w:rPr>
                <w:rFonts w:hint="default" w:ascii="宋体" w:hAnsi="宋体"/>
                <w:b/>
                <w:sz w:val="15"/>
                <w:szCs w:val="15"/>
              </w:rPr>
            </w:pPr>
            <w:r>
              <w:rPr>
                <w:rFonts w:hint="eastAsia" w:ascii="宋体" w:hAnsi="宋体"/>
                <w:b/>
                <w:color w:val="000000"/>
                <w:sz w:val="15"/>
                <w:szCs w:val="15"/>
              </w:rPr>
              <w:t>2,040.75</w:t>
            </w: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169.50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1,346.90</w:t>
            </w:r>
          </w:p>
        </w:tc>
        <w:tc>
          <w:tcPr>
            <w:tcW w:w="900" w:type="dxa"/>
            <w:shd w:val="clear" w:color="auto" w:fill="auto"/>
            <w:vAlign w:val="center"/>
          </w:tcPr>
          <w:p>
            <w:pPr>
              <w:jc w:val="right"/>
              <w:rPr>
                <w:rFonts w:hint="eastAsia" w:ascii="宋体" w:hAnsi="宋体"/>
                <w:b/>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编制部门：呼图壁县应急管理局</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169" w:type="dxa"/>
            <w:vMerge w:val="restart"/>
            <w:shd w:val="clear" w:color="auto" w:fill="auto"/>
            <w:vAlign w:val="center"/>
          </w:tcPr>
          <w:p>
            <w:pPr>
              <w:jc w:val="center"/>
              <w:rPr>
                <w:sz w:val="18"/>
                <w:szCs w:val="18"/>
              </w:rPr>
            </w:pPr>
            <w:r>
              <w:rPr>
                <w:rFonts w:hint="eastAsia"/>
                <w:sz w:val="18"/>
                <w:szCs w:val="18"/>
              </w:rPr>
              <w:t>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172.86</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172.86</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172.86</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172.86</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行政单位离退休</w:t>
            </w:r>
          </w:p>
        </w:tc>
        <w:tc>
          <w:tcPr>
            <w:tcW w:w="340" w:type="dxa"/>
            <w:shd w:val="clear" w:color="auto" w:fill="auto"/>
            <w:vAlign w:val="center"/>
          </w:tcPr>
          <w:p>
            <w:pPr>
              <w:jc w:val="right"/>
              <w:rPr>
                <w:sz w:val="18"/>
                <w:szCs w:val="18"/>
              </w:rPr>
            </w:pPr>
            <w:r>
              <w:rPr>
                <w:rFonts w:hint="eastAsia" w:ascii="宋体" w:hAnsi="宋体"/>
                <w:color w:val="000000"/>
                <w:sz w:val="18"/>
                <w:szCs w:val="18"/>
              </w:rPr>
              <w:t>8.32</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8.32</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事业单位离退休</w:t>
            </w:r>
          </w:p>
        </w:tc>
        <w:tc>
          <w:tcPr>
            <w:tcW w:w="340" w:type="dxa"/>
            <w:shd w:val="clear" w:color="auto" w:fill="auto"/>
            <w:vAlign w:val="center"/>
          </w:tcPr>
          <w:p>
            <w:pPr>
              <w:jc w:val="right"/>
              <w:rPr>
                <w:sz w:val="18"/>
                <w:szCs w:val="18"/>
              </w:rPr>
            </w:pPr>
            <w:r>
              <w:rPr>
                <w:rFonts w:hint="eastAsia" w:ascii="宋体" w:hAnsi="宋体"/>
                <w:color w:val="000000"/>
                <w:sz w:val="18"/>
                <w:szCs w:val="18"/>
              </w:rPr>
              <w:t>3.87</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3.87</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87.11</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87.11</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机关事业单位职业年金缴费支出</w:t>
            </w:r>
          </w:p>
        </w:tc>
        <w:tc>
          <w:tcPr>
            <w:tcW w:w="340" w:type="dxa"/>
            <w:shd w:val="clear" w:color="auto" w:fill="auto"/>
            <w:vAlign w:val="center"/>
          </w:tcPr>
          <w:p>
            <w:pPr>
              <w:jc w:val="right"/>
              <w:rPr>
                <w:sz w:val="18"/>
                <w:szCs w:val="18"/>
              </w:rPr>
            </w:pPr>
            <w:r>
              <w:rPr>
                <w:rFonts w:hint="eastAsia" w:ascii="宋体" w:hAnsi="宋体"/>
                <w:color w:val="000000"/>
                <w:sz w:val="18"/>
                <w:szCs w:val="18"/>
              </w:rPr>
              <w:t>73.56</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73.56</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74.05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74.05</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340" w:type="dxa"/>
            <w:shd w:val="clear" w:color="auto" w:fill="auto"/>
            <w:vAlign w:val="center"/>
          </w:tcPr>
          <w:p>
            <w:pPr>
              <w:jc w:val="right"/>
              <w:rPr>
                <w:b/>
                <w:sz w:val="18"/>
                <w:szCs w:val="18"/>
              </w:rPr>
            </w:pPr>
            <w:r>
              <w:rPr>
                <w:rFonts w:hint="eastAsia" w:ascii="宋体" w:hAnsi="宋体"/>
                <w:b/>
                <w:color w:val="000000"/>
                <w:sz w:val="18"/>
                <w:szCs w:val="18"/>
              </w:rPr>
              <w:t>74.05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74.05</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18.25</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18.25</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事业单位医疗</w:t>
            </w:r>
          </w:p>
        </w:tc>
        <w:tc>
          <w:tcPr>
            <w:tcW w:w="340" w:type="dxa"/>
            <w:shd w:val="clear" w:color="auto" w:fill="auto"/>
            <w:vAlign w:val="center"/>
          </w:tcPr>
          <w:p>
            <w:pPr>
              <w:jc w:val="right"/>
              <w:rPr>
                <w:sz w:val="18"/>
                <w:szCs w:val="18"/>
              </w:rPr>
            </w:pPr>
            <w:r>
              <w:rPr>
                <w:rFonts w:hint="eastAsia" w:ascii="宋体" w:hAnsi="宋体"/>
                <w:color w:val="000000"/>
                <w:sz w:val="18"/>
                <w:szCs w:val="18"/>
              </w:rPr>
              <w:t>33.47</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33.47</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公务员医疗补助</w:t>
            </w:r>
          </w:p>
        </w:tc>
        <w:tc>
          <w:tcPr>
            <w:tcW w:w="340" w:type="dxa"/>
            <w:shd w:val="clear" w:color="auto" w:fill="auto"/>
            <w:vAlign w:val="center"/>
          </w:tcPr>
          <w:p>
            <w:pPr>
              <w:jc w:val="right"/>
              <w:rPr>
                <w:sz w:val="18"/>
                <w:szCs w:val="18"/>
              </w:rPr>
            </w:pPr>
            <w:r>
              <w:rPr>
                <w:rFonts w:hint="eastAsia" w:ascii="宋体" w:hAnsi="宋体"/>
                <w:color w:val="000000"/>
                <w:sz w:val="18"/>
                <w:szCs w:val="18"/>
              </w:rPr>
              <w:t>21.78</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21.78</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其他行政事业单位医疗支出</w:t>
            </w:r>
          </w:p>
        </w:tc>
        <w:tc>
          <w:tcPr>
            <w:tcW w:w="340" w:type="dxa"/>
            <w:shd w:val="clear" w:color="auto" w:fill="auto"/>
            <w:vAlign w:val="center"/>
          </w:tcPr>
          <w:p>
            <w:pPr>
              <w:jc w:val="right"/>
              <w:rPr>
                <w:sz w:val="18"/>
                <w:szCs w:val="18"/>
              </w:rPr>
            </w:pPr>
            <w:r>
              <w:rPr>
                <w:rFonts w:hint="eastAsia" w:ascii="宋体" w:hAnsi="宋体"/>
                <w:color w:val="000000"/>
                <w:sz w:val="18"/>
                <w:szCs w:val="18"/>
              </w:rPr>
              <w:t>0.54</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0.54</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215</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资源勘探工业信息等支出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853.98</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853.98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215</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资源勘探开发</w:t>
            </w:r>
          </w:p>
        </w:tc>
        <w:tc>
          <w:tcPr>
            <w:tcW w:w="340" w:type="dxa"/>
            <w:shd w:val="clear" w:color="auto" w:fill="auto"/>
            <w:vAlign w:val="center"/>
          </w:tcPr>
          <w:p>
            <w:pPr>
              <w:jc w:val="right"/>
              <w:rPr>
                <w:b/>
                <w:sz w:val="18"/>
                <w:szCs w:val="18"/>
              </w:rPr>
            </w:pPr>
            <w:r>
              <w:rPr>
                <w:rFonts w:hint="eastAsia" w:ascii="宋体" w:hAnsi="宋体"/>
                <w:b/>
                <w:color w:val="000000"/>
                <w:sz w:val="18"/>
                <w:szCs w:val="18"/>
              </w:rPr>
              <w:t>853.98</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853.98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其他资源勘探业支出</w:t>
            </w:r>
          </w:p>
        </w:tc>
        <w:tc>
          <w:tcPr>
            <w:tcW w:w="340" w:type="dxa"/>
            <w:shd w:val="clear" w:color="auto" w:fill="auto"/>
            <w:vAlign w:val="center"/>
          </w:tcPr>
          <w:p>
            <w:pPr>
              <w:jc w:val="right"/>
              <w:rPr>
                <w:sz w:val="18"/>
                <w:szCs w:val="18"/>
              </w:rPr>
            </w:pPr>
            <w:r>
              <w:rPr>
                <w:rFonts w:hint="eastAsia" w:ascii="宋体" w:hAnsi="宋体"/>
                <w:color w:val="000000"/>
                <w:sz w:val="18"/>
                <w:szCs w:val="18"/>
              </w:rPr>
              <w:t>853.98</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853.98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158.85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158.85</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158.85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158.85</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340" w:type="dxa"/>
            <w:shd w:val="clear" w:color="auto" w:fill="auto"/>
            <w:vAlign w:val="center"/>
          </w:tcPr>
          <w:p>
            <w:pPr>
              <w:jc w:val="right"/>
              <w:rPr>
                <w:sz w:val="18"/>
                <w:szCs w:val="18"/>
              </w:rPr>
            </w:pPr>
            <w:r>
              <w:rPr>
                <w:rFonts w:hint="eastAsia" w:ascii="宋体" w:hAnsi="宋体"/>
                <w:color w:val="000000"/>
                <w:sz w:val="18"/>
                <w:szCs w:val="18"/>
              </w:rPr>
              <w:t>158.85</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158.85</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224</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灾害防治及应急管理支出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4,724.95</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1,172.24</w:t>
            </w:r>
          </w:p>
        </w:tc>
        <w:tc>
          <w:tcPr>
            <w:tcW w:w="340" w:type="dxa"/>
            <w:shd w:val="clear" w:color="auto" w:fill="auto"/>
            <w:vAlign w:val="center"/>
          </w:tcPr>
          <w:p>
            <w:pPr>
              <w:jc w:val="right"/>
              <w:rPr>
                <w:b/>
                <w:sz w:val="18"/>
                <w:szCs w:val="18"/>
              </w:rPr>
            </w:pPr>
            <w:r>
              <w:rPr>
                <w:rFonts w:hint="eastAsia" w:ascii="宋体" w:hAnsi="宋体"/>
                <w:b/>
                <w:color w:val="000000"/>
                <w:sz w:val="18"/>
                <w:szCs w:val="18"/>
              </w:rPr>
              <w:t>3,552.71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224</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01</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应急管理事务</w:t>
            </w:r>
          </w:p>
        </w:tc>
        <w:tc>
          <w:tcPr>
            <w:tcW w:w="340" w:type="dxa"/>
            <w:shd w:val="clear" w:color="auto" w:fill="auto"/>
            <w:vAlign w:val="center"/>
          </w:tcPr>
          <w:p>
            <w:pPr>
              <w:jc w:val="right"/>
              <w:rPr>
                <w:b/>
                <w:sz w:val="18"/>
                <w:szCs w:val="18"/>
              </w:rPr>
            </w:pPr>
            <w:r>
              <w:rPr>
                <w:rFonts w:hint="eastAsia" w:ascii="宋体" w:hAnsi="宋体"/>
                <w:b/>
                <w:color w:val="000000"/>
                <w:sz w:val="18"/>
                <w:szCs w:val="18"/>
              </w:rPr>
              <w:t>3,868.56</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781.20</w:t>
            </w:r>
          </w:p>
        </w:tc>
        <w:tc>
          <w:tcPr>
            <w:tcW w:w="340" w:type="dxa"/>
            <w:shd w:val="clear" w:color="auto" w:fill="auto"/>
            <w:vAlign w:val="center"/>
          </w:tcPr>
          <w:p>
            <w:pPr>
              <w:jc w:val="right"/>
              <w:rPr>
                <w:b/>
                <w:sz w:val="18"/>
                <w:szCs w:val="18"/>
              </w:rPr>
            </w:pPr>
            <w:r>
              <w:rPr>
                <w:rFonts w:hint="eastAsia" w:ascii="宋体" w:hAnsi="宋体"/>
                <w:b/>
                <w:color w:val="000000"/>
                <w:sz w:val="18"/>
                <w:szCs w:val="18"/>
              </w:rPr>
              <w:t>3,087.36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224</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行政运行</w:t>
            </w:r>
          </w:p>
        </w:tc>
        <w:tc>
          <w:tcPr>
            <w:tcW w:w="340" w:type="dxa"/>
            <w:shd w:val="clear" w:color="auto" w:fill="auto"/>
            <w:vAlign w:val="center"/>
          </w:tcPr>
          <w:p>
            <w:pPr>
              <w:jc w:val="right"/>
              <w:rPr>
                <w:sz w:val="18"/>
                <w:szCs w:val="18"/>
              </w:rPr>
            </w:pPr>
            <w:r>
              <w:rPr>
                <w:rFonts w:hint="eastAsia" w:ascii="宋体" w:hAnsi="宋体"/>
                <w:color w:val="000000"/>
                <w:sz w:val="18"/>
                <w:szCs w:val="18"/>
              </w:rPr>
              <w:t>347.77</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347.77</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224</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一般行政管理事务</w:t>
            </w:r>
          </w:p>
        </w:tc>
        <w:tc>
          <w:tcPr>
            <w:tcW w:w="340" w:type="dxa"/>
            <w:shd w:val="clear" w:color="auto" w:fill="auto"/>
            <w:vAlign w:val="center"/>
          </w:tcPr>
          <w:p>
            <w:pPr>
              <w:jc w:val="right"/>
              <w:rPr>
                <w:sz w:val="18"/>
                <w:szCs w:val="18"/>
              </w:rPr>
            </w:pPr>
            <w:r>
              <w:rPr>
                <w:rFonts w:hint="eastAsia" w:ascii="宋体" w:hAnsi="宋体"/>
                <w:color w:val="000000"/>
                <w:sz w:val="18"/>
                <w:szCs w:val="18"/>
              </w:rPr>
              <w:t>30.96</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30.96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224</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04</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灾害风险防治</w:t>
            </w:r>
          </w:p>
        </w:tc>
        <w:tc>
          <w:tcPr>
            <w:tcW w:w="340" w:type="dxa"/>
            <w:shd w:val="clear" w:color="auto" w:fill="auto"/>
            <w:vAlign w:val="center"/>
          </w:tcPr>
          <w:p>
            <w:pPr>
              <w:jc w:val="right"/>
              <w:rPr>
                <w:sz w:val="18"/>
                <w:szCs w:val="18"/>
              </w:rPr>
            </w:pPr>
            <w:r>
              <w:rPr>
                <w:rFonts w:hint="eastAsia" w:ascii="宋体" w:hAnsi="宋体"/>
                <w:color w:val="000000"/>
                <w:sz w:val="18"/>
                <w:szCs w:val="18"/>
              </w:rPr>
              <w:t>2,038.40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2,038.40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224</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安全监管</w:t>
            </w:r>
          </w:p>
        </w:tc>
        <w:tc>
          <w:tcPr>
            <w:tcW w:w="340" w:type="dxa"/>
            <w:shd w:val="clear" w:color="auto" w:fill="auto"/>
            <w:vAlign w:val="center"/>
          </w:tcPr>
          <w:p>
            <w:pPr>
              <w:jc w:val="right"/>
              <w:rPr>
                <w:sz w:val="18"/>
                <w:szCs w:val="18"/>
              </w:rPr>
            </w:pPr>
            <w:r>
              <w:rPr>
                <w:rFonts w:hint="eastAsia" w:ascii="宋体" w:hAnsi="宋体"/>
                <w:color w:val="000000"/>
                <w:sz w:val="18"/>
                <w:szCs w:val="18"/>
              </w:rPr>
              <w:t>1,000.00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224</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应急管理</w:t>
            </w:r>
          </w:p>
        </w:tc>
        <w:tc>
          <w:tcPr>
            <w:tcW w:w="340" w:type="dxa"/>
            <w:shd w:val="clear" w:color="auto" w:fill="auto"/>
            <w:vAlign w:val="center"/>
          </w:tcPr>
          <w:p>
            <w:pPr>
              <w:jc w:val="right"/>
              <w:rPr>
                <w:sz w:val="18"/>
                <w:szCs w:val="18"/>
              </w:rPr>
            </w:pPr>
            <w:r>
              <w:rPr>
                <w:rFonts w:hint="eastAsia" w:ascii="宋体" w:hAnsi="宋体"/>
                <w:color w:val="000000"/>
                <w:sz w:val="18"/>
                <w:szCs w:val="18"/>
              </w:rPr>
              <w:t>18.00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18.00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224</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50</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事业运行</w:t>
            </w:r>
          </w:p>
        </w:tc>
        <w:tc>
          <w:tcPr>
            <w:tcW w:w="340" w:type="dxa"/>
            <w:shd w:val="clear" w:color="auto" w:fill="auto"/>
            <w:vAlign w:val="center"/>
          </w:tcPr>
          <w:p>
            <w:pPr>
              <w:jc w:val="right"/>
              <w:rPr>
                <w:sz w:val="18"/>
                <w:szCs w:val="18"/>
              </w:rPr>
            </w:pPr>
            <w:r>
              <w:rPr>
                <w:rFonts w:hint="eastAsia" w:ascii="宋体" w:hAnsi="宋体"/>
                <w:color w:val="000000"/>
                <w:sz w:val="18"/>
                <w:szCs w:val="18"/>
              </w:rPr>
              <w:t>433.43</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433.43</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224</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消防救援事务</w:t>
            </w:r>
          </w:p>
        </w:tc>
        <w:tc>
          <w:tcPr>
            <w:tcW w:w="340" w:type="dxa"/>
            <w:shd w:val="clear" w:color="auto" w:fill="auto"/>
            <w:vAlign w:val="center"/>
          </w:tcPr>
          <w:p>
            <w:pPr>
              <w:jc w:val="right"/>
              <w:rPr>
                <w:b/>
                <w:sz w:val="18"/>
                <w:szCs w:val="18"/>
              </w:rPr>
            </w:pPr>
            <w:r>
              <w:rPr>
                <w:rFonts w:hint="eastAsia" w:ascii="宋体" w:hAnsi="宋体"/>
                <w:b/>
                <w:color w:val="000000"/>
                <w:sz w:val="18"/>
                <w:szCs w:val="18"/>
              </w:rPr>
              <w:t>391.03</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391.03</w:t>
            </w:r>
          </w:p>
        </w:tc>
        <w:tc>
          <w:tcPr>
            <w:tcW w:w="34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224</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行政运行</w:t>
            </w:r>
          </w:p>
        </w:tc>
        <w:tc>
          <w:tcPr>
            <w:tcW w:w="340" w:type="dxa"/>
            <w:shd w:val="clear" w:color="auto" w:fill="auto"/>
            <w:vAlign w:val="center"/>
          </w:tcPr>
          <w:p>
            <w:pPr>
              <w:jc w:val="right"/>
              <w:rPr>
                <w:sz w:val="18"/>
                <w:szCs w:val="18"/>
              </w:rPr>
            </w:pPr>
            <w:r>
              <w:rPr>
                <w:rFonts w:hint="eastAsia" w:ascii="宋体" w:hAnsi="宋体"/>
                <w:color w:val="000000"/>
                <w:sz w:val="18"/>
                <w:szCs w:val="18"/>
              </w:rPr>
              <w:t>391.03</w:t>
            </w:r>
          </w:p>
        </w:tc>
        <w:tc>
          <w:tcPr>
            <w:tcW w:w="340" w:type="dxa"/>
            <w:gridSpan w:val="2"/>
            <w:shd w:val="clear" w:color="auto" w:fill="auto"/>
            <w:vAlign w:val="center"/>
          </w:tcPr>
          <w:p>
            <w:pPr>
              <w:jc w:val="right"/>
              <w:rPr>
                <w:sz w:val="18"/>
                <w:szCs w:val="18"/>
              </w:rPr>
            </w:pPr>
            <w:r>
              <w:rPr>
                <w:rFonts w:hint="eastAsia" w:ascii="宋体" w:hAnsi="宋体"/>
                <w:color w:val="000000"/>
                <w:sz w:val="18"/>
                <w:szCs w:val="18"/>
              </w:rPr>
              <w:t>391.03</w:t>
            </w:r>
          </w:p>
        </w:tc>
        <w:tc>
          <w:tcPr>
            <w:tcW w:w="34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224</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地震事务</w:t>
            </w:r>
          </w:p>
        </w:tc>
        <w:tc>
          <w:tcPr>
            <w:tcW w:w="340" w:type="dxa"/>
            <w:shd w:val="clear" w:color="auto" w:fill="auto"/>
            <w:vAlign w:val="center"/>
          </w:tcPr>
          <w:p>
            <w:pPr>
              <w:jc w:val="right"/>
              <w:rPr>
                <w:b/>
                <w:sz w:val="18"/>
                <w:szCs w:val="18"/>
              </w:rPr>
            </w:pPr>
            <w:r>
              <w:rPr>
                <w:rFonts w:hint="eastAsia" w:ascii="宋体" w:hAnsi="宋体"/>
                <w:b/>
                <w:color w:val="000000"/>
                <w:sz w:val="18"/>
                <w:szCs w:val="18"/>
              </w:rPr>
              <w:t>2.35</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224</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50</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地震事业机构</w:t>
            </w:r>
          </w:p>
        </w:tc>
        <w:tc>
          <w:tcPr>
            <w:tcW w:w="340" w:type="dxa"/>
            <w:shd w:val="clear" w:color="auto" w:fill="auto"/>
            <w:vAlign w:val="center"/>
          </w:tcPr>
          <w:p>
            <w:pPr>
              <w:jc w:val="right"/>
              <w:rPr>
                <w:sz w:val="18"/>
                <w:szCs w:val="18"/>
              </w:rPr>
            </w:pPr>
            <w:r>
              <w:rPr>
                <w:rFonts w:hint="eastAsia" w:ascii="宋体" w:hAnsi="宋体"/>
                <w:color w:val="000000"/>
                <w:sz w:val="18"/>
                <w:szCs w:val="18"/>
              </w:rPr>
              <w:t>2.35</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224</w:t>
            </w: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98</w:t>
            </w: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超长期特别国债安排的支出</w:t>
            </w:r>
          </w:p>
        </w:tc>
        <w:tc>
          <w:tcPr>
            <w:tcW w:w="340" w:type="dxa"/>
            <w:shd w:val="clear" w:color="auto" w:fill="auto"/>
            <w:vAlign w:val="center"/>
          </w:tcPr>
          <w:p>
            <w:pPr>
              <w:jc w:val="right"/>
              <w:rPr>
                <w:b/>
                <w:sz w:val="18"/>
                <w:szCs w:val="18"/>
              </w:rPr>
            </w:pPr>
            <w:r>
              <w:rPr>
                <w:rFonts w:hint="eastAsia" w:ascii="宋体" w:hAnsi="宋体"/>
                <w:b/>
                <w:color w:val="000000"/>
                <w:sz w:val="18"/>
                <w:szCs w:val="18"/>
              </w:rPr>
              <w:t>463.00</w:t>
            </w:r>
          </w:p>
        </w:tc>
        <w:tc>
          <w:tcPr>
            <w:tcW w:w="340" w:type="dxa"/>
            <w:gridSpan w:val="2"/>
            <w:shd w:val="clear" w:color="auto" w:fill="auto"/>
            <w:vAlign w:val="center"/>
          </w:tcPr>
          <w:p>
            <w:pPr>
              <w:jc w:val="right"/>
              <w:rPr>
                <w:b/>
                <w:sz w:val="18"/>
                <w:szCs w:val="18"/>
              </w:rPr>
            </w:pPr>
          </w:p>
        </w:tc>
        <w:tc>
          <w:tcPr>
            <w:tcW w:w="340" w:type="dxa"/>
            <w:shd w:val="clear" w:color="auto" w:fill="auto"/>
            <w:vAlign w:val="center"/>
          </w:tcPr>
          <w:p>
            <w:pPr>
              <w:jc w:val="right"/>
              <w:rPr>
                <w:b/>
                <w:sz w:val="18"/>
                <w:szCs w:val="18"/>
              </w:rPr>
            </w:pPr>
            <w:r>
              <w:rPr>
                <w:rFonts w:hint="eastAsia" w:ascii="宋体" w:hAnsi="宋体"/>
                <w:b/>
                <w:color w:val="000000"/>
                <w:sz w:val="18"/>
                <w:szCs w:val="18"/>
              </w:rPr>
              <w:t>463.00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224</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98</w:t>
            </w:r>
          </w:p>
        </w:tc>
        <w:tc>
          <w:tcPr>
            <w:tcW w:w="340"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340"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其他灾害防治及应急管理支出</w:t>
            </w:r>
          </w:p>
        </w:tc>
        <w:tc>
          <w:tcPr>
            <w:tcW w:w="340" w:type="dxa"/>
            <w:shd w:val="clear" w:color="auto" w:fill="auto"/>
            <w:vAlign w:val="center"/>
          </w:tcPr>
          <w:p>
            <w:pPr>
              <w:jc w:val="right"/>
              <w:rPr>
                <w:sz w:val="18"/>
                <w:szCs w:val="18"/>
              </w:rPr>
            </w:pPr>
            <w:r>
              <w:rPr>
                <w:rFonts w:hint="eastAsia" w:ascii="宋体" w:hAnsi="宋体"/>
                <w:color w:val="000000"/>
                <w:sz w:val="18"/>
                <w:szCs w:val="18"/>
              </w:rPr>
              <w:t>463.00</w:t>
            </w:r>
          </w:p>
        </w:tc>
        <w:tc>
          <w:tcPr>
            <w:tcW w:w="340" w:type="dxa"/>
            <w:gridSpan w:val="2"/>
            <w:shd w:val="clear" w:color="auto" w:fill="auto"/>
            <w:vAlign w:val="center"/>
          </w:tcPr>
          <w:p>
            <w:pPr>
              <w:jc w:val="right"/>
              <w:rPr>
                <w:sz w:val="18"/>
                <w:szCs w:val="18"/>
              </w:rPr>
            </w:pPr>
          </w:p>
        </w:tc>
        <w:tc>
          <w:tcPr>
            <w:tcW w:w="340" w:type="dxa"/>
            <w:shd w:val="clear" w:color="auto" w:fill="auto"/>
            <w:vAlign w:val="center"/>
          </w:tcPr>
          <w:p>
            <w:pPr>
              <w:jc w:val="right"/>
              <w:rPr>
                <w:sz w:val="18"/>
                <w:szCs w:val="18"/>
              </w:rPr>
            </w:pPr>
            <w:r>
              <w:rPr>
                <w:rFonts w:hint="eastAsia" w:ascii="宋体" w:hAnsi="宋体"/>
                <w:color w:val="000000"/>
                <w:sz w:val="18"/>
                <w:szCs w:val="18"/>
              </w:rPr>
              <w:t>463.00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p>
        </w:tc>
        <w:tc>
          <w:tcPr>
            <w:tcW w:w="340"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340" w:type="dxa"/>
            <w:shd w:val="clear" w:color="auto" w:fill="auto"/>
            <w:vAlign w:val="center"/>
          </w:tcPr>
          <w:p>
            <w:pPr>
              <w:jc w:val="right"/>
              <w:rPr>
                <w:b/>
                <w:sz w:val="18"/>
                <w:szCs w:val="18"/>
              </w:rPr>
            </w:pPr>
            <w:r>
              <w:rPr>
                <w:rFonts w:hint="eastAsia" w:ascii="宋体" w:hAnsi="宋体"/>
                <w:b/>
                <w:color w:val="000000"/>
                <w:sz w:val="18"/>
                <w:szCs w:val="18"/>
              </w:rPr>
              <w:t>5,984.69</w:t>
            </w:r>
          </w:p>
        </w:tc>
        <w:tc>
          <w:tcPr>
            <w:tcW w:w="340" w:type="dxa"/>
            <w:gridSpan w:val="2"/>
            <w:shd w:val="clear" w:color="auto" w:fill="auto"/>
            <w:vAlign w:val="center"/>
          </w:tcPr>
          <w:p>
            <w:pPr>
              <w:jc w:val="right"/>
              <w:rPr>
                <w:b/>
                <w:sz w:val="18"/>
                <w:szCs w:val="18"/>
              </w:rPr>
            </w:pPr>
            <w:r>
              <w:rPr>
                <w:rFonts w:hint="eastAsia" w:ascii="宋体" w:hAnsi="宋体"/>
                <w:b/>
                <w:color w:val="000000"/>
                <w:sz w:val="18"/>
                <w:szCs w:val="18"/>
              </w:rPr>
              <w:t>1,578.00</w:t>
            </w:r>
          </w:p>
        </w:tc>
        <w:tc>
          <w:tcPr>
            <w:tcW w:w="340" w:type="dxa"/>
            <w:shd w:val="clear" w:color="auto" w:fill="auto"/>
            <w:vAlign w:val="center"/>
          </w:tcPr>
          <w:p>
            <w:pPr>
              <w:jc w:val="right"/>
              <w:rPr>
                <w:b/>
                <w:sz w:val="18"/>
                <w:szCs w:val="18"/>
              </w:rPr>
            </w:pPr>
            <w:r>
              <w:rPr>
                <w:rFonts w:hint="eastAsia" w:ascii="宋体" w:hAnsi="宋体"/>
                <w:b/>
                <w:color w:val="000000"/>
                <w:sz w:val="18"/>
                <w:szCs w:val="18"/>
              </w:rPr>
              <w:t>4,406.69</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8"/>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编制部门：呼图壁县应急管理局</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4,468.29</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4,468.29</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142.86</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142.86</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74.05</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74.05</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73.85</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73.85</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4,177.53</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4,177.53</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4,468.29</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4,468.29</w:t>
            </w:r>
          </w:p>
        </w:tc>
        <w:tc>
          <w:tcPr>
            <w:tcW w:w="1063" w:type="dxa"/>
            <w:gridSpan w:val="2"/>
            <w:shd w:val="clear" w:color="auto" w:fill="auto"/>
          </w:tcPr>
          <w:p>
            <w:pPr>
              <w:jc w:val="right"/>
              <w:rPr>
                <w:sz w:val="18"/>
                <w:szCs w:val="18"/>
              </w:rPr>
            </w:pPr>
            <w:r>
              <w:rPr>
                <w:rFonts w:hint="eastAsia" w:ascii="宋体" w:hAnsi="宋体"/>
                <w:b/>
                <w:color w:val="000000"/>
                <w:sz w:val="18"/>
                <w:szCs w:val="18"/>
              </w:rPr>
              <w:t>4,468.29</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编制部门：呼图壁县应急管理局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026"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142.86</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142.86</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142.86</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142.86</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8.32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8.32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3.87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3.87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87.11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87.11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机关事业单位职业年金缴费支出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43.56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43.56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74.05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74.05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74.05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74.05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18.25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18.25</w:t>
            </w:r>
          </w:p>
        </w:tc>
        <w:tc>
          <w:tcPr>
            <w:tcW w:w="1427" w:type="dxa"/>
            <w:shd w:val="clear" w:color="auto" w:fill="auto"/>
            <w:vAlign w:val="center"/>
          </w:tcPr>
          <w:p>
            <w:pPr>
              <w:jc w:val="right"/>
              <w:rPr>
                <w:sz w:val="18"/>
                <w:szCs w:val="18"/>
              </w:rPr>
            </w:pPr>
          </w:p>
        </w:tc>
      </w:tr>
      <w:tr>
        <w:tblPrEx>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33.47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33.47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21.78</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21.78</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其他行政事业单位医疗支出</w:t>
            </w:r>
          </w:p>
        </w:tc>
        <w:tc>
          <w:tcPr>
            <w:tcW w:w="1367" w:type="dxa"/>
            <w:shd w:val="clear" w:color="auto" w:fill="auto"/>
            <w:vAlign w:val="center"/>
          </w:tcPr>
          <w:p>
            <w:pPr>
              <w:jc w:val="right"/>
              <w:rPr>
                <w:sz w:val="18"/>
                <w:szCs w:val="18"/>
              </w:rPr>
            </w:pPr>
            <w:r>
              <w:rPr>
                <w:rFonts w:hint="eastAsia" w:ascii="宋体" w:hAnsi="宋体"/>
                <w:color w:val="000000"/>
                <w:sz w:val="18"/>
                <w:szCs w:val="18"/>
              </w:rPr>
              <w:t>0.54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0.54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73.85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73.85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73.85</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73.85</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73.85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73.85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224</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灾害防治及应急管理支出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4,177.53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1,117.74</w:t>
            </w:r>
          </w:p>
        </w:tc>
        <w:tc>
          <w:tcPr>
            <w:tcW w:w="1427" w:type="dxa"/>
            <w:shd w:val="clear" w:color="auto" w:fill="auto"/>
            <w:vAlign w:val="center"/>
          </w:tcPr>
          <w:p>
            <w:pPr>
              <w:jc w:val="right"/>
              <w:rPr>
                <w:b/>
                <w:sz w:val="18"/>
                <w:szCs w:val="18"/>
              </w:rPr>
            </w:pPr>
            <w:r>
              <w:rPr>
                <w:rFonts w:hint="eastAsia" w:ascii="宋体" w:hAnsi="宋体"/>
                <w:b/>
                <w:color w:val="000000"/>
                <w:sz w:val="18"/>
                <w:szCs w:val="18"/>
              </w:rPr>
              <w:t>3,059.79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224</w:t>
            </w:r>
          </w:p>
        </w:tc>
        <w:tc>
          <w:tcPr>
            <w:tcW w:w="567" w:type="dxa"/>
            <w:shd w:val="clear" w:color="auto" w:fill="auto"/>
            <w:vAlign w:val="center"/>
          </w:tcPr>
          <w:p>
            <w:pPr>
              <w:jc w:val="center"/>
              <w:rPr>
                <w:b/>
                <w:sz w:val="18"/>
                <w:szCs w:val="18"/>
              </w:rPr>
            </w:pPr>
            <w:r>
              <w:rPr>
                <w:rFonts w:hint="eastAsia" w:ascii="宋体" w:hAnsi="宋体"/>
                <w:b/>
                <w:color w:val="000000"/>
                <w:sz w:val="18"/>
                <w:szCs w:val="18"/>
              </w:rPr>
              <w:t>01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应急管理事务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3,784.14</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726.70</w:t>
            </w:r>
          </w:p>
        </w:tc>
        <w:tc>
          <w:tcPr>
            <w:tcW w:w="1427" w:type="dxa"/>
            <w:shd w:val="clear" w:color="auto" w:fill="auto"/>
            <w:vAlign w:val="center"/>
          </w:tcPr>
          <w:p>
            <w:pPr>
              <w:jc w:val="right"/>
              <w:rPr>
                <w:b/>
                <w:sz w:val="18"/>
                <w:szCs w:val="18"/>
              </w:rPr>
            </w:pPr>
            <w:r>
              <w:rPr>
                <w:rFonts w:hint="eastAsia" w:ascii="宋体" w:hAnsi="宋体"/>
                <w:b/>
                <w:color w:val="000000"/>
                <w:sz w:val="18"/>
                <w:szCs w:val="18"/>
              </w:rPr>
              <w:t>3,057.44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224</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323.27</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323.27</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224</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一般行政管理事务</w:t>
            </w:r>
          </w:p>
        </w:tc>
        <w:tc>
          <w:tcPr>
            <w:tcW w:w="1367" w:type="dxa"/>
            <w:shd w:val="clear" w:color="auto" w:fill="auto"/>
            <w:vAlign w:val="center"/>
          </w:tcPr>
          <w:p>
            <w:pPr>
              <w:jc w:val="right"/>
              <w:rPr>
                <w:sz w:val="18"/>
                <w:szCs w:val="18"/>
              </w:rPr>
            </w:pPr>
            <w:r>
              <w:rPr>
                <w:rFonts w:hint="eastAsia" w:ascii="宋体" w:hAnsi="宋体"/>
                <w:color w:val="000000"/>
                <w:sz w:val="18"/>
                <w:szCs w:val="18"/>
              </w:rPr>
              <w:t>19.04</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19.04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224</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04</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灾害风险防治</w:t>
            </w:r>
          </w:p>
        </w:tc>
        <w:tc>
          <w:tcPr>
            <w:tcW w:w="1367" w:type="dxa"/>
            <w:shd w:val="clear" w:color="auto" w:fill="auto"/>
            <w:vAlign w:val="center"/>
          </w:tcPr>
          <w:p>
            <w:pPr>
              <w:jc w:val="right"/>
              <w:rPr>
                <w:sz w:val="18"/>
                <w:szCs w:val="18"/>
              </w:rPr>
            </w:pPr>
            <w:r>
              <w:rPr>
                <w:rFonts w:hint="eastAsia" w:ascii="宋体" w:hAnsi="宋体"/>
                <w:color w:val="000000"/>
                <w:sz w:val="18"/>
                <w:szCs w:val="18"/>
              </w:rPr>
              <w:t>2,038.40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2,038.40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224</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安全监管</w:t>
            </w:r>
          </w:p>
        </w:tc>
        <w:tc>
          <w:tcPr>
            <w:tcW w:w="1367" w:type="dxa"/>
            <w:shd w:val="clear" w:color="auto" w:fill="auto"/>
            <w:vAlign w:val="center"/>
          </w:tcPr>
          <w:p>
            <w:pPr>
              <w:jc w:val="right"/>
              <w:rPr>
                <w:sz w:val="18"/>
                <w:szCs w:val="18"/>
              </w:rPr>
            </w:pPr>
            <w:r>
              <w:rPr>
                <w:rFonts w:hint="eastAsia" w:ascii="宋体" w:hAnsi="宋体"/>
                <w:color w:val="000000"/>
                <w:sz w:val="18"/>
                <w:szCs w:val="18"/>
              </w:rPr>
              <w:t>1,000.00</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224</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567" w:type="dxa"/>
            <w:shd w:val="clear" w:color="auto" w:fill="auto"/>
            <w:vAlign w:val="center"/>
          </w:tcPr>
          <w:p>
            <w:pPr>
              <w:jc w:val="center"/>
              <w:rPr>
                <w:sz w:val="18"/>
                <w:szCs w:val="18"/>
              </w:rPr>
            </w:pPr>
            <w:r>
              <w:rPr>
                <w:rFonts w:hint="eastAsia" w:ascii="宋体" w:hAnsi="宋体"/>
                <w:color w:val="000000"/>
                <w:sz w:val="18"/>
                <w:szCs w:val="18"/>
              </w:rPr>
              <w:t>50</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事业运行</w:t>
            </w:r>
          </w:p>
        </w:tc>
        <w:tc>
          <w:tcPr>
            <w:tcW w:w="1367" w:type="dxa"/>
            <w:shd w:val="clear" w:color="auto" w:fill="auto"/>
            <w:vAlign w:val="center"/>
          </w:tcPr>
          <w:p>
            <w:pPr>
              <w:jc w:val="right"/>
              <w:rPr>
                <w:sz w:val="18"/>
                <w:szCs w:val="18"/>
              </w:rPr>
            </w:pPr>
            <w:r>
              <w:rPr>
                <w:rFonts w:hint="eastAsia" w:ascii="宋体" w:hAnsi="宋体"/>
                <w:color w:val="000000"/>
                <w:sz w:val="18"/>
                <w:szCs w:val="18"/>
              </w:rPr>
              <w:t>403.43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403.43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224</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消防救援事务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391.03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391.03</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224</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391.03</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391.03</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224</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地震事务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2.35</w:t>
            </w:r>
          </w:p>
        </w:tc>
        <w:tc>
          <w:tcPr>
            <w:tcW w:w="1366" w:type="dxa"/>
            <w:gridSpan w:val="2"/>
            <w:shd w:val="clear" w:color="auto" w:fill="auto"/>
            <w:vAlign w:val="center"/>
          </w:tcPr>
          <w:p>
            <w:pPr>
              <w:jc w:val="right"/>
              <w:rPr>
                <w:b/>
                <w:sz w:val="18"/>
                <w:szCs w:val="18"/>
              </w:rPr>
            </w:pPr>
          </w:p>
        </w:tc>
        <w:tc>
          <w:tcPr>
            <w:tcW w:w="1427" w:type="dxa"/>
            <w:shd w:val="clear" w:color="auto" w:fill="auto"/>
            <w:vAlign w:val="center"/>
          </w:tcPr>
          <w:p>
            <w:pPr>
              <w:jc w:val="right"/>
              <w:rPr>
                <w:b/>
                <w:sz w:val="18"/>
                <w:szCs w:val="18"/>
              </w:rPr>
            </w:pPr>
            <w:r>
              <w:rPr>
                <w:rFonts w:hint="eastAsia" w:ascii="宋体" w:hAnsi="宋体"/>
                <w:b/>
                <w:color w:val="000000"/>
                <w:sz w:val="18"/>
                <w:szCs w:val="18"/>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224</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50</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地震事业机构</w:t>
            </w:r>
          </w:p>
        </w:tc>
        <w:tc>
          <w:tcPr>
            <w:tcW w:w="1367" w:type="dxa"/>
            <w:shd w:val="clear" w:color="auto" w:fill="auto"/>
            <w:vAlign w:val="center"/>
          </w:tcPr>
          <w:p>
            <w:pPr>
              <w:jc w:val="right"/>
              <w:rPr>
                <w:sz w:val="18"/>
                <w:szCs w:val="18"/>
              </w:rPr>
            </w:pPr>
            <w:r>
              <w:rPr>
                <w:rFonts w:hint="eastAsia" w:ascii="宋体" w:hAnsi="宋体"/>
                <w:color w:val="000000"/>
                <w:sz w:val="18"/>
                <w:szCs w:val="18"/>
              </w:rPr>
              <w:t>2.35</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2.35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4,468.29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1,408.50</w:t>
            </w:r>
          </w:p>
        </w:tc>
        <w:tc>
          <w:tcPr>
            <w:tcW w:w="1427" w:type="dxa"/>
            <w:shd w:val="clear" w:color="auto" w:fill="auto"/>
            <w:vAlign w:val="center"/>
          </w:tcPr>
          <w:p>
            <w:pPr>
              <w:jc w:val="right"/>
              <w:rPr>
                <w:b/>
                <w:sz w:val="18"/>
                <w:szCs w:val="18"/>
              </w:rPr>
            </w:pPr>
            <w:r>
              <w:rPr>
                <w:rFonts w:hint="eastAsia" w:ascii="宋体" w:hAnsi="宋体"/>
                <w:b/>
                <w:color w:val="000000"/>
                <w:sz w:val="18"/>
                <w:szCs w:val="18"/>
              </w:rPr>
              <w:t>3,059.79</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编制部门：呼图壁县应急管理局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科目代码</w:t>
            </w:r>
          </w:p>
        </w:tc>
        <w:tc>
          <w:tcPr>
            <w:tcW w:w="4593"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975.84</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975.84</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218.11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218.11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129.34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129.34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181.01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181.01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86.99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86.99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87.11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87.11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职业年金缴费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43.56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43.56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51.72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51.72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21.78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21.78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4.48</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4.48</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73.85</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73.85</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99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其他工资福利支出</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77.89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77.89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381.49</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381.49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5.38</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邮电费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2.48</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取暖费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10.60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10.60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差旅费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劳务费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340.90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340.90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10.53</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3.60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其他交通费用</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6.00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51.17</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51.17</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12.19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12.19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生活补助</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37.67</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37.67</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奖励金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1.31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1.31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1,408.50</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1,027.01</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381.49</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8"/>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1748"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编制部门：呼图壁县应急管理局</w:t>
            </w:r>
          </w:p>
        </w:tc>
        <w:tc>
          <w:tcPr>
            <w:tcW w:w="1700"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60" w:type="dxa"/>
            <w:gridSpan w:val="3"/>
            <w:shd w:val="clear" w:color="auto" w:fill="auto"/>
            <w:vAlign w:val="center"/>
          </w:tcPr>
          <w:p>
            <w:pPr>
              <w:jc w:val="center"/>
              <w:rPr>
                <w:sz w:val="18"/>
                <w:szCs w:val="18"/>
              </w:rPr>
            </w:pPr>
            <w:r>
              <w:rPr>
                <w:rFonts w:hint="eastAsia"/>
                <w:sz w:val="18"/>
                <w:szCs w:val="18"/>
              </w:rPr>
              <w:t>科目代码</w:t>
            </w:r>
          </w:p>
        </w:tc>
        <w:tc>
          <w:tcPr>
            <w:tcW w:w="2000" w:type="dxa"/>
            <w:vMerge w:val="restart"/>
            <w:shd w:val="clear" w:color="auto" w:fill="auto"/>
            <w:vAlign w:val="center"/>
          </w:tcPr>
          <w:p>
            <w:pPr>
              <w:jc w:val="center"/>
              <w:rPr>
                <w:sz w:val="18"/>
                <w:szCs w:val="18"/>
              </w:rPr>
            </w:pPr>
            <w:r>
              <w:rPr>
                <w:rFonts w:hint="eastAsia"/>
                <w:sz w:val="18"/>
                <w:szCs w:val="18"/>
              </w:rPr>
              <w:t>科目名称</w:t>
            </w:r>
          </w:p>
        </w:tc>
        <w:tc>
          <w:tcPr>
            <w:tcW w:w="2000" w:type="dxa"/>
            <w:vMerge w:val="restart"/>
            <w:shd w:val="clear" w:color="auto" w:fill="auto"/>
            <w:vAlign w:val="center"/>
          </w:tcPr>
          <w:p>
            <w:pPr>
              <w:jc w:val="center"/>
              <w:rPr>
                <w:sz w:val="18"/>
                <w:szCs w:val="18"/>
              </w:rPr>
            </w:pPr>
            <w:r>
              <w:rPr>
                <w:rFonts w:hint="eastAsia"/>
                <w:sz w:val="18"/>
                <w:szCs w:val="18"/>
              </w:rPr>
              <w:t>项目名称</w:t>
            </w:r>
          </w:p>
        </w:tc>
        <w:tc>
          <w:tcPr>
            <w:tcW w:w="850" w:type="dxa"/>
            <w:vMerge w:val="restart"/>
            <w:shd w:val="clear" w:color="auto" w:fill="auto"/>
            <w:vAlign w:val="center"/>
          </w:tcPr>
          <w:p>
            <w:pPr>
              <w:jc w:val="center"/>
              <w:rPr>
                <w:sz w:val="18"/>
                <w:szCs w:val="18"/>
              </w:rPr>
            </w:pPr>
            <w:r>
              <w:rPr>
                <w:rFonts w:hint="eastAsia"/>
                <w:sz w:val="18"/>
                <w:szCs w:val="18"/>
              </w:rPr>
              <w:t>项目支出合计</w:t>
            </w:r>
          </w:p>
        </w:tc>
        <w:tc>
          <w:tcPr>
            <w:tcW w:w="850" w:type="dxa"/>
            <w:vMerge w:val="restart"/>
            <w:shd w:val="clear" w:color="auto" w:fill="auto"/>
            <w:vAlign w:val="center"/>
          </w:tcPr>
          <w:p>
            <w:pPr>
              <w:jc w:val="center"/>
              <w:rPr>
                <w:sz w:val="18"/>
                <w:szCs w:val="18"/>
              </w:rPr>
            </w:pPr>
            <w:r>
              <w:rPr>
                <w:rFonts w:hint="eastAsia"/>
                <w:sz w:val="18"/>
                <w:szCs w:val="18"/>
              </w:rPr>
              <w:t>工资福利支出</w:t>
            </w:r>
          </w:p>
        </w:tc>
        <w:tc>
          <w:tcPr>
            <w:tcW w:w="850" w:type="dxa"/>
            <w:vMerge w:val="restart"/>
            <w:shd w:val="clear" w:color="auto" w:fill="auto"/>
            <w:vAlign w:val="center"/>
          </w:tcPr>
          <w:p>
            <w:pPr>
              <w:jc w:val="center"/>
              <w:rPr>
                <w:sz w:val="18"/>
                <w:szCs w:val="18"/>
              </w:rPr>
            </w:pPr>
            <w:r>
              <w:rPr>
                <w:rFonts w:hint="eastAsia"/>
                <w:sz w:val="18"/>
                <w:szCs w:val="18"/>
              </w:rPr>
              <w:t>商品和服务支出</w:t>
            </w:r>
          </w:p>
        </w:tc>
        <w:tc>
          <w:tcPr>
            <w:tcW w:w="850" w:type="dxa"/>
            <w:vMerge w:val="restart"/>
            <w:shd w:val="clear" w:color="auto" w:fill="auto"/>
            <w:vAlign w:val="center"/>
          </w:tcPr>
          <w:p>
            <w:pPr>
              <w:jc w:val="center"/>
              <w:rPr>
                <w:sz w:val="18"/>
                <w:szCs w:val="18"/>
              </w:rPr>
            </w:pPr>
            <w:r>
              <w:rPr>
                <w:rFonts w:hint="eastAsia"/>
                <w:sz w:val="18"/>
                <w:szCs w:val="18"/>
              </w:rPr>
              <w:t>对个人和家庭的补助</w:t>
            </w:r>
          </w:p>
        </w:tc>
        <w:tc>
          <w:tcPr>
            <w:tcW w:w="850" w:type="dxa"/>
            <w:vMerge w:val="restart"/>
            <w:shd w:val="clear" w:color="auto" w:fill="auto"/>
            <w:vAlign w:val="center"/>
          </w:tcPr>
          <w:p>
            <w:pPr>
              <w:jc w:val="center"/>
              <w:rPr>
                <w:sz w:val="18"/>
                <w:szCs w:val="18"/>
              </w:rPr>
            </w:pPr>
            <w:r>
              <w:rPr>
                <w:rFonts w:hint="eastAsia"/>
                <w:sz w:val="18"/>
                <w:szCs w:val="18"/>
              </w:rPr>
              <w:t>债务利息及费用支出</w:t>
            </w:r>
          </w:p>
        </w:tc>
        <w:tc>
          <w:tcPr>
            <w:tcW w:w="850" w:type="dxa"/>
            <w:vMerge w:val="restart"/>
            <w:shd w:val="clear" w:color="auto" w:fill="auto"/>
            <w:vAlign w:val="center"/>
          </w:tcPr>
          <w:p>
            <w:pPr>
              <w:jc w:val="center"/>
              <w:rPr>
                <w:sz w:val="18"/>
                <w:szCs w:val="18"/>
              </w:rPr>
            </w:pPr>
            <w:r>
              <w:rPr>
                <w:rFonts w:hint="eastAsia"/>
                <w:sz w:val="18"/>
                <w:szCs w:val="18"/>
              </w:rPr>
              <w:t>资本性支出（基本建设）</w:t>
            </w:r>
          </w:p>
        </w:tc>
        <w:tc>
          <w:tcPr>
            <w:tcW w:w="850" w:type="dxa"/>
            <w:vMerge w:val="restart"/>
            <w:shd w:val="clear" w:color="auto" w:fill="auto"/>
            <w:vAlign w:val="center"/>
          </w:tcPr>
          <w:p>
            <w:pPr>
              <w:jc w:val="center"/>
              <w:rPr>
                <w:sz w:val="18"/>
                <w:szCs w:val="18"/>
              </w:rPr>
            </w:pPr>
            <w:r>
              <w:rPr>
                <w:rFonts w:hint="eastAsia"/>
                <w:sz w:val="18"/>
                <w:szCs w:val="18"/>
              </w:rPr>
              <w:t>资本性支出</w:t>
            </w:r>
          </w:p>
        </w:tc>
        <w:tc>
          <w:tcPr>
            <w:tcW w:w="850" w:type="dxa"/>
            <w:vMerge w:val="restart"/>
            <w:shd w:val="clear" w:color="auto" w:fill="auto"/>
            <w:vAlign w:val="center"/>
          </w:tcPr>
          <w:p>
            <w:pPr>
              <w:jc w:val="center"/>
              <w:rPr>
                <w:sz w:val="18"/>
                <w:szCs w:val="18"/>
              </w:rPr>
            </w:pPr>
            <w:r>
              <w:rPr>
                <w:rFonts w:hint="eastAsia"/>
                <w:sz w:val="18"/>
                <w:szCs w:val="18"/>
              </w:rPr>
              <w:t>对企业补助（基本建设）</w:t>
            </w:r>
          </w:p>
        </w:tc>
        <w:tc>
          <w:tcPr>
            <w:tcW w:w="850" w:type="dxa"/>
            <w:vMerge w:val="restart"/>
            <w:shd w:val="clear" w:color="auto" w:fill="auto"/>
            <w:vAlign w:val="center"/>
          </w:tcPr>
          <w:p>
            <w:pPr>
              <w:jc w:val="center"/>
              <w:rPr>
                <w:sz w:val="18"/>
                <w:szCs w:val="18"/>
              </w:rPr>
            </w:pPr>
            <w:r>
              <w:rPr>
                <w:rFonts w:hint="eastAsia"/>
                <w:sz w:val="18"/>
                <w:szCs w:val="18"/>
              </w:rPr>
              <w:t>对企业补助</w:t>
            </w:r>
          </w:p>
        </w:tc>
        <w:tc>
          <w:tcPr>
            <w:tcW w:w="850" w:type="dxa"/>
            <w:vMerge w:val="restart"/>
            <w:shd w:val="clear" w:color="auto" w:fill="auto"/>
            <w:vAlign w:val="center"/>
          </w:tcPr>
          <w:p>
            <w:pPr>
              <w:jc w:val="center"/>
              <w:rPr>
                <w:sz w:val="18"/>
                <w:szCs w:val="18"/>
              </w:rPr>
            </w:pPr>
            <w:r>
              <w:rPr>
                <w:rFonts w:hint="eastAsia"/>
                <w:sz w:val="18"/>
                <w:szCs w:val="18"/>
              </w:rPr>
              <w:t>对社会保障基金补助</w:t>
            </w:r>
          </w:p>
        </w:tc>
        <w:tc>
          <w:tcPr>
            <w:tcW w:w="850"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260" w:type="dxa"/>
            <w:shd w:val="clear" w:color="auto" w:fill="auto"/>
            <w:vAlign w:val="center"/>
          </w:tcPr>
          <w:p>
            <w:pPr>
              <w:jc w:val="center"/>
              <w:rPr>
                <w:sz w:val="18"/>
                <w:szCs w:val="18"/>
              </w:rPr>
            </w:pPr>
            <w:r>
              <w:rPr>
                <w:rFonts w:hint="eastAsia"/>
                <w:sz w:val="18"/>
                <w:szCs w:val="18"/>
              </w:rPr>
              <w:t>项</w:t>
            </w:r>
          </w:p>
        </w:tc>
        <w:tc>
          <w:tcPr>
            <w:tcW w:w="2500" w:type="dxa"/>
            <w:vMerge w:val="continue"/>
            <w:shd w:val="clear" w:color="auto" w:fill="auto"/>
            <w:vAlign w:val="center"/>
          </w:tcPr>
          <w:p>
            <w:pPr>
              <w:jc w:val="center"/>
              <w:rPr>
                <w:sz w:val="18"/>
                <w:szCs w:val="18"/>
              </w:rPr>
            </w:pPr>
          </w:p>
        </w:tc>
        <w:tc>
          <w:tcPr>
            <w:tcW w:w="250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vAlign w:val="center"/>
          </w:tcPr>
          <w:p>
            <w:pPr>
              <w:jc w:val="center"/>
              <w:rPr>
                <w:sz w:val="18"/>
                <w:szCs w:val="18"/>
              </w:rPr>
            </w:pPr>
          </w:p>
        </w:tc>
        <w:tc>
          <w:tcPr>
            <w:tcW w:w="850" w:type="dxa"/>
            <w:vMerge w:val="continue"/>
            <w:shd w:val="clear" w:color="auto" w:fill="auto"/>
          </w:tcPr>
          <w:p>
            <w:pPr>
              <w:jc w:val="center"/>
              <w:rPr>
                <w:sz w:val="18"/>
                <w:szCs w:val="18"/>
              </w:rPr>
            </w:pPr>
          </w:p>
        </w:tc>
        <w:tc>
          <w:tcPr>
            <w:tcW w:w="850"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呼图壁县应急管理局</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3,059.79</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769.04</w:t>
            </w:r>
          </w:p>
        </w:tc>
        <w:tc>
          <w:tcPr>
            <w:tcW w:w="850" w:type="dxa"/>
            <w:shd w:val="clear" w:color="auto" w:fill="auto"/>
            <w:vAlign w:val="center"/>
          </w:tcPr>
          <w:p>
            <w:pPr>
              <w:jc w:val="right"/>
              <w:rPr>
                <w:b/>
                <w:sz w:val="18"/>
                <w:szCs w:val="18"/>
              </w:rPr>
            </w:pPr>
            <w:r>
              <w:rPr>
                <w:rFonts w:hint="default" w:ascii="宋体" w:hAnsi="宋体"/>
                <w:b/>
                <w:kern w:val="0"/>
                <w:sz w:val="13"/>
                <w:szCs w:val="185"/>
              </w:rPr>
              <w:t>2.35</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250.00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2,038.40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224</w:t>
            </w: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灾害防治及应急管理支出</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3,059.79</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769.04</w:t>
            </w:r>
          </w:p>
        </w:tc>
        <w:tc>
          <w:tcPr>
            <w:tcW w:w="850" w:type="dxa"/>
            <w:shd w:val="clear" w:color="auto" w:fill="auto"/>
            <w:vAlign w:val="center"/>
          </w:tcPr>
          <w:p>
            <w:pPr>
              <w:jc w:val="right"/>
              <w:rPr>
                <w:b/>
                <w:sz w:val="18"/>
                <w:szCs w:val="18"/>
              </w:rPr>
            </w:pPr>
            <w:r>
              <w:rPr>
                <w:rFonts w:hint="default" w:ascii="宋体" w:hAnsi="宋体"/>
                <w:b/>
                <w:kern w:val="0"/>
                <w:sz w:val="13"/>
                <w:szCs w:val="185"/>
              </w:rPr>
              <w:t>2.35</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250.00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2,038.40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224</w:t>
            </w:r>
          </w:p>
        </w:tc>
        <w:tc>
          <w:tcPr>
            <w:tcW w:w="260" w:type="dxa"/>
            <w:shd w:val="clear" w:color="auto" w:fill="auto"/>
            <w:vAlign w:val="center"/>
          </w:tcPr>
          <w:p>
            <w:pPr>
              <w:jc w:val="center"/>
              <w:rPr>
                <w:b/>
                <w:sz w:val="18"/>
                <w:szCs w:val="18"/>
              </w:rPr>
            </w:pPr>
            <w:r>
              <w:rPr>
                <w:rFonts w:hint="default" w:ascii="宋体" w:hAnsi="宋体"/>
                <w:b/>
                <w:kern w:val="0"/>
                <w:sz w:val="13"/>
                <w:szCs w:val="13"/>
              </w:rPr>
              <w:t>01</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应急管理事务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3,057.44</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769.04</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250.00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2,038.40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224</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260" w:type="dxa"/>
            <w:shd w:val="clear" w:color="auto" w:fill="auto"/>
            <w:vAlign w:val="center"/>
          </w:tcPr>
          <w:p>
            <w:pPr>
              <w:jc w:val="center"/>
              <w:rPr>
                <w:sz w:val="18"/>
                <w:szCs w:val="18"/>
              </w:rPr>
            </w:pPr>
            <w:r>
              <w:rPr>
                <w:rFonts w:hint="default" w:ascii="宋体" w:hAnsi="宋体"/>
                <w:kern w:val="0"/>
                <w:sz w:val="13"/>
                <w:szCs w:val="13"/>
              </w:rPr>
              <w:t>02</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一般行政管理事务</w:t>
            </w:r>
          </w:p>
        </w:tc>
        <w:tc>
          <w:tcPr>
            <w:tcW w:w="2500" w:type="dxa"/>
            <w:shd w:val="clear" w:color="auto" w:fill="auto"/>
            <w:vAlign w:val="center"/>
          </w:tcPr>
          <w:p>
            <w:pPr>
              <w:jc w:val="left"/>
              <w:rPr>
                <w:sz w:val="18"/>
                <w:szCs w:val="18"/>
              </w:rPr>
            </w:pPr>
            <w:r>
              <w:rPr>
                <w:rFonts w:hint="default" w:ascii="宋体" w:hAnsi="宋体"/>
                <w:kern w:val="0"/>
                <w:sz w:val="13"/>
                <w:szCs w:val="13"/>
              </w:rPr>
              <w:t>2026年支付各类其他刚性支出</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19.04</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19.04</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224</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260" w:type="dxa"/>
            <w:shd w:val="clear" w:color="auto" w:fill="auto"/>
            <w:vAlign w:val="center"/>
          </w:tcPr>
          <w:p>
            <w:pPr>
              <w:jc w:val="center"/>
              <w:rPr>
                <w:sz w:val="18"/>
                <w:szCs w:val="18"/>
              </w:rPr>
            </w:pPr>
            <w:r>
              <w:rPr>
                <w:rFonts w:hint="default" w:ascii="宋体" w:hAnsi="宋体"/>
                <w:kern w:val="0"/>
                <w:sz w:val="13"/>
                <w:szCs w:val="13"/>
              </w:rPr>
              <w:t>04</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灾害风险防治</w:t>
            </w:r>
          </w:p>
        </w:tc>
        <w:tc>
          <w:tcPr>
            <w:tcW w:w="2500" w:type="dxa"/>
            <w:shd w:val="clear" w:color="auto" w:fill="auto"/>
            <w:vAlign w:val="center"/>
          </w:tcPr>
          <w:p>
            <w:pPr>
              <w:jc w:val="left"/>
              <w:rPr>
                <w:sz w:val="18"/>
                <w:szCs w:val="18"/>
              </w:rPr>
            </w:pPr>
            <w:r>
              <w:rPr>
                <w:rFonts w:hint="default" w:ascii="宋体" w:hAnsi="宋体"/>
                <w:kern w:val="0"/>
                <w:sz w:val="13"/>
                <w:szCs w:val="13"/>
              </w:rPr>
              <w:t>提前下达2026年中央安全生产预防和应急救援能力建设补助资金</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2,038.40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2,038.40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224</w:t>
            </w:r>
          </w:p>
        </w:tc>
        <w:tc>
          <w:tcPr>
            <w:tcW w:w="260" w:type="dxa"/>
            <w:shd w:val="clear" w:color="auto" w:fill="auto"/>
            <w:vAlign w:val="center"/>
          </w:tcPr>
          <w:p>
            <w:pPr>
              <w:jc w:val="center"/>
              <w:rPr>
                <w:sz w:val="18"/>
                <w:szCs w:val="18"/>
              </w:rPr>
            </w:pPr>
            <w:r>
              <w:rPr>
                <w:rFonts w:hint="default" w:ascii="宋体" w:hAnsi="宋体"/>
                <w:kern w:val="0"/>
                <w:sz w:val="13"/>
                <w:szCs w:val="13"/>
              </w:rPr>
              <w:t>01</w:t>
            </w:r>
          </w:p>
        </w:tc>
        <w:tc>
          <w:tcPr>
            <w:tcW w:w="260" w:type="dxa"/>
            <w:shd w:val="clear" w:color="auto" w:fill="auto"/>
            <w:vAlign w:val="center"/>
          </w:tcPr>
          <w:p>
            <w:pPr>
              <w:jc w:val="center"/>
              <w:rPr>
                <w:sz w:val="18"/>
                <w:szCs w:val="18"/>
              </w:rPr>
            </w:pPr>
            <w:r>
              <w:rPr>
                <w:rFonts w:hint="default" w:ascii="宋体" w:hAnsi="宋体"/>
                <w:kern w:val="0"/>
                <w:sz w:val="13"/>
                <w:szCs w:val="13"/>
              </w:rPr>
              <w:t>06</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安全监管</w:t>
            </w:r>
          </w:p>
        </w:tc>
        <w:tc>
          <w:tcPr>
            <w:tcW w:w="2500" w:type="dxa"/>
            <w:shd w:val="clear" w:color="auto" w:fill="auto"/>
            <w:vAlign w:val="center"/>
          </w:tcPr>
          <w:p>
            <w:pPr>
              <w:jc w:val="left"/>
              <w:rPr>
                <w:sz w:val="18"/>
                <w:szCs w:val="18"/>
              </w:rPr>
            </w:pPr>
            <w:r>
              <w:rPr>
                <w:rFonts w:hint="default" w:ascii="宋体" w:hAnsi="宋体"/>
                <w:kern w:val="0"/>
                <w:sz w:val="13"/>
                <w:szCs w:val="13"/>
              </w:rPr>
              <w:t>县级安全生产专项资金（非定额）</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1,000.00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750.00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3"/>
              </w:rPr>
              <w:t>250.00</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224</w:t>
            </w:r>
          </w:p>
        </w:tc>
        <w:tc>
          <w:tcPr>
            <w:tcW w:w="260" w:type="dxa"/>
            <w:shd w:val="clear" w:color="auto" w:fill="auto"/>
            <w:vAlign w:val="center"/>
          </w:tcPr>
          <w:p>
            <w:pPr>
              <w:jc w:val="center"/>
              <w:rPr>
                <w:b/>
                <w:sz w:val="18"/>
                <w:szCs w:val="18"/>
              </w:rPr>
            </w:pPr>
            <w:r>
              <w:rPr>
                <w:rFonts w:hint="default" w:ascii="宋体" w:hAnsi="宋体"/>
                <w:b/>
                <w:kern w:val="0"/>
                <w:sz w:val="13"/>
                <w:szCs w:val="13"/>
              </w:rPr>
              <w:t>05</w:t>
            </w: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left"/>
              <w:rPr>
                <w:b/>
                <w:sz w:val="18"/>
                <w:szCs w:val="18"/>
              </w:rPr>
            </w:pPr>
            <w:r>
              <w:rPr>
                <w:rFonts w:hint="default" w:ascii="宋体" w:hAnsi="宋体"/>
                <w:b/>
                <w:kern w:val="0"/>
                <w:sz w:val="13"/>
                <w:szCs w:val="13"/>
              </w:rPr>
              <w:t xml:space="preserve">    地震事务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2.35</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85"/>
              </w:rPr>
              <w:t>2.35</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224</w:t>
            </w:r>
          </w:p>
        </w:tc>
        <w:tc>
          <w:tcPr>
            <w:tcW w:w="260" w:type="dxa"/>
            <w:shd w:val="clear" w:color="auto" w:fill="auto"/>
            <w:vAlign w:val="center"/>
          </w:tcPr>
          <w:p>
            <w:pPr>
              <w:jc w:val="center"/>
              <w:rPr>
                <w:sz w:val="18"/>
                <w:szCs w:val="18"/>
              </w:rPr>
            </w:pPr>
            <w:r>
              <w:rPr>
                <w:rFonts w:hint="default" w:ascii="宋体" w:hAnsi="宋体"/>
                <w:kern w:val="0"/>
                <w:sz w:val="13"/>
                <w:szCs w:val="13"/>
              </w:rPr>
              <w:t>05</w:t>
            </w:r>
          </w:p>
        </w:tc>
        <w:tc>
          <w:tcPr>
            <w:tcW w:w="260" w:type="dxa"/>
            <w:shd w:val="clear" w:color="auto" w:fill="auto"/>
            <w:vAlign w:val="center"/>
          </w:tcPr>
          <w:p>
            <w:pPr>
              <w:jc w:val="center"/>
              <w:rPr>
                <w:sz w:val="18"/>
                <w:szCs w:val="18"/>
              </w:rPr>
            </w:pPr>
            <w:r>
              <w:rPr>
                <w:rFonts w:hint="default" w:ascii="宋体" w:hAnsi="宋体"/>
                <w:kern w:val="0"/>
                <w:sz w:val="13"/>
                <w:szCs w:val="13"/>
              </w:rPr>
              <w:t>50</w:t>
            </w:r>
          </w:p>
        </w:tc>
        <w:tc>
          <w:tcPr>
            <w:tcW w:w="2500" w:type="dxa"/>
            <w:shd w:val="clear" w:color="auto" w:fill="auto"/>
            <w:vAlign w:val="center"/>
          </w:tcPr>
          <w:p>
            <w:pPr>
              <w:jc w:val="left"/>
              <w:rPr>
                <w:sz w:val="18"/>
                <w:szCs w:val="18"/>
              </w:rPr>
            </w:pPr>
            <w:r>
              <w:rPr>
                <w:rFonts w:hint="default" w:ascii="宋体" w:hAnsi="宋体"/>
                <w:kern w:val="0"/>
                <w:sz w:val="13"/>
                <w:szCs w:val="13"/>
              </w:rPr>
              <w:t xml:space="preserve">      地震事业机构</w:t>
            </w:r>
          </w:p>
        </w:tc>
        <w:tc>
          <w:tcPr>
            <w:tcW w:w="2500" w:type="dxa"/>
            <w:shd w:val="clear" w:color="auto" w:fill="auto"/>
            <w:vAlign w:val="center"/>
          </w:tcPr>
          <w:p>
            <w:pPr>
              <w:jc w:val="left"/>
              <w:rPr>
                <w:sz w:val="18"/>
                <w:szCs w:val="18"/>
              </w:rPr>
            </w:pPr>
            <w:r>
              <w:rPr>
                <w:rFonts w:hint="default" w:ascii="宋体" w:hAnsi="宋体"/>
                <w:kern w:val="0"/>
                <w:sz w:val="13"/>
                <w:szCs w:val="13"/>
              </w:rPr>
              <w:t>提前下达2026年自治区防震减灾‘三网一员’工作经费</w:t>
            </w:r>
          </w:p>
        </w:tc>
        <w:tc>
          <w:tcPr>
            <w:tcW w:w="850" w:type="dxa"/>
            <w:shd w:val="clear" w:color="auto" w:fill="auto"/>
            <w:vAlign w:val="center"/>
          </w:tcPr>
          <w:p>
            <w:pPr>
              <w:ind w:right="-29" w:rightChars="-14"/>
              <w:jc w:val="right"/>
              <w:rPr>
                <w:sz w:val="18"/>
                <w:szCs w:val="18"/>
              </w:rPr>
            </w:pPr>
            <w:r>
              <w:rPr>
                <w:rFonts w:hint="default" w:ascii="宋体" w:hAnsi="宋体"/>
                <w:kern w:val="0"/>
                <w:sz w:val="13"/>
                <w:szCs w:val="13"/>
              </w:rPr>
              <w:t>2.35</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r>
              <w:rPr>
                <w:rFonts w:hint="default" w:ascii="宋体" w:hAnsi="宋体"/>
                <w:kern w:val="0"/>
                <w:sz w:val="13"/>
                <w:szCs w:val="185"/>
              </w:rPr>
              <w:t>2.35</w:t>
            </w: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c>
          <w:tcPr>
            <w:tcW w:w="850"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2500" w:type="dxa"/>
            <w:shd w:val="clear" w:color="auto" w:fill="auto"/>
            <w:vAlign w:val="center"/>
          </w:tcPr>
          <w:p>
            <w:pPr>
              <w:jc w:val="center"/>
              <w:rPr>
                <w:b/>
                <w:sz w:val="18"/>
                <w:szCs w:val="18"/>
              </w:rPr>
            </w:pPr>
            <w:r>
              <w:rPr>
                <w:rFonts w:hint="default" w:ascii="宋体" w:hAnsi="宋体"/>
                <w:b/>
                <w:kern w:val="0"/>
                <w:sz w:val="13"/>
                <w:szCs w:val="13"/>
              </w:rPr>
              <w:t>总计</w:t>
            </w:r>
          </w:p>
        </w:tc>
        <w:tc>
          <w:tcPr>
            <w:tcW w:w="2500" w:type="dxa"/>
            <w:shd w:val="clear" w:color="auto" w:fill="auto"/>
            <w:vAlign w:val="center"/>
          </w:tcPr>
          <w:p>
            <w:pPr>
              <w:jc w:val="left"/>
              <w:rPr>
                <w:b/>
                <w:sz w:val="18"/>
                <w:szCs w:val="18"/>
              </w:rPr>
            </w:pPr>
          </w:p>
        </w:tc>
        <w:tc>
          <w:tcPr>
            <w:tcW w:w="850" w:type="dxa"/>
            <w:shd w:val="clear" w:color="auto" w:fill="auto"/>
            <w:vAlign w:val="center"/>
          </w:tcPr>
          <w:p>
            <w:pPr>
              <w:ind w:right="-29" w:rightChars="-14"/>
              <w:jc w:val="right"/>
              <w:rPr>
                <w:b/>
                <w:sz w:val="18"/>
                <w:szCs w:val="18"/>
              </w:rPr>
            </w:pPr>
            <w:r>
              <w:rPr>
                <w:rFonts w:hint="default" w:ascii="宋体" w:hAnsi="宋体"/>
                <w:b/>
                <w:kern w:val="0"/>
                <w:sz w:val="13"/>
                <w:szCs w:val="13"/>
              </w:rPr>
              <w:t>3,059.79</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769.04</w:t>
            </w:r>
          </w:p>
        </w:tc>
        <w:tc>
          <w:tcPr>
            <w:tcW w:w="850" w:type="dxa"/>
            <w:shd w:val="clear" w:color="auto" w:fill="auto"/>
            <w:vAlign w:val="center"/>
          </w:tcPr>
          <w:p>
            <w:pPr>
              <w:jc w:val="right"/>
              <w:rPr>
                <w:b/>
                <w:sz w:val="18"/>
                <w:szCs w:val="18"/>
              </w:rPr>
            </w:pPr>
            <w:r>
              <w:rPr>
                <w:rFonts w:hint="default" w:ascii="宋体" w:hAnsi="宋体"/>
                <w:b/>
                <w:kern w:val="0"/>
                <w:sz w:val="13"/>
                <w:szCs w:val="185"/>
              </w:rPr>
              <w:t>2.35</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250.00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r>
              <w:rPr>
                <w:rFonts w:hint="default" w:ascii="宋体" w:hAnsi="宋体"/>
                <w:b/>
                <w:kern w:val="0"/>
                <w:sz w:val="13"/>
                <w:szCs w:val="13"/>
              </w:rPr>
              <w:t>2,038.40</w:t>
            </w:r>
          </w:p>
        </w:tc>
        <w:tc>
          <w:tcPr>
            <w:tcW w:w="850" w:type="dxa"/>
            <w:shd w:val="clear" w:color="auto" w:fill="auto"/>
            <w:vAlign w:val="center"/>
          </w:tcPr>
          <w:p>
            <w:pPr>
              <w:jc w:val="right"/>
              <w:rPr>
                <w:b/>
                <w:sz w:val="18"/>
                <w:szCs w:val="18"/>
              </w:rPr>
            </w:pPr>
          </w:p>
        </w:tc>
        <w:tc>
          <w:tcPr>
            <w:tcW w:w="850"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编制部门：呼图壁县应急管理局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呼图壁县应急管理局2026年没有使用政府性基金预算拨款安排的支出，政府性基金预算支出情况表为空表。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编制部门：呼图壁县应急管理局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呼图壁县应急管理局2026年没有使用国有资本经营预算拨款安排的支出，国有资本经营预算支出情况表为空表。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3"/>
        <w:gridCol w:w="1396"/>
        <w:gridCol w:w="1396"/>
        <w:gridCol w:w="1363"/>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9720"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编制部门：呼图壁县应急管理局</w:t>
            </w:r>
          </w:p>
        </w:tc>
        <w:tc>
          <w:tcPr>
            <w:tcW w:w="16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0"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6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8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0" w:type="dxa"/>
            <w:vMerge w:val="continue"/>
            <w:shd w:val="clear" w:color="auto" w:fill="auto"/>
            <w:vAlign w:val="center"/>
          </w:tcPr>
          <w:p>
            <w:pPr>
              <w:jc w:val="center"/>
              <w:rPr>
                <w:rFonts w:hint="default" w:ascii="宋体" w:hAnsi="宋体"/>
                <w:color w:val="000000"/>
                <w:sz w:val="18"/>
                <w:szCs w:val="18"/>
              </w:rPr>
            </w:pPr>
          </w:p>
        </w:tc>
        <w:tc>
          <w:tcPr>
            <w:tcW w:w="1600" w:type="dxa"/>
            <w:vMerge w:val="continue"/>
            <w:shd w:val="clear" w:color="auto" w:fill="auto"/>
            <w:vAlign w:val="center"/>
          </w:tcPr>
          <w:p>
            <w:pPr>
              <w:jc w:val="center"/>
              <w:rPr>
                <w:rFonts w:hint="default" w:ascii="宋体" w:hAnsi="宋体"/>
                <w:color w:val="000000"/>
                <w:sz w:val="18"/>
                <w:szCs w:val="18"/>
              </w:rPr>
            </w:pP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6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因公出国（境）费用</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公务用车购置及运行维护费（小计）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3.60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3.60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公务用车运行维护费</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3.60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3.60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0"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总计</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3.60</w:t>
            </w:r>
          </w:p>
        </w:tc>
        <w:tc>
          <w:tcPr>
            <w:tcW w:w="1600"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3.60</w:t>
            </w:r>
          </w:p>
        </w:tc>
        <w:tc>
          <w:tcPr>
            <w:tcW w:w="1600" w:type="dxa"/>
            <w:shd w:val="clear" w:color="auto" w:fill="auto"/>
            <w:vAlign w:val="center"/>
          </w:tcPr>
          <w:p>
            <w:pPr>
              <w:jc w:val="right"/>
              <w:rPr>
                <w:rFonts w:hint="default" w:ascii="宋体" w:hAnsi="宋体"/>
                <w:color w:val="000000"/>
                <w:sz w:val="18"/>
                <w:szCs w:val="18"/>
              </w:rPr>
            </w:pPr>
          </w:p>
        </w:tc>
        <w:tc>
          <w:tcPr>
            <w:tcW w:w="1600"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819"/>
        <w:gridCol w:w="1250"/>
        <w:gridCol w:w="1250"/>
        <w:gridCol w:w="1180"/>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10062"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编制部门：呼图壁县应急管理局</w:t>
            </w:r>
          </w:p>
        </w:tc>
        <w:tc>
          <w:tcPr>
            <w:tcW w:w="1400"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5862"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项目名称</w:t>
            </w:r>
          </w:p>
        </w:tc>
        <w:tc>
          <w:tcPr>
            <w:tcW w:w="1400"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200"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5862" w:type="dxa"/>
            <w:vMerge w:val="continue"/>
            <w:shd w:val="clear" w:color="auto" w:fill="auto"/>
            <w:vAlign w:val="center"/>
          </w:tcPr>
          <w:p>
            <w:pPr>
              <w:jc w:val="center"/>
              <w:rPr>
                <w:rFonts w:hint="default" w:ascii="宋体" w:hAnsi="宋体"/>
                <w:color w:val="000000"/>
                <w:sz w:val="18"/>
                <w:szCs w:val="18"/>
              </w:rPr>
            </w:pPr>
          </w:p>
        </w:tc>
        <w:tc>
          <w:tcPr>
            <w:tcW w:w="1400" w:type="dxa"/>
            <w:vMerge w:val="continue"/>
            <w:shd w:val="clear" w:color="auto" w:fill="auto"/>
            <w:vAlign w:val="center"/>
          </w:tcPr>
          <w:p>
            <w:pPr>
              <w:jc w:val="center"/>
              <w:rPr>
                <w:rFonts w:hint="default" w:ascii="宋体" w:hAnsi="宋体"/>
                <w:color w:val="000000"/>
                <w:sz w:val="18"/>
                <w:szCs w:val="18"/>
              </w:rPr>
            </w:pP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400"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b/>
                <w:color w:val="000000"/>
                <w:sz w:val="18"/>
                <w:szCs w:val="18"/>
              </w:rPr>
            </w:pPr>
            <w:r>
              <w:rPr>
                <w:rFonts w:hint="default" w:ascii="宋体" w:hAnsi="宋体"/>
                <w:b/>
                <w:kern w:val="0"/>
                <w:sz w:val="18"/>
                <w:szCs w:val="18"/>
              </w:rPr>
              <w:t>呼图壁县应急管理局</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265.00</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265.00</w:t>
            </w: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县级安全生产专项资金（非定额）</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265.00</w:t>
            </w:r>
          </w:p>
        </w:tc>
        <w:tc>
          <w:tcPr>
            <w:tcW w:w="1400"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265.00</w:t>
            </w:r>
          </w:p>
        </w:tc>
        <w:tc>
          <w:tcPr>
            <w:tcW w:w="1400" w:type="dxa"/>
            <w:shd w:val="clear" w:color="auto" w:fill="auto"/>
            <w:vAlign w:val="center"/>
          </w:tcPr>
          <w:p>
            <w:pPr>
              <w:jc w:val="right"/>
              <w:rPr>
                <w:rFonts w:hint="default" w:ascii="宋体" w:hAnsi="宋体"/>
                <w:color w:val="000000"/>
                <w:sz w:val="18"/>
                <w:szCs w:val="18"/>
              </w:rPr>
            </w:pPr>
          </w:p>
        </w:tc>
        <w:tc>
          <w:tcPr>
            <w:tcW w:w="140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5862" w:type="dxa"/>
            <w:shd w:val="clear" w:color="auto" w:fill="auto"/>
            <w:vAlign w:val="center"/>
          </w:tcPr>
          <w:p>
            <w:pPr>
              <w:jc w:val="center"/>
              <w:rPr>
                <w:rFonts w:hint="default" w:ascii="宋体" w:hAnsi="宋体"/>
                <w:b/>
                <w:color w:val="000000"/>
                <w:sz w:val="18"/>
                <w:szCs w:val="18"/>
              </w:rPr>
            </w:pPr>
            <w:r>
              <w:rPr>
                <w:rFonts w:hint="default" w:ascii="宋体" w:hAnsi="宋体"/>
                <w:b/>
                <w:kern w:val="0"/>
                <w:sz w:val="18"/>
                <w:szCs w:val="18"/>
              </w:rPr>
              <w:t>总计</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265.00</w:t>
            </w:r>
          </w:p>
        </w:tc>
        <w:tc>
          <w:tcPr>
            <w:tcW w:w="1400"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265.00</w:t>
            </w:r>
          </w:p>
        </w:tc>
        <w:tc>
          <w:tcPr>
            <w:tcW w:w="1400" w:type="dxa"/>
            <w:shd w:val="clear" w:color="auto" w:fill="auto"/>
            <w:vAlign w:val="center"/>
          </w:tcPr>
          <w:p>
            <w:pPr>
              <w:jc w:val="right"/>
              <w:rPr>
                <w:rFonts w:hint="default" w:ascii="宋体" w:hAnsi="宋体"/>
                <w:b/>
                <w:color w:val="000000"/>
                <w:sz w:val="18"/>
                <w:szCs w:val="18"/>
              </w:rPr>
            </w:pPr>
          </w:p>
        </w:tc>
        <w:tc>
          <w:tcPr>
            <w:tcW w:w="1400" w:type="dxa"/>
            <w:shd w:val="clear" w:color="auto" w:fill="auto"/>
            <w:vAlign w:val="center"/>
          </w:tcPr>
          <w:p>
            <w:pPr>
              <w:jc w:val="right"/>
              <w:rPr>
                <w:rFonts w:hint="default" w:ascii="宋体" w:hAnsi="宋体"/>
                <w:b/>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8"/>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编制部门：呼图壁县应急管理局</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呼图壁县应急管理局</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1,346.90</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1,346.90</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1,346.90</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2025年为民办实事经费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1.92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1.92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1.92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2025年自治州安全生产补助资金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10.00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2025年第二批超长期特别国债（大规模设备更新领域）</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463.00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463.00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463.00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2025年昌吉州支持井工煤矿安全生产奖补资金（第三批））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853.98</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853.98</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853.98</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2025年度应急演练专项资金</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18.00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18.00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18.00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1,346.90</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1,346.90</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1,346.90</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2026年部门预算情况说明</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关于呼图壁县应急管理局2026年收支预算情况总体说明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按照全口径预算的原则，呼图壁县应急管理局2026年所有收入和支出均纳入部门预算管理。收支总预算5,984.69万元。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收入预算包括：一般公共预算、单位资金、财政拨款结转结余。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支出预算包括：社会保障和就业支出、卫生健康支出、资源勘探工业信息等支出、住房保障支出、灾害防治及应急管理支出。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关于呼图壁县应急管理局2026年收入预算情况说明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呼图壁县应急管理局部门收入预算5,984.69万元，其中：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一般公共预算2,427.54万元，占40.56%，比上年预算增加53.22万元，增长2.24%，主要原因是2026年在职职工正常工资调整增加，相应的社保和公积金一并增加。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上级一般公共预算安排的转移支付资金2,040.75万元，占34.10%，比上年预算减少346.25万元，下降14.51%，主要原因是2026年转移支付资金指标文件少于2025年，因转移支付为一次性项目，不具备参考性。</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单位资金169.50万元，占2.83%，比上年预算减少18.00万元，下降9.60%，主要原因是</w:t>
      </w:r>
      <w:r>
        <w:rPr>
          <w:rFonts w:hint="eastAsia" w:ascii="仿宋" w:hAnsi="微软雅黑" w:eastAsia="仿宋"/>
          <w:sz w:val="28"/>
          <w:szCs w:val="28"/>
          <w:lang w:val="en-US" w:eastAsia="zh-CN"/>
        </w:rPr>
        <w:t>较2026年减少了不必要的办公费预算及其他人员工资福利支出预算，从而使2026年的单位预算减少</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财政拨款结转1,346.90万元，占22.51%，比上年预算增加1,330.90万元，增长8,318.13%，主要原因是资金下达较晚，在年底无法完成支付手续，故结转至2026年</w:t>
      </w:r>
      <w:r>
        <w:rPr>
          <w:rFonts w:hint="eastAsia" w:ascii="仿宋" w:hAnsi="微软雅黑" w:eastAsia="仿宋"/>
          <w:sz w:val="28"/>
          <w:szCs w:val="28"/>
          <w:lang w:eastAsia="zh-CN"/>
        </w:rPr>
        <w:t>，</w:t>
      </w:r>
      <w:r>
        <w:rPr>
          <w:rFonts w:hint="eastAsia" w:ascii="仿宋" w:hAnsi="微软雅黑" w:eastAsia="仿宋"/>
          <w:sz w:val="28"/>
          <w:szCs w:val="28"/>
          <w:lang w:val="en-US" w:eastAsia="zh-CN"/>
        </w:rPr>
        <w:t>2025年需跨年支付额资金数额较少，所以2026年较2025年增长幅度较大</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关于呼图壁县应急管理局2026年支出预算情况说明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呼图壁县应急管理局2026年支出预算5,984.69万元，其中：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基本支出1,578.00万元，占26.37%，比上年预算增加116.18万元，增长7.95%，主要原因是2026年预算人数较上年度增加3个新入职职员，导致基本支付增加。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项目支出4,406.69万元，占73.63%，比上年预算增加903.69万元，增长25.80%，主要原因是</w:t>
      </w:r>
      <w:r>
        <w:rPr>
          <w:rFonts w:hint="eastAsia" w:ascii="仿宋" w:hAnsi="微软雅黑" w:eastAsia="仿宋"/>
          <w:sz w:val="28"/>
          <w:szCs w:val="28"/>
          <w:lang w:val="en-US" w:eastAsia="zh-CN"/>
        </w:rPr>
        <w:t>2026年结转项目预算金额较大，所以2026年总体项目支出金额增加</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关于呼图壁县应急管理局2026年财政拨款收支预算情况的总体说明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2026年财政拨款收支总预算4,468.29万元。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收入预算包括：一般公共预算拨款4,468.29万元。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社会保障和就业支出142.86万元，主要用于退休人员的补助发放及在职人员的养老社保缴纳；卫生健康支出74.05万元，主要用于在职人员医疗保险、公务员医疗补助及大病医疗保险的支出；住房保障支出73.85万元，主要用于应急管理局单位在职职工的住房公积金的缴纳支出；灾害防治及应急管理支出4,177.53万元，主要用于单位职工的工资社保，消防大队在职人员的基础绩效及年终绩效，合同制消防员的工资社保公积金费用，本级的安全专项经费及上级项目补助资金。</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关于呼图壁县应急管理局2026年一般公共预算当年拨款情况说明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呼图壁县应急管理局2026年一般公共预算拨款合计4,468.29万元，其中：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基本支出1,408.50万元，比上年预算增加34.18万元，增长2.49%，主要原因是</w:t>
      </w:r>
      <w:r>
        <w:rPr>
          <w:rFonts w:hint="eastAsia" w:ascii="仿宋" w:hAnsi="微软雅黑" w:eastAsia="仿宋"/>
          <w:sz w:val="28"/>
          <w:szCs w:val="28"/>
          <w:lang w:val="en-US" w:eastAsia="zh-CN"/>
        </w:rPr>
        <w:t>2026年比2025年</w:t>
      </w:r>
      <w:r>
        <w:rPr>
          <w:rFonts w:hint="eastAsia" w:ascii="仿宋" w:hAnsi="微软雅黑" w:eastAsia="仿宋"/>
          <w:sz w:val="28"/>
          <w:szCs w:val="28"/>
        </w:rPr>
        <w:t>新增加3名在职职工，相应增加有关基本支出。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项目支出3,059.79万元，比上年预算减少327.21万元，下降9.66%，主要原因是</w:t>
      </w:r>
      <w:r>
        <w:rPr>
          <w:rFonts w:hint="eastAsia" w:ascii="仿宋" w:hAnsi="微软雅黑" w:eastAsia="仿宋"/>
          <w:sz w:val="28"/>
          <w:szCs w:val="28"/>
          <w:lang w:val="en-US" w:eastAsia="zh-CN"/>
        </w:rPr>
        <w:t>2026年提前下达安全生产预防和应急救援能力建设补助资金预算金额下降，一般公共预算项目支出金额减少</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1.社会保障和就业支出（类）142.86万元，占3.20%。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2.卫生健康支出（类）74.05万元，占1.66%。</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3.住房保障支出（类）73.85万元，占1.65%。</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4.灾害防治及应急管理支出（类）4,177.53万元，占93.49%。</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1.社会保障和就业支出（类）行政事业单位养老支出（款）行政单位离退休（项）：2026年预算数为8.32万元，比上年预算增加8.32万元，增长100.00%，主要原因是上年度未区分事业退休费用及行政退休费用，2026年对</w:t>
      </w:r>
      <w:r>
        <w:rPr>
          <w:rFonts w:hint="eastAsia" w:ascii="仿宋" w:hAnsi="微软雅黑" w:eastAsia="仿宋"/>
          <w:sz w:val="28"/>
          <w:szCs w:val="28"/>
          <w:lang w:val="en-US" w:eastAsia="zh-CN"/>
        </w:rPr>
        <w:t>属于行政退休费用的支出划分在了</w:t>
      </w:r>
      <w:r>
        <w:rPr>
          <w:rFonts w:hint="eastAsia" w:ascii="仿宋" w:hAnsi="微软雅黑" w:eastAsia="仿宋"/>
          <w:sz w:val="28"/>
          <w:szCs w:val="28"/>
        </w:rPr>
        <w:t>社会保障和就业支出（类）行政事业单位养老支出（款）行政单位离退休（项）</w:t>
      </w:r>
      <w:r>
        <w:rPr>
          <w:rFonts w:hint="eastAsia" w:ascii="仿宋" w:hAnsi="微软雅黑" w:eastAsia="仿宋"/>
          <w:sz w:val="28"/>
          <w:szCs w:val="28"/>
          <w:lang w:val="en-US" w:eastAsia="zh-CN"/>
        </w:rPr>
        <w:t>此科目内</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2.社会保障和就业支出（类）行政事业单位养老支出（款）事业单位离退休（项）：2026年预算数为3.87万元，比上年预算减少5.58万元，下降59.05%，主要原因是上年度未区分事业退休费用及行政退休费用，2026年对</w:t>
      </w:r>
      <w:r>
        <w:rPr>
          <w:rFonts w:hint="eastAsia" w:ascii="仿宋" w:hAnsi="微软雅黑" w:eastAsia="仿宋"/>
          <w:sz w:val="28"/>
          <w:szCs w:val="28"/>
          <w:lang w:val="en-US" w:eastAsia="zh-CN"/>
        </w:rPr>
        <w:t>属于行政退休费用的支出划分在了</w:t>
      </w:r>
      <w:r>
        <w:rPr>
          <w:rFonts w:hint="eastAsia" w:ascii="仿宋" w:hAnsi="微软雅黑" w:eastAsia="仿宋"/>
          <w:sz w:val="28"/>
          <w:szCs w:val="28"/>
        </w:rPr>
        <w:t>社会保障和就业支出（类）行政事业单位养老支出（款）行政单位离退休（项）</w:t>
      </w:r>
      <w:r>
        <w:rPr>
          <w:rFonts w:hint="eastAsia" w:ascii="仿宋" w:hAnsi="微软雅黑" w:eastAsia="仿宋"/>
          <w:sz w:val="28"/>
          <w:szCs w:val="28"/>
          <w:lang w:val="en-US" w:eastAsia="zh-CN"/>
        </w:rPr>
        <w:t>此科目内导致原科目</w:t>
      </w:r>
      <w:r>
        <w:rPr>
          <w:rFonts w:hint="eastAsia" w:ascii="仿宋" w:hAnsi="微软雅黑" w:eastAsia="仿宋"/>
          <w:sz w:val="28"/>
          <w:szCs w:val="28"/>
        </w:rPr>
        <w:t>社会保障和就业支出（类）行政事业单位养老支出（款）事业单位离退休（项）</w:t>
      </w:r>
      <w:r>
        <w:rPr>
          <w:rFonts w:hint="eastAsia" w:ascii="仿宋" w:hAnsi="微软雅黑" w:eastAsia="仿宋"/>
          <w:sz w:val="28"/>
          <w:szCs w:val="28"/>
          <w:lang w:val="en-US" w:eastAsia="zh-CN"/>
        </w:rPr>
        <w:t>的预算资金减少</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87.11万元，比上年预算增加3.05万元，增长3.63%，主要原因是新增加3名在职人员，导致相关费用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43.56万元，比上年预算增加43.56万元，增长100.00%，主要原因是政策原因，2026年起实际开始缴纳职业年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5.卫生健康支出（类）行政事业单位医疗（款）行政单位医疗（项）：2026年预算数为18.25万元，比上年预算增加4.59万元，增长33.60%，主要原因是新增加3名在职人员，导致相关费用增加。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6.卫生健康支出（类）行政事业单位医疗（款）事业单位医疗（项）：2026年预算数为33.47万元，比上年预算增加5.11万元，增长18.02%，主要原因是新增加3名在职人员，导致相关费用增加。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7.卫生健康支出（类）行政事业单位医疗（款）公务员医疗补助（项）：2026年预算数为21.78万元，比上年预算增加0.76万元，增长3.62%，主要原因是新增加3名在职人员，导致相关费用增加。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8.卫生健康支出（类）行政事业单位医疗（款）其他行政事业单位医疗支出（项）：2026年预算数为0.54万元，比上年预算增加0.02万元，增长3.85%，主要原因是新增加3名在职人员，导致相关费用增加。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9.住房保障支出（类）住房改革支出（款）住房公积金（项）：2026年预算数为73.85万元，比上年预算增加3.86万元，增长5.52%，主要原因是新增加3名在职人员，导致相关费用增加。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10.灾害防治及应急管理支出（类）应急管理事务（款）行政运行（项）：2026年预算数为323.27万元，比上年预算增加11.58万元，增长3.72%，主要原因是新增加3名在职人员，导致相关费用增加。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11.灾害防治及应急管理支出（类）应急管理事务（款）一般行政管理事务（项）：2026年预算数为19.04万元，比上年预算增加19.04万元，增长100.00%，主要原因是根据政策新增加单位其他刚性支出部分。</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灾害防治及应急管理支出（类）应急管理事务（款）灾害风险防治（项）：2026年预算数为2,038.40万元，比上年预算增加2,038.40万元，增长100.00%，主要原因是新增加2026年中央安全生产预防和应急救援能力建设补助资金项目。</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13.灾害防治及应急管理支出（类）应急管理事务（款）安全监管（项）：2026年预算数为1,000.00万元，比上年预算增加0.00万元，增长0.00%，主要原因是未增加本级安全专项资金，政策较上年度无变动。</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14.灾害防治及应急管理支出（类）应急管理事务（款）事业运行（项）：2026年预算数为403.43万元，比上年预算减少432.11万元，下降51.72%，主要原因是将消防人员有关支出进行重新分类导致此分类支出下降。</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15.灾害防治及应急管理支出（类）消防救援事务（款）行政运行（项）：2026年预算数为391.03万元，比上年预算增加391.03万元，增长100.00%，主要原因是将消防人员有关支出进行重新分类导致此分类支出上升。</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16.灾害防治及应急管理支出（类）矿山安全（款）矿山安全监察事务（项）：2026年预算数为0.00万元，比上年预算减少2,387.00万元，下降100.00%，主要原因是2025年此支出科目</w:t>
      </w:r>
      <w:r>
        <w:rPr>
          <w:rFonts w:hint="eastAsia" w:ascii="仿宋" w:hAnsi="微软雅黑" w:eastAsia="仿宋"/>
          <w:sz w:val="28"/>
          <w:szCs w:val="28"/>
          <w:lang w:val="en-US" w:eastAsia="zh-CN"/>
        </w:rPr>
        <w:t>依据政策进行了预算安排，2026年此支出科目没有进行预算安排，所以2026年较2025年此科目预算减少</w:t>
      </w:r>
      <w:r>
        <w:rPr>
          <w:rFonts w:hint="eastAsia" w:ascii="仿宋" w:hAnsi="微软雅黑" w:eastAsia="仿宋"/>
          <w:sz w:val="28"/>
          <w:szCs w:val="28"/>
        </w:rPr>
        <w:t>。</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17.灾害防治及应急管理支出（类）地震事务（款）地震事业机构（项）：2026年预算数为2.35万元，比上年预算增加2.35万元，增长100.00%，主要原因是</w:t>
      </w:r>
      <w:r>
        <w:rPr>
          <w:rFonts w:hint="eastAsia" w:ascii="仿宋" w:hAnsi="微软雅黑" w:eastAsia="仿宋"/>
          <w:sz w:val="28"/>
          <w:szCs w:val="28"/>
          <w:lang w:val="en-US" w:eastAsia="zh-CN"/>
        </w:rPr>
        <w:t>2026年此支出科目因政策安排增加年初预算，所以预算增加</w:t>
      </w:r>
      <w:r>
        <w:rPr>
          <w:rFonts w:hint="eastAsia" w:ascii="仿宋" w:hAnsi="微软雅黑" w:eastAsia="仿宋"/>
          <w:sz w:val="28"/>
          <w:szCs w:val="28"/>
        </w:rPr>
        <w:t>。</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关于呼图壁县应急管理局2026年一般公共预算基本支出情况说明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呼图壁县应急管理局2026年一般公共预算基本支出1,408.50万元，其中：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1,027.01万元，主要包括：基本工资、津贴补贴、奖金、绩效工资、机关事业单位基本养老保险缴费、职业年金缴费、职工基本医疗保险缴费、公务员医疗补助缴费、其他社会保障缴费、住房公积金、其他工资福利支出、退休费、生活补助、奖励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公用经费381.49万元，主要包括：办公费、邮电费、取暖费、差旅费、劳务费、工会经费、公务用车运行维护费、其他交通费用。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关于呼图壁县应急管理局2026年一般公共预算项目支出情况说明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（一）项目名称：2026年支付各类其他刚性支出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法定职能要求，根据《中华人民共和国安全生产法》《防汛条例》《森林防火条例》等法律法规，应急管理部门依法履行安全生产监管、应急救援、防灾减灾、隐患排查、应急演练、物资保障等职责，相关工作经费属于履行法定职能的必要支出。2.预算管理与工作实际需要，按照《预算法》及财政预算管理相关要求，对支出不固定、任务不确定、时段性强的应急管理工作，通过设立非定额项目资金，能够更加科学、灵活、规范地保障应急处置、督查检查、宣传培训、装备运维、物资补充等工作开展，符合财政精细化、规范化管理要求。3.公共安全与民生保障需要，应急管理工作直接关系社会稳定和公共安全，设立非定额项目资金是提升应急处置能力、防范化解重大安全风险、落实上级安全生产与防灾减灾救灾工作部署的必要保障，有利于持续提升辖区应急管理能力和水平。</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预算安排规模：19.04万元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项目承担单位：呼图壁县应急管理局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本项目总金额19.04万元，全部用于呼图壁县应急管理局刚性公用经费支出，具体包括：水费2万元保障办公与应急场所日常用水；电费1.82万元保障办公、指挥中心及设备用电；西部志愿者生活补助1.6万元专项保障在岗志愿者基本生活；其他交通费6.5万元保障日常巡查、基层检查等非差旅交通支出；差旅费3.5万元保障公务出差、培训及跨区域应急联动相关支出；邮电费3.62万元保障公务通信、车辆燃油及通讯运维等支出，资金专款专用、据实列支。</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资金执行时间：2026年1月1日至2026年12月31日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（二）项目名称：县级安全生产专项资金（非定额）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1.政策环境与顶层设计要求。为全面贯彻落实《中华人民共和国安全生产法》《中华人民共和国突发事件应对法》及《“十四五”国家安全生产规划》等国家法律法规与政策文件精神，当前安全生产与应急管理工作已上升至国家战略高度。国家持续强调“人民至上、生命至上”，要求地方各级政府必须建立健全安全生产责任体系，提升本质安全水平。2.区域发展与安全形势需求。随着区域经济高质量发展的持续推进，工业化、城镇化进程加快，辖区内重点行业领域安全风险交织叠加，安全生产形势依然严峻复杂。目前，辖区内部分企业主体责任落实仍不到位，安全隐患存量较大、增量频发；基层应急管理能力参差不齐，应急物资储备、装备配置及信息化水平尚不足以完全应对极端天气和各类突发事件的挑战。3.现状短板与资金缺口。为破解上述难题，我县虽已投入部分资金用于安全监管与应急能力建设，但相较于日益增长的安全保障需求和现代化治理要求，仍存在显著的资金投入缺口。特别是在风险监测预警、重大隐患整改、基层监管执法能力提升、应急救援队伍建设等关键领域，亟需一批专项、稳定、长效的资金支持，以补齐发展短板，消除安全隐患。</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预算安排规模：1,000.00万元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项目承担单位：呼图壁县应急管理局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1.安全风险分级管控与隐患排查治理（约350万元）2.安全生产监管执法能力提升（约250万元）执法装备更新：为应急管理局及基层乡镇（街道）配备现代化执法装备。3.应急救援体系与物资储备建设（约200万元）应急物资储备：建立县级应急物资储备库，补充并更新各类救援物资。4.安全生产宣传教育与培训（约100万元）全民安全素养提升：开展“安全生产月”、消防演练、应急避险进社区、进学校、进农村等公益宣传活动。5.其他必要支出（约100万元）第三方技术服务。</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资金执行时间：2026年1月1日至2026年12月31日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（三）项目名称：提前下达2026年中央安全生产预防和应急救援能力建设补助资金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为认真贯彻落实《关于印发新疆维吾尔自治区煤田灭火工作实施方案的通知》新政办发（2022）54号《关于＜新疆维吾尔自治区煤田灭火工作实施方案＞的补充通知》新政办发（2024）17号及《昌吉回族自治州人民政府办公室关于印发昌吉州煤田灭火工作实施方案的通知》昌州政办发（2024）15号精神，进一步强化煤田灭火工作的组织领导，规范有序、加快推进全州煤田灭火工作设立。</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预算安排规模：2,038.40万元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项目承担单位：呼图壁县应急管理局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资金分配情况：2038.40万元全部用于煤田治理项目支出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资金执行时间：2026年1月1日至2026年12月31日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（四）项目名称：提前下达2026年自治区防震减灾‘三网一员’工作经费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根据《新疆维吾尔自治区地震应急预案》，明确要求“巩固基层观测队伍，保障群测群防长效运行”。本项目通过发放观测员服务费，旨在稳定基层队伍，激活“第一响应人”效能，筑牢地震灾害风险防范的人民防线。立项依据：《中华人民共和国防震减灾法》第八条规定：“国家鼓励、引导社会组织和个人参与防震减灾活动”；《新疆维吾尔自治区实施〈防震减灾法〉办法》第二十四条强调：“县级以上人民政府应当保障群测群防工作经费，落实宏观观测员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预算安排规模：2.35万元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项目承担单位：呼图壁县应急管理局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资金分配情况：为</w:t>
      </w:r>
      <w:r>
        <w:rPr>
          <w:rFonts w:hint="eastAsia" w:ascii="仿宋" w:hAnsi="微软雅黑" w:eastAsia="仿宋"/>
          <w:sz w:val="28"/>
          <w:szCs w:val="28"/>
          <w:lang w:val="en-US" w:eastAsia="zh-CN"/>
        </w:rPr>
        <w:t>经州局备案的</w:t>
      </w:r>
      <w:r>
        <w:rPr>
          <w:rFonts w:hint="eastAsia" w:ascii="仿宋" w:hAnsi="微软雅黑" w:eastAsia="仿宋"/>
          <w:sz w:val="28"/>
          <w:szCs w:val="28"/>
        </w:rPr>
        <w:t>观测员按照140元/人/月的标准发放补助</w:t>
      </w:r>
      <w:bookmarkStart w:id="0" w:name="_GoBack"/>
      <w:bookmarkEnd w:id="0"/>
      <w:r>
        <w:rPr>
          <w:rFonts w:hint="eastAsia" w:ascii="仿宋" w:hAnsi="微软雅黑" w:eastAsia="仿宋"/>
          <w:sz w:val="28"/>
          <w:szCs w:val="28"/>
          <w:lang w:eastAsia="zh-CN"/>
        </w:rPr>
        <w:t>。</w:t>
      </w:r>
    </w:p>
    <w:p>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pPr>
        <w:pStyle w:val="5"/>
        <w:ind w:firstLine="560" w:firstLineChars="200"/>
        <w:rPr>
          <w:rFonts w:hint="default" w:ascii="仿宋" w:hAnsi="微软雅黑" w:eastAsia="仿宋" w:cs="Times New Roman"/>
          <w:kern w:val="2"/>
          <w:sz w:val="28"/>
          <w:szCs w:val="28"/>
          <w:lang w:val="en-US" w:eastAsia="zh-CN" w:bidi="ar-SA"/>
        </w:rPr>
      </w:pPr>
      <w:r>
        <w:rPr>
          <w:rFonts w:hint="eastAsia" w:ascii="仿宋" w:hAnsi="微软雅黑" w:eastAsia="仿宋" w:cs="Times New Roman"/>
          <w:kern w:val="2"/>
          <w:sz w:val="28"/>
          <w:szCs w:val="28"/>
          <w:lang w:val="en-US" w:eastAsia="zh-CN" w:bidi="ar-SA"/>
        </w:rPr>
        <w:t>资金来源：自治区及昌吉州配套资金</w:t>
      </w:r>
    </w:p>
    <w:p>
      <w:pPr>
        <w:pStyle w:val="5"/>
        <w:ind w:firstLine="560" w:firstLineChars="200"/>
        <w:rPr>
          <w:rFonts w:hint="eastAsia" w:ascii="仿宋" w:hAnsi="微软雅黑" w:eastAsia="仿宋"/>
          <w:sz w:val="28"/>
          <w:szCs w:val="28"/>
        </w:rPr>
      </w:pPr>
      <w:r>
        <w:rPr>
          <w:rFonts w:hint="eastAsia" w:ascii="仿宋" w:hAnsi="微软雅黑" w:eastAsia="仿宋" w:cs="Times New Roman"/>
          <w:kern w:val="2"/>
          <w:sz w:val="28"/>
          <w:szCs w:val="28"/>
          <w:lang w:val="en-US" w:eastAsia="zh-CN" w:bidi="ar-SA"/>
        </w:rPr>
        <w:t>补贴标准：</w:t>
      </w:r>
      <w:r>
        <w:rPr>
          <w:rFonts w:hint="eastAsia" w:ascii="仿宋" w:hAnsi="微软雅黑" w:eastAsia="仿宋"/>
          <w:sz w:val="28"/>
          <w:szCs w:val="28"/>
        </w:rPr>
        <w:t>按照140元/人/月</w:t>
      </w:r>
    </w:p>
    <w:p>
      <w:pPr>
        <w:pStyle w:val="5"/>
        <w:ind w:firstLine="560" w:firstLineChars="200"/>
        <w:rPr>
          <w:rFonts w:hint="eastAsia" w:ascii="仿宋" w:hAnsi="微软雅黑" w:eastAsia="仿宋"/>
          <w:sz w:val="28"/>
          <w:szCs w:val="28"/>
        </w:rPr>
      </w:pPr>
      <w:r>
        <w:rPr>
          <w:rFonts w:hint="eastAsia" w:ascii="仿宋" w:hAnsi="微软雅黑" w:eastAsia="仿宋" w:cs="Times New Roman"/>
          <w:kern w:val="2"/>
          <w:sz w:val="28"/>
          <w:szCs w:val="28"/>
          <w:lang w:val="en-US" w:eastAsia="zh-CN" w:bidi="ar-SA"/>
        </w:rPr>
        <w:t>补贴范围：</w:t>
      </w:r>
      <w:r>
        <w:rPr>
          <w:rFonts w:hint="eastAsia" w:ascii="仿宋" w:hAnsi="微软雅黑" w:eastAsia="仿宋"/>
          <w:sz w:val="28"/>
          <w:szCs w:val="28"/>
          <w:lang w:val="en-US" w:eastAsia="zh-CN"/>
        </w:rPr>
        <w:t>经州局备案的</w:t>
      </w:r>
      <w:r>
        <w:rPr>
          <w:rFonts w:hint="eastAsia" w:ascii="仿宋" w:hAnsi="微软雅黑" w:eastAsia="仿宋"/>
          <w:sz w:val="28"/>
          <w:szCs w:val="28"/>
        </w:rPr>
        <w:t>观测员</w:t>
      </w:r>
    </w:p>
    <w:p>
      <w:pPr>
        <w:pStyle w:val="5"/>
        <w:ind w:firstLine="560" w:firstLineChars="200"/>
        <w:rPr>
          <w:rFonts w:hint="default" w:ascii="仿宋" w:hAnsi="微软雅黑" w:eastAsia="仿宋" w:cs="Times New Roman"/>
          <w:kern w:val="2"/>
          <w:sz w:val="28"/>
          <w:szCs w:val="28"/>
          <w:lang w:val="en-US" w:eastAsia="zh-CN" w:bidi="ar-SA"/>
        </w:rPr>
      </w:pPr>
      <w:r>
        <w:rPr>
          <w:rFonts w:hint="eastAsia" w:ascii="仿宋" w:hAnsi="微软雅黑" w:eastAsia="仿宋" w:cs="Times New Roman"/>
          <w:kern w:val="2"/>
          <w:sz w:val="28"/>
          <w:szCs w:val="28"/>
          <w:lang w:val="en-US" w:eastAsia="zh-CN" w:bidi="ar-SA"/>
        </w:rPr>
        <w:t>补贴方式：银行转账</w:t>
      </w:r>
    </w:p>
    <w:p>
      <w:pPr>
        <w:pStyle w:val="5"/>
        <w:ind w:firstLine="560" w:firstLineChars="200"/>
        <w:rPr>
          <w:rFonts w:hint="default" w:ascii="仿宋" w:hAnsi="微软雅黑" w:eastAsia="仿宋" w:cs="Times New Roman"/>
          <w:kern w:val="2"/>
          <w:sz w:val="28"/>
          <w:szCs w:val="28"/>
          <w:lang w:val="en-US" w:eastAsia="zh-CN" w:bidi="ar-SA"/>
        </w:rPr>
      </w:pPr>
      <w:r>
        <w:rPr>
          <w:rFonts w:hint="eastAsia" w:ascii="仿宋" w:hAnsi="微软雅黑" w:eastAsia="仿宋" w:cs="Times New Roman"/>
          <w:kern w:val="2"/>
          <w:sz w:val="28"/>
          <w:szCs w:val="28"/>
          <w:lang w:val="en-US" w:eastAsia="zh-CN" w:bidi="ar-SA"/>
        </w:rPr>
        <w:t>发放程序：确认观测员在岗在位，按要求发放</w:t>
      </w:r>
    </w:p>
    <w:p>
      <w:pPr>
        <w:pStyle w:val="5"/>
        <w:ind w:firstLine="560" w:firstLineChars="200"/>
        <w:rPr>
          <w:rFonts w:hint="default" w:ascii="仿宋" w:hAnsi="微软雅黑" w:eastAsia="仿宋" w:cs="Times New Roman"/>
          <w:kern w:val="2"/>
          <w:sz w:val="28"/>
          <w:szCs w:val="28"/>
          <w:lang w:val="en-US" w:eastAsia="zh-CN" w:bidi="ar-SA"/>
        </w:rPr>
      </w:pPr>
      <w:r>
        <w:rPr>
          <w:rFonts w:hint="eastAsia" w:ascii="仿宋" w:hAnsi="微软雅黑" w:eastAsia="仿宋" w:cs="Times New Roman"/>
          <w:kern w:val="2"/>
          <w:sz w:val="28"/>
          <w:szCs w:val="28"/>
          <w:lang w:val="en-US" w:eastAsia="zh-CN" w:bidi="ar-SA"/>
        </w:rPr>
        <w:t>受益人群和社会效益：极大保障了全县人民群众的人身财产安全，确保了本地政府对地震的快速预测和防治，实现了基层防震减灾监测网络稳定运行，夯实群测群防工作基础，提升县域震情监测、灾情速报与地震灾害前置防控能力</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关于呼图壁县应急管理局2026年政府性基金预算拨款情况说明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呼图壁县应急管理局2026年没有使用政府性基金预算拨款安排的支出，政府性基金预算支出情况表为空表。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关于呼图壁县应急管理局2026年国有资本经营预算拨款情况说明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呼图壁县应急管理局2026年没有使用国有资本经营预算拨款安排的支出，国有资本经营预算支出情况表为空表。</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关于呼图壁县应急管理局2026年财政拨款“三公”经费预算情况说明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呼图壁县应急管理局2026年财政拨款“三公”经费数为3.60万元，其中：因公出国（境）费用0.00万元，公务用车购置0.00万元，公务用车运行维护费3.60万元，公务接待费0.00万元。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预算比上年预算增加0.00万元，增长0.00%，其中：因公出国（境）费用增加0.00万元，增长0.00%，主要原因是2025年与2026年均未安排因公出国（境）费用；公务用车购置增加0.00万元，增长0.00%，主要原因是2025年与2026年均未安排公务用车购置；公务用车运行维护费增加0.00万元，增长0.00%，主要原因是严格控制单位公务用车运行维护费，确保费用不增加；公务接待费增加0.00万元，增长0.00%，主要原因是2025年与2026年均未安排公务接待费。</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关于呼图壁县应急管理局2026年财政拨款委托业务费支出情况说明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呼图壁县应急管理局2026年委托业务费265.00万元，其中：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1.县级安全生产专项资金（非定额）委托业务费265.00万元，主要用于：第三方技术服务：聘请安全评价机构、注册安全工程师等专业力量，为重点企业提供“把脉问诊”式的技术咨询服务。</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关于呼图壁县应急管理局2026年上年结转结余预算情况说明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呼图壁县应急管理局2026年上年结转结余1,346.90万元，包括：财政拨款1,346.90万元，非财政拨款0.00万元，其中：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1.2025年昌吉州支持井工煤矿安全生产奖补资金（第三批））结转853.98万元，主要用于：对上年煤矿进行政策补助。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2.2025年第二批超长期特别国债（大规模设备更新领域）结转463.00万元，主要用于：上年煤矿区域消防建设补助。</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3.2025年度应急演练专项资金结转18.00万元，主要用于：地震应急演练。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4.2025年为民办实事经费结转1.92万元，主要用于：为结对村委会解决上年困难。</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5.2025年自治州安全生产补助资金结转10.00万元，主要用于：补充单位办公经费支出。</w:t>
      </w:r>
    </w:p>
    <w:p>
      <w:pPr>
        <w:pStyle w:val="3"/>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rPr>
        <w:t>呼图壁县应急管理局2026年的机关运行经费财政拨款预算381.49万元，比上年预算增加258.75万元，增长210.81%，主要原因是规范单位机关运行经费范围，厘定机关运行经费范畴</w:t>
      </w:r>
      <w:r>
        <w:rPr>
          <w:rFonts w:hint="eastAsia" w:ascii="仿宋" w:hAnsi="微软雅黑" w:eastAsia="仿宋"/>
          <w:sz w:val="28"/>
          <w:szCs w:val="28"/>
          <w:lang w:eastAsia="zh-CN"/>
        </w:rPr>
        <w:t>，</w:t>
      </w:r>
      <w:r>
        <w:rPr>
          <w:rFonts w:hint="eastAsia" w:ascii="仿宋" w:hAnsi="微软雅黑" w:eastAsia="仿宋"/>
          <w:sz w:val="28"/>
          <w:szCs w:val="28"/>
        </w:rPr>
        <w:t>将合同制消防员</w:t>
      </w:r>
      <w:r>
        <w:rPr>
          <w:rFonts w:hint="eastAsia" w:ascii="仿宋" w:hAnsi="微软雅黑" w:eastAsia="仿宋"/>
          <w:sz w:val="28"/>
          <w:szCs w:val="28"/>
          <w:lang w:val="en-US" w:eastAsia="zh-CN"/>
        </w:rPr>
        <w:t>的</w:t>
      </w:r>
      <w:r>
        <w:rPr>
          <w:rFonts w:hint="eastAsia" w:ascii="仿宋" w:hAnsi="微软雅黑" w:eastAsia="仿宋"/>
          <w:sz w:val="28"/>
          <w:szCs w:val="28"/>
        </w:rPr>
        <w:t>工资社保公积金</w:t>
      </w:r>
      <w:r>
        <w:rPr>
          <w:rFonts w:hint="eastAsia" w:ascii="仿宋" w:hAnsi="微软雅黑" w:eastAsia="仿宋"/>
          <w:sz w:val="28"/>
          <w:szCs w:val="28"/>
          <w:lang w:val="en-US" w:eastAsia="zh-CN"/>
        </w:rPr>
        <w:t>从其他人员工资福利支出从新计入到</w:t>
      </w:r>
      <w:r>
        <w:rPr>
          <w:rFonts w:hint="eastAsia" w:ascii="仿宋" w:hAnsi="微软雅黑" w:eastAsia="仿宋"/>
          <w:sz w:val="28"/>
          <w:szCs w:val="28"/>
        </w:rPr>
        <w:t>委托业务费，导致机关运行经费大幅增加</w:t>
      </w:r>
      <w:r>
        <w:rPr>
          <w:rFonts w:hint="eastAsia" w:ascii="仿宋" w:hAnsi="微软雅黑" w:eastAsia="仿宋"/>
          <w:sz w:val="28"/>
          <w:szCs w:val="28"/>
          <w:lang w:eastAsia="zh-CN"/>
        </w:rPr>
        <w:t>。</w:t>
      </w:r>
    </w:p>
    <w:p>
      <w:pPr>
        <w:pStyle w:val="4"/>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2026年，呼图壁县应急管理局政府采购预算328.98万元，其中：政府采购货物预算172.88万元，政府采购工程预算0.00万元，政府采购服务预算156.10万元。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2026年，呼图壁县应急管理局面向中小企业预留政府采购项目预算金额283.68万元，其中：小微企业预留政府采购项目预算金额283.68万元。</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截至2025年底，呼图壁县应急管理局占用使用国有资产总体情况为：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1.房屋200.00平方米，价值20.00万元。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2.车辆4辆，价值31.10万元；其中：一般公务用车2辆，价值5.70万元；执法执勤用车2辆，价值25.40万元；其他车辆0辆，价值0.00万元。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3.办公家具价值12.91万元。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4.其他资产价值353.56万元。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部门价值单价50万元以上大型设备1套，部门价值单价100万元以上大型设备1套。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2026年部门预算未安排购置车辆经费，安排购置单价50万元以上大型设备0台，部门单价100万元以上大型设备0台。</w:t>
      </w:r>
    </w:p>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2026年，本部门预算绩效管理整体预算绩效目标1个，涉及预算金额5,984.69万元；当年预算安排项目共4个，其中：财政拨款项目涉及预算金额3,059.79万元；非财政拨款项目涉及预算金额0.00万元。具体情况见下表：</w:t>
      </w:r>
    </w:p>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呼图壁县应急管理局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曹恒杰</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18082845632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全面贯彻落实党的二十大精神，坚持稳中求进工作总基调，完整准确全面贯彻新发展理念，加强、优化、统筹，应急能力建设。一是持续开展防灾减灾和安全生产宣传活动，强化应急演练和科普宣传，不断提升群众安全防范和应急处置能力，组织不少于3次300人次的大型宣传教育；二是强化重大灾害源头治理，完成白杨河矿区区域性隐蔽致灾因素普查及水害综合治理工程，实现灾害防治向“源头预防、区域治理、井上下联动、工程化管控”模式转型，全年开展安全生产专项整治覆盖领域不少于2次、安全隐患专项督查不低于50次，排查重点企业30家以上；三是提升应急科技支撑能力，强化地震监测设施保护与观测环境维护，推动数字技术赋能地震预报及灾害风险防治，加快监测设备迭代更新；同步严格监管执法，全年执法检查企业不少于30家次，构建“风险排查-隐患整治-执法监督”闭环管理机制，切实防范化解重大安全风险，全面提升本质安全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3,387.65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2,427.54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169.50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3858" w:type="dxa"/>
            <w:gridSpan w:val="3"/>
            <w:shd w:val="clear" w:color="auto" w:fill="auto"/>
            <w:vAlign w:val="center"/>
          </w:tcPr>
          <w:p>
            <w:pPr>
              <w:jc w:val="center"/>
              <w:rPr>
                <w:sz w:val="18"/>
                <w:szCs w:val="18"/>
              </w:rPr>
            </w:pPr>
            <w:r>
              <w:rPr>
                <w:rFonts w:hint="eastAsia"/>
                <w:sz w:val="18"/>
                <w:szCs w:val="18"/>
              </w:rPr>
              <w:t>合计：</w:t>
            </w:r>
          </w:p>
        </w:tc>
        <w:tc>
          <w:tcPr>
            <w:tcW w:w="2720" w:type="dxa"/>
            <w:gridSpan w:val="2"/>
            <w:shd w:val="clear" w:color="auto" w:fill="auto"/>
            <w:vAlign w:val="center"/>
          </w:tcPr>
          <w:p>
            <w:pPr>
              <w:jc w:val="center"/>
              <w:rPr>
                <w:sz w:val="18"/>
                <w:szCs w:val="18"/>
              </w:rPr>
            </w:pPr>
            <w:r>
              <w:rPr>
                <w:rFonts w:hint="eastAsia"/>
                <w:sz w:val="18"/>
                <w:szCs w:val="18"/>
              </w:rPr>
              <w:t>5,984.69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安全生产专项整治覆盖领域数量</w:t>
            </w:r>
          </w:p>
        </w:tc>
        <w:tc>
          <w:tcPr>
            <w:tcW w:w="1448" w:type="dxa"/>
            <w:gridSpan w:val="2"/>
            <w:shd w:val="clear" w:color="auto" w:fill="auto"/>
            <w:vAlign w:val="center"/>
          </w:tcPr>
          <w:p>
            <w:pPr>
              <w:jc w:val="center"/>
              <w:rPr>
                <w:sz w:val="18"/>
                <w:szCs w:val="18"/>
              </w:rPr>
            </w:pPr>
            <w:r>
              <w:rPr>
                <w:rFonts w:hint="eastAsia"/>
                <w:sz w:val="18"/>
                <w:szCs w:val="18"/>
              </w:rPr>
              <w:t>＞=2次</w:t>
            </w:r>
          </w:p>
        </w:tc>
        <w:tc>
          <w:tcPr>
            <w:tcW w:w="1360" w:type="dxa"/>
            <w:shd w:val="clear" w:color="auto" w:fill="auto"/>
            <w:vAlign w:val="center"/>
          </w:tcPr>
          <w:p>
            <w:pPr>
              <w:jc w:val="center"/>
              <w:rPr>
                <w:sz w:val="18"/>
                <w:szCs w:val="18"/>
              </w:rPr>
            </w:pPr>
            <w:r>
              <w:rPr>
                <w:rFonts w:hint="eastAsia"/>
                <w:sz w:val="18"/>
                <w:szCs w:val="18"/>
              </w:rPr>
              <w:t>呼图壁县应急管理局2025年工作总结及2026年工作计划</w:t>
            </w:r>
          </w:p>
        </w:tc>
        <w:tc>
          <w:tcPr>
            <w:tcW w:w="1360" w:type="dxa"/>
            <w:shd w:val="clear" w:color="auto" w:fill="auto"/>
            <w:vAlign w:val="center"/>
          </w:tcPr>
          <w:p>
            <w:pPr>
              <w:jc w:val="center"/>
              <w:rPr>
                <w:sz w:val="18"/>
                <w:szCs w:val="18"/>
              </w:rPr>
            </w:pPr>
            <w:r>
              <w:rPr>
                <w:rFonts w:hint="eastAsia"/>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安全生产重点检查企业数量</w:t>
            </w:r>
          </w:p>
        </w:tc>
        <w:tc>
          <w:tcPr>
            <w:tcW w:w="1448" w:type="dxa"/>
            <w:gridSpan w:val="2"/>
            <w:shd w:val="clear" w:color="auto" w:fill="auto"/>
            <w:vAlign w:val="center"/>
          </w:tcPr>
          <w:p>
            <w:pPr>
              <w:jc w:val="center"/>
              <w:rPr>
                <w:sz w:val="18"/>
                <w:szCs w:val="18"/>
              </w:rPr>
            </w:pPr>
            <w:r>
              <w:rPr>
                <w:rFonts w:hint="eastAsia"/>
                <w:sz w:val="18"/>
                <w:szCs w:val="18"/>
              </w:rPr>
              <w:t>＞=30家</w:t>
            </w:r>
          </w:p>
        </w:tc>
        <w:tc>
          <w:tcPr>
            <w:tcW w:w="1360" w:type="dxa"/>
            <w:shd w:val="clear" w:color="auto" w:fill="auto"/>
            <w:vAlign w:val="center"/>
          </w:tcPr>
          <w:p>
            <w:pPr>
              <w:jc w:val="center"/>
              <w:rPr>
                <w:sz w:val="18"/>
                <w:szCs w:val="18"/>
              </w:rPr>
            </w:pPr>
            <w:r>
              <w:rPr>
                <w:rFonts w:hint="eastAsia"/>
                <w:sz w:val="18"/>
                <w:szCs w:val="18"/>
              </w:rPr>
              <w:t>呼图壁县应急管理局2025年工作总结及2026年工作计划</w:t>
            </w:r>
          </w:p>
        </w:tc>
        <w:tc>
          <w:tcPr>
            <w:tcW w:w="1360" w:type="dxa"/>
            <w:shd w:val="clear" w:color="auto" w:fill="auto"/>
            <w:vAlign w:val="center"/>
          </w:tcPr>
          <w:p>
            <w:pPr>
              <w:jc w:val="center"/>
              <w:rPr>
                <w:sz w:val="18"/>
                <w:szCs w:val="18"/>
              </w:rPr>
            </w:pPr>
            <w:r>
              <w:rPr>
                <w:rFonts w:hint="eastAsia"/>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安全隐患督查次数</w:t>
            </w:r>
          </w:p>
        </w:tc>
        <w:tc>
          <w:tcPr>
            <w:tcW w:w="1448" w:type="dxa"/>
            <w:gridSpan w:val="2"/>
            <w:shd w:val="clear" w:color="auto" w:fill="auto"/>
            <w:vAlign w:val="center"/>
          </w:tcPr>
          <w:p>
            <w:pPr>
              <w:jc w:val="center"/>
              <w:rPr>
                <w:sz w:val="18"/>
                <w:szCs w:val="18"/>
              </w:rPr>
            </w:pPr>
            <w:r>
              <w:rPr>
                <w:rFonts w:hint="eastAsia"/>
                <w:sz w:val="18"/>
                <w:szCs w:val="18"/>
              </w:rPr>
              <w:t>＞=50次</w:t>
            </w:r>
          </w:p>
        </w:tc>
        <w:tc>
          <w:tcPr>
            <w:tcW w:w="1360" w:type="dxa"/>
            <w:shd w:val="clear" w:color="auto" w:fill="auto"/>
            <w:vAlign w:val="center"/>
          </w:tcPr>
          <w:p>
            <w:pPr>
              <w:jc w:val="center"/>
              <w:rPr>
                <w:sz w:val="18"/>
                <w:szCs w:val="18"/>
              </w:rPr>
            </w:pPr>
            <w:r>
              <w:rPr>
                <w:rFonts w:hint="eastAsia"/>
                <w:sz w:val="18"/>
                <w:szCs w:val="18"/>
              </w:rPr>
              <w:t>呼图壁县应急管理局2025年工作总结及2026年工作计划</w:t>
            </w:r>
          </w:p>
        </w:tc>
        <w:tc>
          <w:tcPr>
            <w:tcW w:w="1360" w:type="dxa"/>
            <w:shd w:val="clear" w:color="auto" w:fill="auto"/>
            <w:vAlign w:val="center"/>
          </w:tcPr>
          <w:p>
            <w:pPr>
              <w:jc w:val="center"/>
              <w:rPr>
                <w:sz w:val="18"/>
                <w:szCs w:val="18"/>
              </w:rPr>
            </w:pPr>
            <w:r>
              <w:rPr>
                <w:rFonts w:hint="eastAsia"/>
                <w:sz w:val="18"/>
                <w:szCs w:val="18"/>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大型宣传教育次数</w:t>
            </w:r>
          </w:p>
        </w:tc>
        <w:tc>
          <w:tcPr>
            <w:tcW w:w="1448" w:type="dxa"/>
            <w:gridSpan w:val="2"/>
            <w:shd w:val="clear" w:color="auto" w:fill="auto"/>
            <w:vAlign w:val="center"/>
          </w:tcPr>
          <w:p>
            <w:pPr>
              <w:jc w:val="center"/>
              <w:rPr>
                <w:sz w:val="18"/>
                <w:szCs w:val="18"/>
              </w:rPr>
            </w:pPr>
            <w:r>
              <w:rPr>
                <w:rFonts w:hint="eastAsia"/>
                <w:sz w:val="18"/>
                <w:szCs w:val="18"/>
              </w:rPr>
              <w:t>＞=3次</w:t>
            </w:r>
          </w:p>
        </w:tc>
        <w:tc>
          <w:tcPr>
            <w:tcW w:w="1360" w:type="dxa"/>
            <w:shd w:val="clear" w:color="auto" w:fill="auto"/>
            <w:vAlign w:val="center"/>
          </w:tcPr>
          <w:p>
            <w:pPr>
              <w:jc w:val="center"/>
              <w:rPr>
                <w:sz w:val="18"/>
                <w:szCs w:val="18"/>
              </w:rPr>
            </w:pPr>
            <w:r>
              <w:rPr>
                <w:rFonts w:hint="eastAsia"/>
                <w:sz w:val="18"/>
                <w:szCs w:val="18"/>
              </w:rPr>
              <w:t>呼图壁县应急管理局2025年工作总结及2026年工作计划</w:t>
            </w:r>
          </w:p>
        </w:tc>
        <w:tc>
          <w:tcPr>
            <w:tcW w:w="1360" w:type="dxa"/>
            <w:shd w:val="clear" w:color="auto" w:fill="auto"/>
            <w:vAlign w:val="center"/>
          </w:tcPr>
          <w:p>
            <w:pPr>
              <w:jc w:val="center"/>
              <w:rPr>
                <w:sz w:val="18"/>
                <w:szCs w:val="18"/>
              </w:rPr>
            </w:pPr>
            <w:r>
              <w:rPr>
                <w:rFonts w:hint="eastAsia"/>
                <w:sz w:val="18"/>
                <w:szCs w:val="18"/>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执法检查企业数量</w:t>
            </w:r>
          </w:p>
        </w:tc>
        <w:tc>
          <w:tcPr>
            <w:tcW w:w="1448" w:type="dxa"/>
            <w:gridSpan w:val="2"/>
            <w:shd w:val="clear" w:color="auto" w:fill="auto"/>
            <w:vAlign w:val="center"/>
          </w:tcPr>
          <w:p>
            <w:pPr>
              <w:jc w:val="center"/>
              <w:rPr>
                <w:sz w:val="18"/>
                <w:szCs w:val="18"/>
              </w:rPr>
            </w:pPr>
            <w:r>
              <w:rPr>
                <w:rFonts w:hint="eastAsia"/>
                <w:sz w:val="18"/>
                <w:szCs w:val="18"/>
              </w:rPr>
              <w:t>＞=30次</w:t>
            </w:r>
          </w:p>
        </w:tc>
        <w:tc>
          <w:tcPr>
            <w:tcW w:w="1360" w:type="dxa"/>
            <w:shd w:val="clear" w:color="auto" w:fill="auto"/>
            <w:vAlign w:val="center"/>
          </w:tcPr>
          <w:p>
            <w:pPr>
              <w:jc w:val="center"/>
              <w:rPr>
                <w:sz w:val="18"/>
                <w:szCs w:val="18"/>
              </w:rPr>
            </w:pPr>
            <w:r>
              <w:rPr>
                <w:rFonts w:hint="eastAsia"/>
                <w:sz w:val="18"/>
                <w:szCs w:val="18"/>
              </w:rPr>
              <w:t>呼图壁县应急管理局2025年工作总结及2026年工作计划</w:t>
            </w:r>
          </w:p>
        </w:tc>
        <w:tc>
          <w:tcPr>
            <w:tcW w:w="1360" w:type="dxa"/>
            <w:shd w:val="clear" w:color="auto" w:fill="auto"/>
            <w:vAlign w:val="center"/>
          </w:tcPr>
          <w:p>
            <w:pPr>
              <w:jc w:val="center"/>
              <w:rPr>
                <w:sz w:val="18"/>
                <w:szCs w:val="18"/>
              </w:rPr>
            </w:pPr>
            <w:r>
              <w:rPr>
                <w:rFonts w:hint="eastAsia"/>
                <w:sz w:val="18"/>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安全生产事故发生率</w:t>
            </w:r>
          </w:p>
        </w:tc>
        <w:tc>
          <w:tcPr>
            <w:tcW w:w="1448" w:type="dxa"/>
            <w:gridSpan w:val="2"/>
            <w:shd w:val="clear" w:color="auto" w:fill="auto"/>
            <w:vAlign w:val="center"/>
          </w:tcPr>
          <w:p>
            <w:pPr>
              <w:jc w:val="center"/>
              <w:rPr>
                <w:sz w:val="18"/>
                <w:szCs w:val="18"/>
              </w:rPr>
            </w:pPr>
            <w:r>
              <w:rPr>
                <w:rFonts w:hint="eastAsia"/>
                <w:sz w:val="18"/>
                <w:szCs w:val="18"/>
              </w:rPr>
              <w:t>＜=0%</w:t>
            </w:r>
          </w:p>
        </w:tc>
        <w:tc>
          <w:tcPr>
            <w:tcW w:w="1360" w:type="dxa"/>
            <w:shd w:val="clear" w:color="auto" w:fill="auto"/>
            <w:vAlign w:val="center"/>
          </w:tcPr>
          <w:p>
            <w:pPr>
              <w:jc w:val="center"/>
              <w:rPr>
                <w:sz w:val="18"/>
                <w:szCs w:val="18"/>
              </w:rPr>
            </w:pPr>
            <w:r>
              <w:rPr>
                <w:rFonts w:hint="eastAsia"/>
                <w:sz w:val="18"/>
                <w:szCs w:val="18"/>
              </w:rPr>
              <w:t>呼图壁县应急管理局2025年工作总结及2026年工作计划</w:t>
            </w:r>
          </w:p>
        </w:tc>
        <w:tc>
          <w:tcPr>
            <w:tcW w:w="1360" w:type="dxa"/>
            <w:shd w:val="clear" w:color="auto" w:fill="auto"/>
            <w:vAlign w:val="center"/>
          </w:tcPr>
          <w:p>
            <w:pPr>
              <w:jc w:val="center"/>
              <w:rPr>
                <w:sz w:val="18"/>
                <w:szCs w:val="18"/>
              </w:rPr>
            </w:pPr>
            <w:r>
              <w:rPr>
                <w:rFonts w:hint="eastAsia"/>
                <w:sz w:val="18"/>
                <w:szCs w:val="18"/>
              </w:rPr>
              <w:t>20</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呼图壁县应急管理局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2026年支付各类其他刚性资金（非定额）</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胡金宝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19.04</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19.04</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依据《行政单位财务规则》《2025—2026年度大学生志愿服务西部计划实施方案》政策要求，规范实施本项目经费使用与管理，本项目你投入19.04万元。用于足额落实西部志愿者生活补助，保障单位正常运转，通过实施该项目，提高西部志愿者的工作积极性，改善其生活条件，保障单位正常运转，提高服务群众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保障单位职工日常办公损耗人数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＞=50人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=53人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西部志愿者补助发放准确率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default" w:ascii="宋体" w:hAnsi="宋体" w:eastAsia="宋体"/>
                <w:sz w:val="16"/>
                <w:szCs w:val="16"/>
                <w:lang w:val="en-US" w:eastAsia="zh-CN"/>
              </w:rPr>
            </w:pPr>
            <w:r>
              <w:rPr>
                <w:rFonts w:hint="eastAsia" w:ascii="宋体" w:hAnsi="宋体"/>
                <w:sz w:val="16"/>
                <w:szCs w:val="16"/>
                <w:lang w:val="en-US" w:eastAsia="zh-CN"/>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西部志愿者补助及时率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保障西部志愿者生活补助费用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＞=1.60万元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=1.4万元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基层运转费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＜=17.44万元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提升全县优化营商环境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提高</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提高</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西部志愿者满意度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呼图壁县应急管理局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2026年中央安全生产预防和应急救援能力建设补助资金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胡金宝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2,038.40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2,038.40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关于提前下达2026年中央安全生产预防和应急救援能力建设补助资金预算的通知》（昌州财建【2025】131号）文件附带的区域目标，结合呼图壁县实际情况，本项目计划投入2038.4（项目预算）万元用于完成红三沟灭火工程，通过项目的实施，改善当地居民生产生活环境条件，保障人民群众生命财产安全，消除煤田火灾对道路交通的安全威胁，减少土壤的沙漠化和水土流失，改善当地生态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覆盖火区个数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=2个</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覆盖火区面积</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＞=200972㎡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52326</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煤田火区治理覆盖率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火区治理及时率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煤田东火区灭火费用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797万元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煤田西火区灭火费用</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＜=1038.40万元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980万元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每年减少煤炭燃烧损失量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＞=20.40万吨</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每年可减少经济损失</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＞=6120万元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改善空气环境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有效改善</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有效改善</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全县民众满意度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呼图壁县应急管理局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2026年自治区防震减灾‘三网一员’工作</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刘萍莉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2.35</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2.35</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关于提前下达2026年自治区防震减灾“三网一员”工作经费的通知》（昌州财建[2025]121号）文件附带的区域目标，结合呼图壁县实际情况，本项目计划投入2.352（项目预算）万元用于完成观测员补助的发放，通过项目的实施，稳定基层防灾队伍，有效强化群测群防网络对专业监测盲区的覆盖能力，筑牢地震风险防范的人民防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地震灾情速报人员人数（人）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＞=14人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=13人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发放“三网一员”人员补助次数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资金发放准确率（%）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补助资金发放时限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补助发放标准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＜=140元/人/月</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=2400元/人/次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提高民众日常幸福指数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良好</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“三网一员”人员满意度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呼图壁县应急管理局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县级安全生产专项资金（非定额）</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胡金宝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1,000.00</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1,000.00</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根据《呼图壁县安全生产及应急专项资金管理办法（试行）》的通知，结合我单位职能，本项目拟投入1000万元，用于完成安全生产风险防控、隐患排查治理、监管执法保障、等内容，通过实施该项目，提高应急救援处置和全民安全素养水平，健全全域覆盖、全程管控、科技赋能、保障有力的安全生产治理体系，有效防范化解各类安全风险，坚决遏制重特大生产安全事故发生，推动全县安全生产形势持续稳定向好，为县域经济社会高质量发展提供坚实可靠的安全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聘请安全专家次数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＞=100人次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=162人次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宣传教育与培训场次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＞=3场次</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=3场</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应急物资储备种类数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=0种</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重大安全隐患消除率（%）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生产煤矿及生产危化企业隐患排查全覆盖率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安全风险隐患排查治理及时率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聘请专家技术咨询服务</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=56万元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应急救援体系与物资储备建设</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=120万元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安全生产监管执法能力提升投入</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＜=250万元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安全生产宣传教育与培训</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安全风险隐患排查治理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＜=350万元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监管效能提升效益</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服务企业满意度（%）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=95%</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pStyle w:val="4"/>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本部门无其他需说明事项。</w:t>
      </w:r>
    </w:p>
    <w:p>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呼图壁县应急管理局</w:t>
      </w:r>
    </w:p>
    <w:p>
      <w:pPr>
        <w:spacing w:line="560" w:lineRule="exact"/>
        <w:jc w:val="right"/>
        <w:rPr>
          <w:rFonts w:hint="default" w:ascii="仿宋" w:eastAsia="仿宋"/>
          <w:sz w:val="28"/>
          <w:szCs w:val="28"/>
        </w:rPr>
      </w:pPr>
      <w:r>
        <w:rPr>
          <w:rFonts w:hint="eastAsia" w:ascii="仿宋" w:hAnsi="CIDFont+F6" w:eastAsia="仿宋"/>
          <w:color w:val="000000"/>
          <w:sz w:val="28"/>
          <w:szCs w:val="28"/>
        </w:rPr>
        <w:t>2026年2月25日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A8567E"/>
    <w:multiLevelType w:val="multilevel"/>
    <w:tmpl w:val="84A8567E"/>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69A50A52"/>
    <w:multiLevelType w:val="multilevel"/>
    <w:tmpl w:val="69A50A52"/>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BCBC91B"/>
    <w:multiLevelType w:val="multilevel"/>
    <w:tmpl w:val="7BCBC91B"/>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CF53816"/>
    <w:rsid w:val="2EA43912"/>
    <w:rsid w:val="358B0FF0"/>
    <w:rsid w:val="367636DF"/>
    <w:rsid w:val="40930AA4"/>
    <w:rsid w:val="73A238A4"/>
    <w:rsid w:val="747666D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link w:val="13"/>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link w:val="14"/>
    <w:uiPriority w:val="0"/>
    <w:pPr>
      <w:keepNext/>
      <w:keepLines/>
      <w:spacing w:before="260" w:after="260" w:line="416" w:lineRule="auto"/>
      <w:outlineLvl w:val="2"/>
    </w:pPr>
    <w:rPr>
      <w:rFonts w:hint="default" w:ascii="Times New Roman" w:hAnsi="Times New Roman"/>
      <w:b/>
      <w:sz w:val="32"/>
      <w:szCs w:val="32"/>
    </w:rPr>
  </w:style>
  <w:style w:type="character" w:default="1" w:styleId="10">
    <w:name w:val="Default Paragraph Font"/>
    <w:uiPriority w:val="0"/>
  </w:style>
  <w:style w:type="table" w:default="1" w:styleId="8">
    <w:name w:val="Normal Table"/>
    <w:qFormat/>
    <w:uiPriority w:val="0"/>
    <w:rPr>
      <w:lang w:val="en-US" w:eastAsia="zh-CN" w:bidi="ar-SA"/>
    </w:rPr>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link w:val="16"/>
    <w:qFormat/>
    <w:uiPriority w:val="0"/>
    <w:pPr>
      <w:snapToGrid w:val="0"/>
      <w:jc w:val="left"/>
    </w:pPr>
    <w:rPr>
      <w:sz w:val="18"/>
      <w:szCs w:val="18"/>
    </w:rPr>
  </w:style>
  <w:style w:type="paragraph" w:styleId="7">
    <w:name w:val="header"/>
    <w:basedOn w:val="1"/>
    <w:link w:val="15"/>
    <w:qFormat/>
    <w:uiPriority w:val="0"/>
    <w:pPr>
      <w:pBdr>
        <w:bottom w:val="single" w:color="auto" w:sz="6" w:space="1"/>
      </w:pBdr>
      <w:snapToGrid w:val="0"/>
      <w:jc w:val="center"/>
    </w:pPr>
    <w:rPr>
      <w:sz w:val="18"/>
      <w:szCs w:val="18"/>
    </w:rPr>
  </w:style>
  <w:style w:type="table" w:styleId="9">
    <w:name w:val="Table Grid"/>
    <w:basedOn w:val="8"/>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List Paragraph"/>
    <w:basedOn w:val="1"/>
    <w:qFormat/>
    <w:uiPriority w:val="0"/>
    <w:pPr>
      <w:ind w:firstLine="420" w:firstLineChars="200"/>
    </w:pPr>
  </w:style>
  <w:style w:type="character" w:customStyle="1" w:styleId="12">
    <w:name w:val="标题 1 Char"/>
    <w:link w:val="2"/>
    <w:qFormat/>
    <w:uiPriority w:val="0"/>
    <w:rPr>
      <w:rFonts w:hint="default" w:ascii="Times New Roman" w:hAnsi="Times New Roman"/>
      <w:b/>
      <w:kern w:val="44"/>
      <w:sz w:val="44"/>
      <w:szCs w:val="44"/>
    </w:rPr>
  </w:style>
  <w:style w:type="character" w:customStyle="1" w:styleId="13">
    <w:name w:val="标题 2 Char"/>
    <w:link w:val="3"/>
    <w:qFormat/>
    <w:uiPriority w:val="0"/>
    <w:rPr>
      <w:rFonts w:hint="default" w:ascii="Cambria" w:hAnsi="Cambria"/>
      <w:b/>
      <w:kern w:val="2"/>
      <w:sz w:val="32"/>
      <w:szCs w:val="32"/>
    </w:rPr>
  </w:style>
  <w:style w:type="character" w:customStyle="1" w:styleId="14">
    <w:name w:val="标题 3 Char"/>
    <w:link w:val="4"/>
    <w:qFormat/>
    <w:uiPriority w:val="0"/>
    <w:rPr>
      <w:rFonts w:hint="default" w:ascii="Times New Roman" w:hAnsi="Times New Roman"/>
      <w:b/>
      <w:kern w:val="2"/>
      <w:sz w:val="32"/>
      <w:szCs w:val="32"/>
    </w:rPr>
  </w:style>
  <w:style w:type="character" w:customStyle="1" w:styleId="15">
    <w:name w:val="页眉 Char"/>
    <w:link w:val="7"/>
    <w:qFormat/>
    <w:uiPriority w:val="0"/>
    <w:rPr>
      <w:kern w:val="2"/>
      <w:sz w:val="18"/>
      <w:szCs w:val="18"/>
    </w:rPr>
  </w:style>
  <w:style w:type="character" w:customStyle="1" w:styleId="16">
    <w:name w:val="页脚 Char"/>
    <w:link w:val="6"/>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37</Pages>
  <Words>2371</Words>
  <Characters>3664</Characters>
  <Lines>40</Lines>
  <Paragraphs>11</Paragraphs>
  <TotalTime>3</TotalTime>
  <ScaleCrop>false</ScaleCrop>
  <LinksUpToDate>false</LinksUpToDate>
  <CharactersWithSpaces>3978</CharactersWithSpaces>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htbczj</cp:lastModifiedBy>
  <dcterms:modified xsi:type="dcterms:W3CDTF">2026-06-03T02:24:34Z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eyJoZGlkIjoiNzJkNTBlZjBmOTExMTlmY2VhNzY5NTJmODM1YmVlYWQifQ==</vt:lpwstr>
  </property>
  <property fmtid="{D5CDD505-2E9C-101B-9397-08002B2CF9AE}" pid="3" name="KSOProductBuildVer">
    <vt:lpwstr>2052-11.8.2.10154</vt:lpwstr>
  </property>
  <property fmtid="{D5CDD505-2E9C-101B-9397-08002B2CF9AE}" pid="4" name="ICV">
    <vt:lpwstr>71926FE212A7486889C3FAB86FDFF5CA_13</vt:lpwstr>
  </property>
</Properties>
</file>