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2026年呼图壁县林业和草原局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关于呼图壁县林业和草原局2026年收支预算情况的总体说明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关于呼图壁县林业和草原局2026年收入预算情况说明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关于呼图壁县林业和草原局2026年支出预算情况说明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关于呼图壁县林业和草原局2026年财政拨款收支预算情况的总体说明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关于呼图壁县林业和草原局2026年一般公共预算当年拨款情况说明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关于呼图壁县林业和草原局2026年一般公共预算基本支出情况说明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关于呼图壁县林业和草原局2026年一般公共预算项目支出情况说明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关于呼图壁县林业和草原局2026年政府性基金预算拨款情况说明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关于呼图壁县林业和草原局2026年国有资本经营预算拨款情况说明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关于呼图壁县林业和草原局2026年财政拨款“三公”经费预算情况说明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关于呼图壁县林业和草原局2026年财政拨款委托业务费支出情况说明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关于呼图壁县林业和草原局2026年上年结转结余预算情况说明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（一）负责林业和草原及其生态保护修复的监督管理。拟订林业和草原及其生态保护修复的政策、规划、标准并组织实施；组织开展森林、草原、湿地、荒漠和陆生野生动植物资源动态监测与评价。</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组织林业和草原生态保护修复及造林绿化工作。组织实施林业和草原重点生态保护修复工程；指导公益林和商品林的培育；指导、监督全民义务植树、城乡绿化工作；负责林业和草原有害生物防治、检疫工作；承担林业和草原应对气候变化相关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负责森林、草原、湿地资源的监督管理。组织编制并监督执行森林采伐限额，负责林地管理，拟订林地保护利用规划并组织实施，负责国家级公益林划定和管理工作，负责全县森林、草原资源调查以及权限内征占、调查、审批工作，指导国有林区和国有森林资源管理工作；负责草原禁牧、草畜平衡和草原生态修复治理工作，监督管理草原的开发利用；负责湿地生态保护修复工作，拟订湿地保护规划，监督管理湿地的开发利用。</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（四）负责监督管理荒漠化防治工作。组织开展荒漠调查；拟订防沙治沙及沙化土地封禁保护区建设规划并组织实施；监督管理沙化土地的开发利用；组织沙尘暴灾害预防预报和应急处置。</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负责陆生野生动植物资源监督管理。组织开展陆生野生动植物资源调查，研究提出县域内重点保护的野生动物、植物名录调整意见；监督管理陆生野生动植物救护、栖息地恢复发展及野生动物疫源疫病监测、防控、应急处置；监督管理权限内陆生野生动植物猎捕或采集、驯养或培植、经营利用。</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六）负责监督管理各类自然保护地。拟订各类自然保护地规划；负责国家公园、自然保护区、风景名胜区、地质公园、森林公园等设立、规划、建设和特许经营等工作；负责县域内直接行使所有权的自然保护地的自然资源资产管理和国土空间用途管制；提出新建、调整各类自治区级自然保护地的审核建议并按程序报批；组织审核世界自然遗产的申报；会同有关部门审核世界自然与文化双重遗产的申报；负责生物多样性保护相关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负责推进林业和草原改革相关工作。拟订集体林权制度、草原等重大改革意见并监督实施；拟订农村林业发展、维护林业经营者合法权益的政策措施；指导农村林地、草原确权承包经营工作；开展退耕（牧）还林还草，负责天然林保护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（八）拟订林业和草原资源优化配置及木材利用规划；拟订相关林业产业地方发展规划并监督实施；负责林产品质量监督，指导生态帮扶相关工作。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九）监督林草种质资源安全工作。组织林木种子、草种种质资源普查；负责良种选育推广；管理林木种苗、草种生产经营行为，监管林木种苗、草种质量；监督管理林业和草原生物种质资源、转基因生物安全、植物新品种保护。</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负责落实综合防灾减灾规划相关要求，负责行业安全生产相关工作。组织编制森林和草原火灾防治规划并监督实施；组织开展林业和草原防火巡护、火源管理、防火设施建设等工作；组织林区和草原开展宣传教育、监测预警、督促检查等防火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（十一）监督管理林业和草原县本级资金和国有资产。提出林业草原预算内投资、县本级财政专项资金安排建议，按规定权限，审定县本级规划内和年度计划内投资项目；组织实施林业和草原生态补偿工作。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（十二）负责林业和草原科技管理、教育培训、人才队伍建设；承担湿地、防治荒漠化等国际公约履约工作。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（十三）负责林业和草原行政执法、行政应诉，协调、监督行政处罚工作。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（十四）完成县党委、县人民政府交办的其他任务。</w:t>
      </w:r>
    </w:p>
    <w:p>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呼图壁县林业和草原局无下属预算</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w:t>
      </w:r>
    </w:p>
    <w:p>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编制部门：呼图壁县林业和草原局</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lang w:eastAsia="zh-CN"/>
              </w:rPr>
              <w:t>部门</w:t>
            </w:r>
            <w:r>
              <w:rPr>
                <w:rFonts w:hint="eastAsia"/>
                <w:color w:val="00000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2,539.23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1,676.23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625.00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1,051.23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150.75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996.08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w:t>
            </w:r>
            <w:r>
              <w:rPr>
                <w:rFonts w:hint="eastAsia" w:ascii="宋体" w:hAnsi="宋体"/>
                <w:b/>
                <w:color w:val="000000"/>
                <w:sz w:val="18"/>
                <w:szCs w:val="18"/>
                <w:lang w:eastAsia="zh-CN"/>
              </w:rPr>
              <w:t>部门</w:t>
            </w:r>
            <w:r>
              <w:rPr>
                <w:rFonts w:hint="eastAsia" w:ascii="宋体" w:hAnsi="宋体"/>
                <w:b/>
                <w:color w:val="000000"/>
                <w:sz w:val="18"/>
                <w:szCs w:val="18"/>
              </w:rPr>
              <w:t>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863.00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1,609.55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w:t>
            </w:r>
            <w:r>
              <w:rPr>
                <w:rFonts w:hint="eastAsia" w:ascii="宋体" w:hAnsi="宋体"/>
                <w:color w:val="000000"/>
                <w:sz w:val="18"/>
                <w:szCs w:val="18"/>
                <w:lang w:eastAsia="zh-CN"/>
              </w:rPr>
              <w:t>部门</w:t>
            </w:r>
            <w:r>
              <w:rPr>
                <w:rFonts w:hint="eastAsia" w:ascii="宋体" w:hAnsi="宋体"/>
                <w:color w:val="000000"/>
                <w:sz w:val="18"/>
                <w:szCs w:val="18"/>
              </w:rPr>
              <w:t>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w:t>
            </w:r>
            <w:r>
              <w:rPr>
                <w:rFonts w:hint="eastAsia" w:ascii="宋体" w:hAnsi="宋体"/>
                <w:color w:val="000000"/>
                <w:sz w:val="18"/>
                <w:szCs w:val="18"/>
                <w:lang w:eastAsia="zh-CN"/>
              </w:rPr>
              <w:t>部门</w:t>
            </w:r>
            <w:r>
              <w:rPr>
                <w:rFonts w:hint="eastAsia" w:ascii="宋体" w:hAnsi="宋体"/>
                <w:color w:val="000000"/>
                <w:sz w:val="18"/>
                <w:szCs w:val="18"/>
              </w:rPr>
              <w:t>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863.00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400.95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400.95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400.95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w:t>
            </w:r>
            <w:r>
              <w:rPr>
                <w:rFonts w:hint="eastAsia" w:ascii="宋体" w:hAnsi="宋体"/>
                <w:color w:val="000000"/>
                <w:sz w:val="18"/>
                <w:szCs w:val="18"/>
                <w:lang w:eastAsia="zh-CN"/>
              </w:rPr>
              <w:t>部门</w:t>
            </w:r>
            <w:r>
              <w:rPr>
                <w:rFonts w:hint="eastAsia" w:ascii="宋体" w:hAnsi="宋体"/>
                <w:color w:val="000000"/>
                <w:sz w:val="18"/>
                <w:szCs w:val="18"/>
              </w:rPr>
              <w:t>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2,940.18</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2,940.18</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编制部门：呼图壁县林业和草原局</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lang w:eastAsia="zh-CN"/>
              </w:rPr>
              <w:t>部门</w:t>
            </w:r>
            <w:r>
              <w:rPr>
                <w:rFonts w:hint="eastAsia"/>
                <w:color w:val="00000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lang w:eastAsia="zh-CN"/>
              </w:rPr>
              <w:t>部门</w:t>
            </w:r>
            <w:r>
              <w:rPr>
                <w:rFonts w:hint="eastAsia" w:ascii="宋体" w:hAnsi="宋体"/>
                <w:sz w:val="18"/>
                <w:szCs w:val="18"/>
              </w:rPr>
              <w:t>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150.75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100.75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100.75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w:t>
            </w:r>
            <w:r>
              <w:rPr>
                <w:rFonts w:hint="eastAsia" w:ascii="宋体" w:hAnsi="宋体"/>
                <w:b/>
                <w:color w:val="000000"/>
                <w:sz w:val="15"/>
                <w:szCs w:val="15"/>
                <w:lang w:eastAsia="zh-CN"/>
              </w:rPr>
              <w:t>部门</w:t>
            </w:r>
            <w:r>
              <w:rPr>
                <w:rFonts w:hint="eastAsia" w:ascii="宋体" w:hAnsi="宋体"/>
                <w:b/>
                <w:color w:val="000000"/>
                <w:sz w:val="15"/>
                <w:szCs w:val="15"/>
              </w:rPr>
              <w:t>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150.75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100.75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100.75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w:t>
            </w:r>
            <w:r>
              <w:rPr>
                <w:rFonts w:hint="eastAsia" w:ascii="宋体" w:hAnsi="宋体"/>
                <w:color w:val="000000"/>
                <w:sz w:val="15"/>
                <w:szCs w:val="15"/>
                <w:lang w:eastAsia="zh-CN"/>
              </w:rPr>
              <w:t>部门</w:t>
            </w:r>
            <w:r>
              <w:rPr>
                <w:rFonts w:hint="eastAsia" w:ascii="宋体" w:hAnsi="宋体"/>
                <w:color w:val="000000"/>
                <w:sz w:val="15"/>
                <w:szCs w:val="15"/>
              </w:rPr>
              <w:t>离退休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18.60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18.60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18.60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w:t>
            </w:r>
            <w:r>
              <w:rPr>
                <w:rFonts w:hint="eastAsia" w:ascii="宋体" w:hAnsi="宋体"/>
                <w:color w:val="000000"/>
                <w:sz w:val="15"/>
                <w:szCs w:val="15"/>
                <w:lang w:eastAsia="zh-CN"/>
              </w:rPr>
              <w:t>部门</w:t>
            </w:r>
            <w:r>
              <w:rPr>
                <w:rFonts w:hint="eastAsia" w:ascii="宋体" w:hAnsi="宋体"/>
                <w:color w:val="000000"/>
                <w:sz w:val="15"/>
                <w:szCs w:val="15"/>
              </w:rPr>
              <w:t>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74.76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54.76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54.76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w:t>
            </w:r>
            <w:r>
              <w:rPr>
                <w:rFonts w:hint="eastAsia" w:ascii="宋体" w:hAnsi="宋体"/>
                <w:color w:val="000000"/>
                <w:sz w:val="15"/>
                <w:szCs w:val="15"/>
                <w:lang w:eastAsia="zh-CN"/>
              </w:rPr>
              <w:t>部门</w:t>
            </w:r>
            <w:r>
              <w:rPr>
                <w:rFonts w:hint="eastAsia" w:ascii="宋体" w:hAnsi="宋体"/>
                <w:color w:val="000000"/>
                <w:sz w:val="15"/>
                <w:szCs w:val="15"/>
              </w:rPr>
              <w:t>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57.38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27.38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27.38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77.55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46.55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46.55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31.00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w:t>
            </w:r>
            <w:r>
              <w:rPr>
                <w:rFonts w:hint="eastAsia" w:ascii="宋体" w:hAnsi="宋体"/>
                <w:b/>
                <w:color w:val="000000"/>
                <w:sz w:val="15"/>
                <w:szCs w:val="15"/>
                <w:lang w:eastAsia="zh-CN"/>
              </w:rPr>
              <w:t>部门</w:t>
            </w:r>
            <w:r>
              <w:rPr>
                <w:rFonts w:hint="eastAsia" w:ascii="宋体" w:hAnsi="宋体"/>
                <w:b/>
                <w:color w:val="000000"/>
                <w:sz w:val="15"/>
                <w:szCs w:val="15"/>
              </w:rPr>
              <w:t>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77.55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46.55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46.55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31.00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w:t>
            </w:r>
            <w:r>
              <w:rPr>
                <w:rFonts w:hint="eastAsia" w:ascii="宋体" w:hAnsi="宋体"/>
                <w:color w:val="000000"/>
                <w:sz w:val="15"/>
                <w:szCs w:val="15"/>
                <w:lang w:eastAsia="zh-CN"/>
              </w:rPr>
              <w:t>部门</w:t>
            </w:r>
            <w:r>
              <w:rPr>
                <w:rFonts w:hint="eastAsia" w:ascii="宋体" w:hAnsi="宋体"/>
                <w:color w:val="000000"/>
                <w:sz w:val="15"/>
                <w:szCs w:val="15"/>
              </w:rPr>
              <w:t>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20.76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10.76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10.76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w:t>
            </w:r>
            <w:r>
              <w:rPr>
                <w:rFonts w:hint="eastAsia" w:ascii="宋体" w:hAnsi="宋体"/>
                <w:color w:val="000000"/>
                <w:sz w:val="15"/>
                <w:szCs w:val="15"/>
                <w:lang w:eastAsia="zh-CN"/>
              </w:rPr>
              <w:t>部门</w:t>
            </w:r>
            <w:r>
              <w:rPr>
                <w:rFonts w:hint="eastAsia" w:ascii="宋体" w:hAnsi="宋体"/>
                <w:color w:val="000000"/>
                <w:sz w:val="15"/>
                <w:szCs w:val="15"/>
              </w:rPr>
              <w:t>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31.75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21.75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21.75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23.69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13.69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13.69</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w:t>
            </w:r>
            <w:r>
              <w:rPr>
                <w:rFonts w:hint="eastAsia" w:ascii="宋体" w:hAnsi="宋体"/>
                <w:color w:val="000000"/>
                <w:sz w:val="15"/>
                <w:szCs w:val="15"/>
                <w:lang w:eastAsia="zh-CN"/>
              </w:rPr>
              <w:t>部门</w:t>
            </w:r>
            <w:r>
              <w:rPr>
                <w:rFonts w:hint="eastAsia" w:ascii="宋体" w:hAnsi="宋体"/>
                <w:color w:val="000000"/>
                <w:sz w:val="15"/>
                <w:szCs w:val="15"/>
              </w:rPr>
              <w:t>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0.34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0.34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节能环保支出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996.08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626.63</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626.63</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369.45</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04</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自然生态保护</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0.57</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0.57</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生物及物种资源保护</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0.57</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0.57</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森林保护修复</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907.09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626.63</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626.63</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280.46</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森林管护</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907.09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626.63</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626.63</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280.46</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07</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风沙荒漠治理</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88.42</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88.42</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07</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其他风沙荒漠治理支出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88.42</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88.42</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农林水支出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1,609.55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856.06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431.46</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424.60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722.00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31.49</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农业农村</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0.65</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0.65</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农业生态资源保护</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0.65</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0.65</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林业和草原</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1,608.90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856.06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431.46</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424.60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722.00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30.84</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311.64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159.64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159.64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152.00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505.57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11.56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11.56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494.00</w:t>
            </w: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0.01</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事业机构</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336.26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260.26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260.26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76.00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产业化管理</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15.00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34</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林业草原防灾减灾</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18.27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12.00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6.27</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草原管理</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0.20</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38</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退耕还林还草</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421.96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397.60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397.60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24.36</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106.25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46.25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46.25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106.25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46.25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46.25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106.25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46.25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46.25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2,940.18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1,676.23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625.00</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1,051.23</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863.00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400.95</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编制部门：呼图壁县林业和草原局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lang w:eastAsia="zh-CN"/>
              </w:rPr>
              <w:t>部门</w:t>
            </w:r>
            <w:r>
              <w:rPr>
                <w:rFonts w:hint="eastAsia"/>
                <w:color w:val="00000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150.75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150.75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w:t>
            </w:r>
            <w:r>
              <w:rPr>
                <w:rFonts w:hint="eastAsia" w:ascii="宋体" w:hAnsi="宋体"/>
                <w:b/>
                <w:color w:val="000000"/>
                <w:sz w:val="18"/>
                <w:szCs w:val="18"/>
                <w:lang w:eastAsia="zh-CN"/>
              </w:rPr>
              <w:t>部门</w:t>
            </w:r>
            <w:r>
              <w:rPr>
                <w:rFonts w:hint="eastAsia" w:ascii="宋体" w:hAnsi="宋体"/>
                <w:b/>
                <w:color w:val="000000"/>
                <w:sz w:val="18"/>
                <w:szCs w:val="18"/>
              </w:rPr>
              <w:t>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150.75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150.75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w:t>
            </w:r>
            <w:r>
              <w:rPr>
                <w:rFonts w:hint="eastAsia" w:ascii="宋体" w:hAnsi="宋体"/>
                <w:color w:val="000000"/>
                <w:sz w:val="18"/>
                <w:szCs w:val="18"/>
                <w:lang w:eastAsia="zh-CN"/>
              </w:rPr>
              <w:t>部门</w:t>
            </w:r>
            <w:r>
              <w:rPr>
                <w:rFonts w:hint="eastAsia" w:ascii="宋体" w:hAnsi="宋体"/>
                <w:color w:val="000000"/>
                <w:sz w:val="18"/>
                <w:szCs w:val="18"/>
              </w:rPr>
              <w:t>离退休</w:t>
            </w:r>
          </w:p>
        </w:tc>
        <w:tc>
          <w:tcPr>
            <w:tcW w:w="340" w:type="dxa"/>
            <w:shd w:val="clear" w:color="auto" w:fill="auto"/>
            <w:vAlign w:val="center"/>
          </w:tcPr>
          <w:p>
            <w:pPr>
              <w:jc w:val="right"/>
              <w:rPr>
                <w:sz w:val="18"/>
                <w:szCs w:val="18"/>
              </w:rPr>
            </w:pPr>
            <w:r>
              <w:rPr>
                <w:rFonts w:hint="eastAsia" w:ascii="宋体" w:hAnsi="宋体"/>
                <w:color w:val="000000"/>
                <w:sz w:val="18"/>
                <w:szCs w:val="18"/>
              </w:rPr>
              <w:t>18.60</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18.60</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w:t>
            </w:r>
            <w:r>
              <w:rPr>
                <w:rFonts w:hint="eastAsia" w:ascii="宋体" w:hAnsi="宋体"/>
                <w:color w:val="000000"/>
                <w:sz w:val="18"/>
                <w:szCs w:val="18"/>
                <w:lang w:eastAsia="zh-CN"/>
              </w:rPr>
              <w:t>部门</w:t>
            </w:r>
            <w:r>
              <w:rPr>
                <w:rFonts w:hint="eastAsia" w:ascii="宋体" w:hAnsi="宋体"/>
                <w:color w:val="000000"/>
                <w:sz w:val="18"/>
                <w:szCs w:val="18"/>
              </w:rPr>
              <w:t>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74.76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74.76</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w:t>
            </w:r>
            <w:r>
              <w:rPr>
                <w:rFonts w:hint="eastAsia" w:ascii="宋体" w:hAnsi="宋体"/>
                <w:color w:val="000000"/>
                <w:sz w:val="18"/>
                <w:szCs w:val="18"/>
                <w:lang w:eastAsia="zh-CN"/>
              </w:rPr>
              <w:t>部门</w:t>
            </w:r>
            <w:r>
              <w:rPr>
                <w:rFonts w:hint="eastAsia" w:ascii="宋体" w:hAnsi="宋体"/>
                <w:color w:val="000000"/>
                <w:sz w:val="18"/>
                <w:szCs w:val="18"/>
              </w:rPr>
              <w:t>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57.38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57.38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77.55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77.55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w:t>
            </w:r>
            <w:r>
              <w:rPr>
                <w:rFonts w:hint="eastAsia" w:ascii="宋体" w:hAnsi="宋体"/>
                <w:b/>
                <w:color w:val="000000"/>
                <w:sz w:val="18"/>
                <w:szCs w:val="18"/>
                <w:lang w:eastAsia="zh-CN"/>
              </w:rPr>
              <w:t>部门</w:t>
            </w:r>
            <w:r>
              <w:rPr>
                <w:rFonts w:hint="eastAsia" w:ascii="宋体" w:hAnsi="宋体"/>
                <w:b/>
                <w:color w:val="000000"/>
                <w:sz w:val="18"/>
                <w:szCs w:val="18"/>
              </w:rPr>
              <w:t>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77.55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77.55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w:t>
            </w:r>
            <w:r>
              <w:rPr>
                <w:rFonts w:hint="eastAsia" w:ascii="宋体" w:hAnsi="宋体"/>
                <w:color w:val="000000"/>
                <w:sz w:val="18"/>
                <w:szCs w:val="18"/>
                <w:lang w:eastAsia="zh-CN"/>
              </w:rPr>
              <w:t>部门</w:t>
            </w:r>
            <w:r>
              <w:rPr>
                <w:rFonts w:hint="eastAsia" w:ascii="宋体" w:hAnsi="宋体"/>
                <w:color w:val="000000"/>
                <w:sz w:val="18"/>
                <w:szCs w:val="18"/>
              </w:rPr>
              <w:t>医疗</w:t>
            </w:r>
          </w:p>
        </w:tc>
        <w:tc>
          <w:tcPr>
            <w:tcW w:w="340" w:type="dxa"/>
            <w:shd w:val="clear" w:color="auto" w:fill="auto"/>
            <w:vAlign w:val="center"/>
          </w:tcPr>
          <w:p>
            <w:pPr>
              <w:jc w:val="right"/>
              <w:rPr>
                <w:sz w:val="18"/>
                <w:szCs w:val="18"/>
              </w:rPr>
            </w:pPr>
            <w:r>
              <w:rPr>
                <w:rFonts w:hint="eastAsia" w:ascii="宋体" w:hAnsi="宋体"/>
                <w:color w:val="000000"/>
                <w:sz w:val="18"/>
                <w:szCs w:val="18"/>
              </w:rPr>
              <w:t>20.76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20.76</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w:t>
            </w:r>
            <w:r>
              <w:rPr>
                <w:rFonts w:hint="eastAsia" w:ascii="宋体" w:hAnsi="宋体"/>
                <w:color w:val="000000"/>
                <w:sz w:val="18"/>
                <w:szCs w:val="18"/>
                <w:lang w:eastAsia="zh-CN"/>
              </w:rPr>
              <w:t>部门</w:t>
            </w:r>
            <w:r>
              <w:rPr>
                <w:rFonts w:hint="eastAsia" w:ascii="宋体" w:hAnsi="宋体"/>
                <w:color w:val="000000"/>
                <w:sz w:val="18"/>
                <w:szCs w:val="18"/>
              </w:rPr>
              <w:t>医疗</w:t>
            </w:r>
          </w:p>
        </w:tc>
        <w:tc>
          <w:tcPr>
            <w:tcW w:w="340" w:type="dxa"/>
            <w:shd w:val="clear" w:color="auto" w:fill="auto"/>
            <w:vAlign w:val="center"/>
          </w:tcPr>
          <w:p>
            <w:pPr>
              <w:jc w:val="right"/>
              <w:rPr>
                <w:sz w:val="18"/>
                <w:szCs w:val="18"/>
              </w:rPr>
            </w:pPr>
            <w:r>
              <w:rPr>
                <w:rFonts w:hint="eastAsia" w:ascii="宋体" w:hAnsi="宋体"/>
                <w:color w:val="000000"/>
                <w:sz w:val="18"/>
                <w:szCs w:val="18"/>
              </w:rPr>
              <w:t>31.75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31.75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23.69</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23.69</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w:t>
            </w:r>
            <w:r>
              <w:rPr>
                <w:rFonts w:hint="eastAsia" w:ascii="宋体" w:hAnsi="宋体"/>
                <w:color w:val="000000"/>
                <w:sz w:val="18"/>
                <w:szCs w:val="18"/>
                <w:lang w:eastAsia="zh-CN"/>
              </w:rPr>
              <w:t>部门</w:t>
            </w:r>
            <w:r>
              <w:rPr>
                <w:rFonts w:hint="eastAsia" w:ascii="宋体" w:hAnsi="宋体"/>
                <w:color w:val="000000"/>
                <w:sz w:val="18"/>
                <w:szCs w:val="18"/>
              </w:rPr>
              <w:t>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1.34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1.34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节能环保支出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996.08</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996.08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04</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自然生态保护</w:t>
            </w:r>
          </w:p>
        </w:tc>
        <w:tc>
          <w:tcPr>
            <w:tcW w:w="340" w:type="dxa"/>
            <w:shd w:val="clear" w:color="auto" w:fill="auto"/>
            <w:vAlign w:val="center"/>
          </w:tcPr>
          <w:p>
            <w:pPr>
              <w:jc w:val="right"/>
              <w:rPr>
                <w:b/>
                <w:sz w:val="18"/>
                <w:szCs w:val="18"/>
              </w:rPr>
            </w:pPr>
            <w:r>
              <w:rPr>
                <w:rFonts w:hint="eastAsia" w:ascii="宋体" w:hAnsi="宋体"/>
                <w:b/>
                <w:color w:val="000000"/>
                <w:sz w:val="18"/>
                <w:szCs w:val="18"/>
              </w:rPr>
              <w:t>0.57</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生物及物种资源保护</w:t>
            </w:r>
          </w:p>
        </w:tc>
        <w:tc>
          <w:tcPr>
            <w:tcW w:w="340" w:type="dxa"/>
            <w:shd w:val="clear" w:color="auto" w:fill="auto"/>
            <w:vAlign w:val="center"/>
          </w:tcPr>
          <w:p>
            <w:pPr>
              <w:jc w:val="right"/>
              <w:rPr>
                <w:sz w:val="18"/>
                <w:szCs w:val="18"/>
              </w:rPr>
            </w:pPr>
            <w:r>
              <w:rPr>
                <w:rFonts w:hint="eastAsia" w:ascii="宋体" w:hAnsi="宋体"/>
                <w:color w:val="000000"/>
                <w:sz w:val="18"/>
                <w:szCs w:val="18"/>
              </w:rPr>
              <w:t>0.57</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森林保护修复</w:t>
            </w:r>
          </w:p>
        </w:tc>
        <w:tc>
          <w:tcPr>
            <w:tcW w:w="340" w:type="dxa"/>
            <w:shd w:val="clear" w:color="auto" w:fill="auto"/>
            <w:vAlign w:val="center"/>
          </w:tcPr>
          <w:p>
            <w:pPr>
              <w:jc w:val="right"/>
              <w:rPr>
                <w:b/>
                <w:sz w:val="18"/>
                <w:szCs w:val="18"/>
              </w:rPr>
            </w:pPr>
            <w:r>
              <w:rPr>
                <w:rFonts w:hint="eastAsia" w:ascii="宋体" w:hAnsi="宋体"/>
                <w:b/>
                <w:color w:val="000000"/>
                <w:sz w:val="18"/>
                <w:szCs w:val="18"/>
              </w:rPr>
              <w:t>907.09</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907.09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森林管护</w:t>
            </w:r>
          </w:p>
        </w:tc>
        <w:tc>
          <w:tcPr>
            <w:tcW w:w="340" w:type="dxa"/>
            <w:shd w:val="clear" w:color="auto" w:fill="auto"/>
            <w:vAlign w:val="center"/>
          </w:tcPr>
          <w:p>
            <w:pPr>
              <w:jc w:val="right"/>
              <w:rPr>
                <w:sz w:val="18"/>
                <w:szCs w:val="18"/>
              </w:rPr>
            </w:pPr>
            <w:r>
              <w:rPr>
                <w:rFonts w:hint="eastAsia" w:ascii="宋体" w:hAnsi="宋体"/>
                <w:color w:val="000000"/>
                <w:sz w:val="18"/>
                <w:szCs w:val="18"/>
              </w:rPr>
              <w:t>907.09</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907.09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07</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风沙荒漠治理</w:t>
            </w:r>
          </w:p>
        </w:tc>
        <w:tc>
          <w:tcPr>
            <w:tcW w:w="340" w:type="dxa"/>
            <w:shd w:val="clear" w:color="auto" w:fill="auto"/>
            <w:vAlign w:val="center"/>
          </w:tcPr>
          <w:p>
            <w:pPr>
              <w:jc w:val="right"/>
              <w:rPr>
                <w:b/>
                <w:sz w:val="18"/>
                <w:szCs w:val="18"/>
              </w:rPr>
            </w:pPr>
            <w:r>
              <w:rPr>
                <w:rFonts w:hint="eastAsia" w:ascii="宋体" w:hAnsi="宋体"/>
                <w:b/>
                <w:color w:val="000000"/>
                <w:sz w:val="18"/>
                <w:szCs w:val="18"/>
              </w:rPr>
              <w:t>88.42</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88.42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07</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其他风沙荒漠治理支出</w:t>
            </w:r>
          </w:p>
        </w:tc>
        <w:tc>
          <w:tcPr>
            <w:tcW w:w="340" w:type="dxa"/>
            <w:shd w:val="clear" w:color="auto" w:fill="auto"/>
            <w:vAlign w:val="center"/>
          </w:tcPr>
          <w:p>
            <w:pPr>
              <w:jc w:val="right"/>
              <w:rPr>
                <w:sz w:val="18"/>
                <w:szCs w:val="18"/>
              </w:rPr>
            </w:pPr>
            <w:r>
              <w:rPr>
                <w:rFonts w:hint="eastAsia" w:ascii="宋体" w:hAnsi="宋体"/>
                <w:color w:val="000000"/>
                <w:sz w:val="18"/>
                <w:szCs w:val="18"/>
              </w:rPr>
              <w:t>88.42</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88.42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农林水支出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1,609.55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647.90</w:t>
            </w:r>
          </w:p>
        </w:tc>
        <w:tc>
          <w:tcPr>
            <w:tcW w:w="340" w:type="dxa"/>
            <w:shd w:val="clear" w:color="auto" w:fill="auto"/>
            <w:vAlign w:val="center"/>
          </w:tcPr>
          <w:p>
            <w:pPr>
              <w:jc w:val="right"/>
              <w:rPr>
                <w:b/>
                <w:sz w:val="18"/>
                <w:szCs w:val="18"/>
              </w:rPr>
            </w:pPr>
            <w:r>
              <w:rPr>
                <w:rFonts w:hint="eastAsia" w:ascii="宋体" w:hAnsi="宋体"/>
                <w:b/>
                <w:color w:val="000000"/>
                <w:sz w:val="18"/>
                <w:szCs w:val="18"/>
              </w:rPr>
              <w:t>961.65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农业农村</w:t>
            </w:r>
          </w:p>
        </w:tc>
        <w:tc>
          <w:tcPr>
            <w:tcW w:w="340" w:type="dxa"/>
            <w:shd w:val="clear" w:color="auto" w:fill="auto"/>
            <w:vAlign w:val="center"/>
          </w:tcPr>
          <w:p>
            <w:pPr>
              <w:jc w:val="right"/>
              <w:rPr>
                <w:b/>
                <w:sz w:val="18"/>
                <w:szCs w:val="18"/>
              </w:rPr>
            </w:pPr>
            <w:r>
              <w:rPr>
                <w:rFonts w:hint="eastAsia" w:ascii="宋体" w:hAnsi="宋体"/>
                <w:b/>
                <w:color w:val="000000"/>
                <w:sz w:val="18"/>
                <w:szCs w:val="18"/>
              </w:rPr>
              <w:t>0.65</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农业生态资源保护</w:t>
            </w:r>
          </w:p>
        </w:tc>
        <w:tc>
          <w:tcPr>
            <w:tcW w:w="340" w:type="dxa"/>
            <w:shd w:val="clear" w:color="auto" w:fill="auto"/>
            <w:vAlign w:val="center"/>
          </w:tcPr>
          <w:p>
            <w:pPr>
              <w:jc w:val="right"/>
              <w:rPr>
                <w:sz w:val="18"/>
                <w:szCs w:val="18"/>
              </w:rPr>
            </w:pPr>
            <w:r>
              <w:rPr>
                <w:rFonts w:hint="eastAsia" w:ascii="宋体" w:hAnsi="宋体"/>
                <w:color w:val="000000"/>
                <w:sz w:val="18"/>
                <w:szCs w:val="18"/>
              </w:rPr>
              <w:t>0.65</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林业和草原</w:t>
            </w:r>
          </w:p>
        </w:tc>
        <w:tc>
          <w:tcPr>
            <w:tcW w:w="340" w:type="dxa"/>
            <w:shd w:val="clear" w:color="auto" w:fill="auto"/>
            <w:vAlign w:val="center"/>
          </w:tcPr>
          <w:p>
            <w:pPr>
              <w:jc w:val="right"/>
              <w:rPr>
                <w:b/>
                <w:sz w:val="18"/>
                <w:szCs w:val="18"/>
              </w:rPr>
            </w:pPr>
            <w:r>
              <w:rPr>
                <w:rFonts w:hint="eastAsia" w:ascii="宋体" w:hAnsi="宋体"/>
                <w:b/>
                <w:color w:val="000000"/>
                <w:sz w:val="18"/>
                <w:szCs w:val="18"/>
              </w:rPr>
              <w:t>1,608.90</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647.90</w:t>
            </w:r>
          </w:p>
        </w:tc>
        <w:tc>
          <w:tcPr>
            <w:tcW w:w="340" w:type="dxa"/>
            <w:shd w:val="clear" w:color="auto" w:fill="auto"/>
            <w:vAlign w:val="center"/>
          </w:tcPr>
          <w:p>
            <w:pPr>
              <w:jc w:val="right"/>
              <w:rPr>
                <w:b/>
                <w:sz w:val="18"/>
                <w:szCs w:val="18"/>
              </w:rPr>
            </w:pPr>
            <w:r>
              <w:rPr>
                <w:rFonts w:hint="eastAsia" w:ascii="宋体" w:hAnsi="宋体"/>
                <w:b/>
                <w:color w:val="000000"/>
                <w:sz w:val="18"/>
                <w:szCs w:val="18"/>
              </w:rPr>
              <w:t>961.00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311.64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311.64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r>
              <w:rPr>
                <w:rFonts w:hint="eastAsia" w:ascii="宋体" w:hAnsi="宋体"/>
                <w:color w:val="000000"/>
                <w:sz w:val="18"/>
                <w:szCs w:val="18"/>
              </w:rPr>
              <w:t>505.57</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505.57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事业机构</w:t>
            </w:r>
          </w:p>
        </w:tc>
        <w:tc>
          <w:tcPr>
            <w:tcW w:w="340" w:type="dxa"/>
            <w:shd w:val="clear" w:color="auto" w:fill="auto"/>
            <w:vAlign w:val="center"/>
          </w:tcPr>
          <w:p>
            <w:pPr>
              <w:jc w:val="right"/>
              <w:rPr>
                <w:sz w:val="18"/>
                <w:szCs w:val="18"/>
              </w:rPr>
            </w:pPr>
            <w:r>
              <w:rPr>
                <w:rFonts w:hint="eastAsia" w:ascii="宋体" w:hAnsi="宋体"/>
                <w:color w:val="000000"/>
                <w:sz w:val="18"/>
                <w:szCs w:val="18"/>
              </w:rPr>
              <w:t>336.26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336.26</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产业化管理</w:t>
            </w:r>
          </w:p>
        </w:tc>
        <w:tc>
          <w:tcPr>
            <w:tcW w:w="340" w:type="dxa"/>
            <w:shd w:val="clear" w:color="auto" w:fill="auto"/>
            <w:vAlign w:val="center"/>
          </w:tcPr>
          <w:p>
            <w:pPr>
              <w:jc w:val="right"/>
              <w:rPr>
                <w:sz w:val="18"/>
                <w:szCs w:val="18"/>
              </w:rPr>
            </w:pPr>
            <w:r>
              <w:rPr>
                <w:rFonts w:hint="eastAsia" w:ascii="宋体" w:hAnsi="宋体"/>
                <w:color w:val="000000"/>
                <w:sz w:val="18"/>
                <w:szCs w:val="18"/>
              </w:rPr>
              <w:t>15.00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34</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林业草原防灾减灾</w:t>
            </w:r>
          </w:p>
        </w:tc>
        <w:tc>
          <w:tcPr>
            <w:tcW w:w="340" w:type="dxa"/>
            <w:shd w:val="clear" w:color="auto" w:fill="auto"/>
            <w:vAlign w:val="center"/>
          </w:tcPr>
          <w:p>
            <w:pPr>
              <w:jc w:val="right"/>
              <w:rPr>
                <w:sz w:val="18"/>
                <w:szCs w:val="18"/>
              </w:rPr>
            </w:pPr>
            <w:r>
              <w:rPr>
                <w:rFonts w:hint="eastAsia" w:ascii="宋体" w:hAnsi="宋体"/>
                <w:color w:val="000000"/>
                <w:sz w:val="18"/>
                <w:szCs w:val="18"/>
              </w:rPr>
              <w:t>18.27</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草原管理</w:t>
            </w:r>
          </w:p>
        </w:tc>
        <w:tc>
          <w:tcPr>
            <w:tcW w:w="340" w:type="dxa"/>
            <w:shd w:val="clear" w:color="auto" w:fill="auto"/>
            <w:vAlign w:val="center"/>
          </w:tcPr>
          <w:p>
            <w:pPr>
              <w:jc w:val="right"/>
              <w:rPr>
                <w:sz w:val="18"/>
                <w:szCs w:val="18"/>
              </w:rPr>
            </w:pPr>
            <w:r>
              <w:rPr>
                <w:rFonts w:hint="eastAsia" w:ascii="宋体" w:hAnsi="宋体"/>
                <w:color w:val="000000"/>
                <w:sz w:val="18"/>
                <w:szCs w:val="18"/>
              </w:rPr>
              <w:t>0.20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38</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退耕还林还草</w:t>
            </w:r>
          </w:p>
        </w:tc>
        <w:tc>
          <w:tcPr>
            <w:tcW w:w="340" w:type="dxa"/>
            <w:shd w:val="clear" w:color="auto" w:fill="auto"/>
            <w:vAlign w:val="center"/>
          </w:tcPr>
          <w:p>
            <w:pPr>
              <w:jc w:val="right"/>
              <w:rPr>
                <w:sz w:val="18"/>
                <w:szCs w:val="18"/>
              </w:rPr>
            </w:pPr>
            <w:r>
              <w:rPr>
                <w:rFonts w:hint="eastAsia" w:ascii="宋体" w:hAnsi="宋体"/>
                <w:color w:val="000000"/>
                <w:sz w:val="18"/>
                <w:szCs w:val="18"/>
              </w:rPr>
              <w:t>421.96</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421.96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106.25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106.25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106.25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106.25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106.25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106.25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2,940.18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982.44</w:t>
            </w:r>
          </w:p>
        </w:tc>
        <w:tc>
          <w:tcPr>
            <w:tcW w:w="340" w:type="dxa"/>
            <w:shd w:val="clear" w:color="auto" w:fill="auto"/>
            <w:vAlign w:val="center"/>
          </w:tcPr>
          <w:p>
            <w:pPr>
              <w:jc w:val="right"/>
              <w:rPr>
                <w:b/>
                <w:sz w:val="18"/>
                <w:szCs w:val="18"/>
              </w:rPr>
            </w:pPr>
            <w:r>
              <w:rPr>
                <w:rFonts w:hint="eastAsia" w:ascii="宋体" w:hAnsi="宋体"/>
                <w:b/>
                <w:color w:val="000000"/>
                <w:sz w:val="18"/>
                <w:szCs w:val="18"/>
              </w:rPr>
              <w:t>1,957.74</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编制部门：呼图壁县林业和草原局</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lang w:eastAsia="zh-CN"/>
              </w:rPr>
              <w:t>部门</w:t>
            </w:r>
            <w:r>
              <w:rPr>
                <w:rFonts w:hint="eastAsia"/>
                <w:color w:val="00000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1,676.23</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1,676.23</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100.75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100.75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46.55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46.55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626.63</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626.63</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856.06</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856.06</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46.25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46.25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1,676.23</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1,676.23</w:t>
            </w:r>
          </w:p>
        </w:tc>
        <w:tc>
          <w:tcPr>
            <w:tcW w:w="1063" w:type="dxa"/>
            <w:gridSpan w:val="2"/>
            <w:shd w:val="clear" w:color="auto" w:fill="auto"/>
          </w:tcPr>
          <w:p>
            <w:pPr>
              <w:jc w:val="right"/>
              <w:rPr>
                <w:sz w:val="18"/>
                <w:szCs w:val="18"/>
              </w:rPr>
            </w:pPr>
            <w:r>
              <w:rPr>
                <w:rFonts w:hint="eastAsia" w:ascii="宋体" w:hAnsi="宋体"/>
                <w:b/>
                <w:color w:val="000000"/>
                <w:sz w:val="18"/>
                <w:szCs w:val="18"/>
              </w:rPr>
              <w:t>1,676.23</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编制部门：呼图壁县林业和草原局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lang w:eastAsia="zh-CN"/>
              </w:rPr>
              <w:t>部门</w:t>
            </w:r>
            <w:r>
              <w:rPr>
                <w:rFonts w:hint="eastAsia"/>
                <w:color w:val="00000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100.75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100.75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w:t>
            </w:r>
            <w:r>
              <w:rPr>
                <w:rFonts w:hint="eastAsia" w:ascii="宋体" w:hAnsi="宋体"/>
                <w:b/>
                <w:color w:val="000000"/>
                <w:sz w:val="18"/>
                <w:szCs w:val="18"/>
                <w:lang w:eastAsia="zh-CN"/>
              </w:rPr>
              <w:t>部门</w:t>
            </w:r>
            <w:r>
              <w:rPr>
                <w:rFonts w:hint="eastAsia" w:ascii="宋体" w:hAnsi="宋体"/>
                <w:b/>
                <w:color w:val="000000"/>
                <w:sz w:val="18"/>
                <w:szCs w:val="18"/>
              </w:rPr>
              <w:t>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100.75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100.75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w:t>
            </w:r>
            <w:r>
              <w:rPr>
                <w:rFonts w:hint="eastAsia" w:ascii="宋体" w:hAnsi="宋体"/>
                <w:color w:val="000000"/>
                <w:sz w:val="18"/>
                <w:szCs w:val="18"/>
                <w:lang w:eastAsia="zh-CN"/>
              </w:rPr>
              <w:t>部门</w:t>
            </w:r>
            <w:r>
              <w:rPr>
                <w:rFonts w:hint="eastAsia" w:ascii="宋体" w:hAnsi="宋体"/>
                <w:color w:val="000000"/>
                <w:sz w:val="18"/>
                <w:szCs w:val="18"/>
              </w:rPr>
              <w:t>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18.60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18.60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w:t>
            </w:r>
            <w:r>
              <w:rPr>
                <w:rFonts w:hint="eastAsia" w:ascii="宋体" w:hAnsi="宋体"/>
                <w:color w:val="000000"/>
                <w:sz w:val="18"/>
                <w:szCs w:val="18"/>
                <w:lang w:eastAsia="zh-CN"/>
              </w:rPr>
              <w:t>部门</w:t>
            </w:r>
            <w:r>
              <w:rPr>
                <w:rFonts w:hint="eastAsia" w:ascii="宋体" w:hAnsi="宋体"/>
                <w:color w:val="000000"/>
                <w:sz w:val="18"/>
                <w:szCs w:val="18"/>
              </w:rPr>
              <w:t>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54.76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54.76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w:t>
            </w:r>
            <w:r>
              <w:rPr>
                <w:rFonts w:hint="eastAsia" w:ascii="宋体" w:hAnsi="宋体"/>
                <w:color w:val="000000"/>
                <w:sz w:val="18"/>
                <w:szCs w:val="18"/>
                <w:lang w:eastAsia="zh-CN"/>
              </w:rPr>
              <w:t>部门</w:t>
            </w:r>
            <w:r>
              <w:rPr>
                <w:rFonts w:hint="eastAsia" w:ascii="宋体" w:hAnsi="宋体"/>
                <w:color w:val="000000"/>
                <w:sz w:val="18"/>
                <w:szCs w:val="18"/>
              </w:rPr>
              <w:t>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27.38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27.38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46.55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46.55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w:t>
            </w:r>
            <w:r>
              <w:rPr>
                <w:rFonts w:hint="eastAsia" w:ascii="宋体" w:hAnsi="宋体"/>
                <w:b/>
                <w:color w:val="000000"/>
                <w:sz w:val="18"/>
                <w:szCs w:val="18"/>
                <w:lang w:eastAsia="zh-CN"/>
              </w:rPr>
              <w:t>部门</w:t>
            </w:r>
            <w:r>
              <w:rPr>
                <w:rFonts w:hint="eastAsia" w:ascii="宋体" w:hAnsi="宋体"/>
                <w:b/>
                <w:color w:val="000000"/>
                <w:sz w:val="18"/>
                <w:szCs w:val="18"/>
              </w:rPr>
              <w:t>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46.55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46.55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w:t>
            </w:r>
            <w:r>
              <w:rPr>
                <w:rFonts w:hint="eastAsia" w:ascii="宋体" w:hAnsi="宋体"/>
                <w:color w:val="000000"/>
                <w:sz w:val="18"/>
                <w:szCs w:val="18"/>
                <w:lang w:eastAsia="zh-CN"/>
              </w:rPr>
              <w:t>部门</w:t>
            </w:r>
            <w:r>
              <w:rPr>
                <w:rFonts w:hint="eastAsia" w:ascii="宋体" w:hAnsi="宋体"/>
                <w:color w:val="000000"/>
                <w:sz w:val="18"/>
                <w:szCs w:val="18"/>
              </w:rPr>
              <w:t>医疗</w:t>
            </w:r>
          </w:p>
        </w:tc>
        <w:tc>
          <w:tcPr>
            <w:tcW w:w="1367" w:type="dxa"/>
            <w:shd w:val="clear" w:color="auto" w:fill="auto"/>
            <w:vAlign w:val="center"/>
          </w:tcPr>
          <w:p>
            <w:pPr>
              <w:jc w:val="right"/>
              <w:rPr>
                <w:sz w:val="18"/>
                <w:szCs w:val="18"/>
              </w:rPr>
            </w:pPr>
            <w:r>
              <w:rPr>
                <w:rFonts w:hint="eastAsia" w:ascii="宋体" w:hAnsi="宋体"/>
                <w:color w:val="000000"/>
                <w:sz w:val="18"/>
                <w:szCs w:val="18"/>
              </w:rPr>
              <w:t>10.76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10.76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w:t>
            </w:r>
            <w:r>
              <w:rPr>
                <w:rFonts w:hint="eastAsia" w:ascii="宋体" w:hAnsi="宋体"/>
                <w:color w:val="000000"/>
                <w:sz w:val="18"/>
                <w:szCs w:val="18"/>
                <w:lang w:eastAsia="zh-CN"/>
              </w:rPr>
              <w:t>部门</w:t>
            </w:r>
            <w:r>
              <w:rPr>
                <w:rFonts w:hint="eastAsia" w:ascii="宋体" w:hAnsi="宋体"/>
                <w:color w:val="000000"/>
                <w:sz w:val="18"/>
                <w:szCs w:val="18"/>
              </w:rPr>
              <w:t>医疗</w:t>
            </w:r>
          </w:p>
        </w:tc>
        <w:tc>
          <w:tcPr>
            <w:tcW w:w="1367" w:type="dxa"/>
            <w:shd w:val="clear" w:color="auto" w:fill="auto"/>
            <w:vAlign w:val="center"/>
          </w:tcPr>
          <w:p>
            <w:pPr>
              <w:jc w:val="right"/>
              <w:rPr>
                <w:sz w:val="18"/>
                <w:szCs w:val="18"/>
              </w:rPr>
            </w:pPr>
            <w:r>
              <w:rPr>
                <w:rFonts w:hint="eastAsia" w:ascii="宋体" w:hAnsi="宋体"/>
                <w:color w:val="000000"/>
                <w:sz w:val="18"/>
                <w:szCs w:val="18"/>
              </w:rPr>
              <w:t>21.75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21.75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13.69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13.69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w:t>
            </w:r>
            <w:r>
              <w:rPr>
                <w:rFonts w:hint="eastAsia" w:ascii="宋体" w:hAnsi="宋体"/>
                <w:color w:val="000000"/>
                <w:sz w:val="18"/>
                <w:szCs w:val="18"/>
                <w:lang w:eastAsia="zh-CN"/>
              </w:rPr>
              <w:t>部门</w:t>
            </w:r>
            <w:r>
              <w:rPr>
                <w:rFonts w:hint="eastAsia" w:ascii="宋体" w:hAnsi="宋体"/>
                <w:color w:val="000000"/>
                <w:sz w:val="18"/>
                <w:szCs w:val="18"/>
              </w:rPr>
              <w:t>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0.34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0.34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节能环保支出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626.63</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626.63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211</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森林保护修复</w:t>
            </w:r>
          </w:p>
        </w:tc>
        <w:tc>
          <w:tcPr>
            <w:tcW w:w="1367" w:type="dxa"/>
            <w:shd w:val="clear" w:color="auto" w:fill="auto"/>
            <w:vAlign w:val="center"/>
          </w:tcPr>
          <w:p>
            <w:pPr>
              <w:jc w:val="right"/>
              <w:rPr>
                <w:b/>
                <w:sz w:val="18"/>
                <w:szCs w:val="18"/>
              </w:rPr>
            </w:pPr>
            <w:r>
              <w:rPr>
                <w:rFonts w:hint="eastAsia" w:ascii="宋体" w:hAnsi="宋体"/>
                <w:b/>
                <w:color w:val="000000"/>
                <w:sz w:val="18"/>
                <w:szCs w:val="18"/>
              </w:rPr>
              <w:t>626.63</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626.63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211</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森林管护</w:t>
            </w:r>
          </w:p>
        </w:tc>
        <w:tc>
          <w:tcPr>
            <w:tcW w:w="1367" w:type="dxa"/>
            <w:shd w:val="clear" w:color="auto" w:fill="auto"/>
            <w:vAlign w:val="center"/>
          </w:tcPr>
          <w:p>
            <w:pPr>
              <w:jc w:val="right"/>
              <w:rPr>
                <w:sz w:val="18"/>
                <w:szCs w:val="18"/>
              </w:rPr>
            </w:pPr>
            <w:r>
              <w:rPr>
                <w:rFonts w:hint="eastAsia" w:ascii="宋体" w:hAnsi="宋体"/>
                <w:color w:val="000000"/>
                <w:sz w:val="18"/>
                <w:szCs w:val="18"/>
              </w:rPr>
              <w:t>626.63</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626.63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农林水支出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856.06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419.90</w:t>
            </w:r>
          </w:p>
        </w:tc>
        <w:tc>
          <w:tcPr>
            <w:tcW w:w="1427" w:type="dxa"/>
            <w:shd w:val="clear" w:color="auto" w:fill="auto"/>
            <w:vAlign w:val="center"/>
          </w:tcPr>
          <w:p>
            <w:pPr>
              <w:jc w:val="right"/>
              <w:rPr>
                <w:b/>
                <w:sz w:val="18"/>
                <w:szCs w:val="18"/>
              </w:rPr>
            </w:pPr>
            <w:r>
              <w:rPr>
                <w:rFonts w:hint="eastAsia" w:ascii="宋体" w:hAnsi="宋体"/>
                <w:b/>
                <w:color w:val="000000"/>
                <w:sz w:val="18"/>
                <w:szCs w:val="18"/>
              </w:rPr>
              <w:t>436.16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林业和草原</w:t>
            </w:r>
          </w:p>
        </w:tc>
        <w:tc>
          <w:tcPr>
            <w:tcW w:w="1367" w:type="dxa"/>
            <w:shd w:val="clear" w:color="auto" w:fill="auto"/>
            <w:vAlign w:val="center"/>
          </w:tcPr>
          <w:p>
            <w:pPr>
              <w:jc w:val="right"/>
              <w:rPr>
                <w:b/>
                <w:sz w:val="18"/>
                <w:szCs w:val="18"/>
              </w:rPr>
            </w:pPr>
            <w:r>
              <w:rPr>
                <w:rFonts w:hint="eastAsia" w:ascii="宋体" w:hAnsi="宋体"/>
                <w:b/>
                <w:color w:val="000000"/>
                <w:sz w:val="18"/>
                <w:szCs w:val="18"/>
              </w:rPr>
              <w:t>856.06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419.90</w:t>
            </w:r>
          </w:p>
        </w:tc>
        <w:tc>
          <w:tcPr>
            <w:tcW w:w="1427" w:type="dxa"/>
            <w:shd w:val="clear" w:color="auto" w:fill="auto"/>
            <w:vAlign w:val="center"/>
          </w:tcPr>
          <w:p>
            <w:pPr>
              <w:jc w:val="right"/>
              <w:rPr>
                <w:b/>
                <w:sz w:val="18"/>
                <w:szCs w:val="18"/>
              </w:rPr>
            </w:pPr>
            <w:r>
              <w:rPr>
                <w:rFonts w:hint="eastAsia" w:ascii="宋体" w:hAnsi="宋体"/>
                <w:b/>
                <w:color w:val="000000"/>
                <w:sz w:val="18"/>
                <w:szCs w:val="18"/>
              </w:rPr>
              <w:t>436.16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159.64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159.64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11.56</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事业机构</w:t>
            </w:r>
          </w:p>
        </w:tc>
        <w:tc>
          <w:tcPr>
            <w:tcW w:w="1367" w:type="dxa"/>
            <w:shd w:val="clear" w:color="auto" w:fill="auto"/>
            <w:vAlign w:val="center"/>
          </w:tcPr>
          <w:p>
            <w:pPr>
              <w:jc w:val="right"/>
              <w:rPr>
                <w:sz w:val="18"/>
                <w:szCs w:val="18"/>
              </w:rPr>
            </w:pPr>
            <w:r>
              <w:rPr>
                <w:rFonts w:hint="eastAsia" w:ascii="宋体" w:hAnsi="宋体"/>
                <w:color w:val="000000"/>
                <w:sz w:val="18"/>
                <w:szCs w:val="18"/>
              </w:rPr>
              <w:t>260.26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260.26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21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产业化管理</w:t>
            </w:r>
          </w:p>
        </w:tc>
        <w:tc>
          <w:tcPr>
            <w:tcW w:w="1367" w:type="dxa"/>
            <w:shd w:val="clear" w:color="auto" w:fill="auto"/>
            <w:vAlign w:val="center"/>
          </w:tcPr>
          <w:p>
            <w:pPr>
              <w:jc w:val="right"/>
              <w:rPr>
                <w:sz w:val="18"/>
                <w:szCs w:val="18"/>
              </w:rPr>
            </w:pPr>
            <w:r>
              <w:rPr>
                <w:rFonts w:hint="eastAsia" w:ascii="宋体" w:hAnsi="宋体"/>
                <w:color w:val="000000"/>
                <w:sz w:val="18"/>
                <w:szCs w:val="18"/>
              </w:rPr>
              <w:t>15.00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34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林业草原防灾减灾</w:t>
            </w:r>
          </w:p>
        </w:tc>
        <w:tc>
          <w:tcPr>
            <w:tcW w:w="1367" w:type="dxa"/>
            <w:shd w:val="clear" w:color="auto" w:fill="auto"/>
            <w:vAlign w:val="center"/>
          </w:tcPr>
          <w:p>
            <w:pPr>
              <w:jc w:val="right"/>
              <w:rPr>
                <w:sz w:val="18"/>
                <w:szCs w:val="18"/>
              </w:rPr>
            </w:pPr>
            <w:r>
              <w:rPr>
                <w:rFonts w:hint="eastAsia" w:ascii="宋体" w:hAnsi="宋体"/>
                <w:color w:val="000000"/>
                <w:sz w:val="18"/>
                <w:szCs w:val="18"/>
              </w:rPr>
              <w:t>12.00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38</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退耕还林还草</w:t>
            </w:r>
          </w:p>
        </w:tc>
        <w:tc>
          <w:tcPr>
            <w:tcW w:w="1367" w:type="dxa"/>
            <w:shd w:val="clear" w:color="auto" w:fill="auto"/>
            <w:vAlign w:val="center"/>
          </w:tcPr>
          <w:p>
            <w:pPr>
              <w:jc w:val="right"/>
              <w:rPr>
                <w:sz w:val="18"/>
                <w:szCs w:val="18"/>
              </w:rPr>
            </w:pPr>
            <w:r>
              <w:rPr>
                <w:rFonts w:hint="eastAsia" w:ascii="宋体" w:hAnsi="宋体"/>
                <w:color w:val="000000"/>
                <w:sz w:val="18"/>
                <w:szCs w:val="18"/>
              </w:rPr>
              <w:t>397.60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397.60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46.25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46.25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46.25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46.25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46.25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46.25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1,676.23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613.44</w:t>
            </w:r>
          </w:p>
        </w:tc>
        <w:tc>
          <w:tcPr>
            <w:tcW w:w="1427" w:type="dxa"/>
            <w:shd w:val="clear" w:color="auto" w:fill="auto"/>
            <w:vAlign w:val="center"/>
          </w:tcPr>
          <w:p>
            <w:pPr>
              <w:jc w:val="right"/>
              <w:rPr>
                <w:b/>
                <w:sz w:val="18"/>
                <w:szCs w:val="18"/>
              </w:rPr>
            </w:pPr>
            <w:r>
              <w:rPr>
                <w:rFonts w:hint="eastAsia" w:ascii="宋体" w:hAnsi="宋体"/>
                <w:b/>
                <w:color w:val="000000"/>
                <w:sz w:val="18"/>
                <w:szCs w:val="18"/>
              </w:rPr>
              <w:t>1,062.79</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编制部门：呼图壁县林业和草原局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lang w:eastAsia="zh-CN"/>
              </w:rPr>
              <w:t>部门</w:t>
            </w:r>
            <w:r>
              <w:rPr>
                <w:rFonts w:hint="eastAsia"/>
                <w:color w:val="00000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562.87</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562.87</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149.79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149.79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68.03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68.03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112.47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112.47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55.13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55.13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w:t>
            </w:r>
            <w:r>
              <w:rPr>
                <w:rFonts w:hint="eastAsia" w:ascii="宋体" w:hAnsi="宋体"/>
                <w:sz w:val="18"/>
                <w:szCs w:val="18"/>
                <w:lang w:eastAsia="zh-CN"/>
              </w:rPr>
              <w:t>部门</w:t>
            </w:r>
            <w:r>
              <w:rPr>
                <w:rFonts w:hint="default" w:ascii="宋体" w:hAnsi="宋体"/>
                <w:sz w:val="18"/>
                <w:szCs w:val="18"/>
              </w:rPr>
              <w:t>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54.76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54.76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27.38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27.38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32.51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32.51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13.69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13.69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2.86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2.86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46.25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46.25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28.59</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0.27</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2.52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培训费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0.36</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14.59</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21.99</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21.99</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18.60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18.60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1.73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613.44</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584.86</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28.59</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编制部门：呼图壁县林业和草原局</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lang w:eastAsia="zh-CN"/>
              </w:rPr>
              <w:t>部门</w:t>
            </w:r>
            <w:r>
              <w:rPr>
                <w:rFonts w:hint="eastAsia"/>
                <w:color w:val="00000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呼图壁县林业和草原局</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1,062.79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650.19</w:t>
            </w:r>
          </w:p>
        </w:tc>
        <w:tc>
          <w:tcPr>
            <w:tcW w:w="850" w:type="dxa"/>
            <w:shd w:val="clear" w:color="auto" w:fill="auto"/>
            <w:vAlign w:val="center"/>
          </w:tcPr>
          <w:p>
            <w:pPr>
              <w:jc w:val="right"/>
              <w:rPr>
                <w:b/>
                <w:sz w:val="18"/>
                <w:szCs w:val="18"/>
              </w:rPr>
            </w:pPr>
            <w:r>
              <w:rPr>
                <w:rFonts w:hint="default" w:ascii="宋体" w:hAnsi="宋体"/>
                <w:b/>
                <w:kern w:val="0"/>
                <w:sz w:val="13"/>
                <w:szCs w:val="185"/>
              </w:rPr>
              <w:t>412.60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211</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节能环保支出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626.63</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626.63</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211</w:t>
            </w:r>
          </w:p>
        </w:tc>
        <w:tc>
          <w:tcPr>
            <w:tcW w:w="260" w:type="dxa"/>
            <w:shd w:val="clear" w:color="auto" w:fill="auto"/>
            <w:vAlign w:val="center"/>
          </w:tcPr>
          <w:p>
            <w:pPr>
              <w:jc w:val="center"/>
              <w:rPr>
                <w:b/>
                <w:sz w:val="18"/>
                <w:szCs w:val="18"/>
              </w:rPr>
            </w:pPr>
            <w:r>
              <w:rPr>
                <w:rFonts w:hint="default" w:ascii="宋体" w:hAnsi="宋体"/>
                <w:b/>
                <w:kern w:val="0"/>
                <w:sz w:val="13"/>
                <w:szCs w:val="13"/>
              </w:rPr>
              <w:t>05</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森林保护修复</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626.63</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626.63</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211</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森林管护</w:t>
            </w:r>
          </w:p>
        </w:tc>
        <w:tc>
          <w:tcPr>
            <w:tcW w:w="2500" w:type="dxa"/>
            <w:shd w:val="clear" w:color="auto" w:fill="auto"/>
            <w:vAlign w:val="center"/>
          </w:tcPr>
          <w:p>
            <w:pPr>
              <w:jc w:val="left"/>
              <w:rPr>
                <w:sz w:val="18"/>
                <w:szCs w:val="18"/>
              </w:rPr>
            </w:pPr>
            <w:r>
              <w:rPr>
                <w:rFonts w:hint="default" w:ascii="宋体" w:hAnsi="宋体"/>
                <w:kern w:val="0"/>
                <w:sz w:val="13"/>
                <w:szCs w:val="13"/>
              </w:rPr>
              <w:t>2026年中央林业草原生态保护恢复项目</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626.63</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626.63</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农林水支出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436.16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23.56</w:t>
            </w:r>
          </w:p>
        </w:tc>
        <w:tc>
          <w:tcPr>
            <w:tcW w:w="850" w:type="dxa"/>
            <w:shd w:val="clear" w:color="auto" w:fill="auto"/>
            <w:vAlign w:val="center"/>
          </w:tcPr>
          <w:p>
            <w:pPr>
              <w:jc w:val="right"/>
              <w:rPr>
                <w:b/>
                <w:sz w:val="18"/>
                <w:szCs w:val="18"/>
              </w:rPr>
            </w:pPr>
            <w:r>
              <w:rPr>
                <w:rFonts w:hint="default" w:ascii="宋体" w:hAnsi="宋体"/>
                <w:b/>
                <w:kern w:val="0"/>
                <w:sz w:val="13"/>
                <w:szCs w:val="185"/>
              </w:rPr>
              <w:t>412.60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r>
              <w:rPr>
                <w:rFonts w:hint="default" w:ascii="宋体" w:hAnsi="宋体"/>
                <w:b/>
                <w:kern w:val="0"/>
                <w:sz w:val="13"/>
                <w:szCs w:val="13"/>
              </w:rPr>
              <w:t>02</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林业和草原</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436.16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23.56</w:t>
            </w:r>
          </w:p>
        </w:tc>
        <w:tc>
          <w:tcPr>
            <w:tcW w:w="850" w:type="dxa"/>
            <w:shd w:val="clear" w:color="auto" w:fill="auto"/>
            <w:vAlign w:val="center"/>
          </w:tcPr>
          <w:p>
            <w:pPr>
              <w:jc w:val="right"/>
              <w:rPr>
                <w:b/>
                <w:sz w:val="18"/>
                <w:szCs w:val="18"/>
              </w:rPr>
            </w:pPr>
            <w:r>
              <w:rPr>
                <w:rFonts w:hint="default" w:ascii="宋体" w:hAnsi="宋体"/>
                <w:b/>
                <w:kern w:val="0"/>
                <w:sz w:val="13"/>
                <w:szCs w:val="185"/>
              </w:rPr>
              <w:t>412.60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11.56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11.56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21</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产业化管理</w:t>
            </w:r>
          </w:p>
        </w:tc>
        <w:tc>
          <w:tcPr>
            <w:tcW w:w="2500" w:type="dxa"/>
            <w:shd w:val="clear" w:color="auto" w:fill="auto"/>
            <w:vAlign w:val="center"/>
          </w:tcPr>
          <w:p>
            <w:pPr>
              <w:jc w:val="left"/>
              <w:rPr>
                <w:sz w:val="18"/>
                <w:szCs w:val="18"/>
              </w:rPr>
            </w:pPr>
            <w:r>
              <w:rPr>
                <w:rFonts w:hint="default" w:ascii="宋体" w:hAnsi="宋体"/>
                <w:kern w:val="0"/>
                <w:sz w:val="13"/>
                <w:szCs w:val="13"/>
              </w:rPr>
              <w:t>2026年自治区林草专项资金-（林草现代产业体系构建支出-全疆林果业发展）</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15.00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34</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林业草原防灾减灾</w:t>
            </w:r>
          </w:p>
        </w:tc>
        <w:tc>
          <w:tcPr>
            <w:tcW w:w="2500" w:type="dxa"/>
            <w:shd w:val="clear" w:color="auto" w:fill="auto"/>
            <w:vAlign w:val="center"/>
          </w:tcPr>
          <w:p>
            <w:pPr>
              <w:jc w:val="left"/>
              <w:rPr>
                <w:sz w:val="18"/>
                <w:szCs w:val="18"/>
              </w:rPr>
            </w:pPr>
            <w:r>
              <w:rPr>
                <w:rFonts w:hint="default" w:ascii="宋体" w:hAnsi="宋体"/>
                <w:kern w:val="0"/>
                <w:sz w:val="13"/>
                <w:szCs w:val="13"/>
              </w:rPr>
              <w:t>2026年自治区林草专项资金（林草支撑保障体系支出-有害生物防治）</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12.00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12.00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60" w:type="dxa"/>
            <w:shd w:val="clear" w:color="auto" w:fill="auto"/>
            <w:vAlign w:val="center"/>
          </w:tcPr>
          <w:p>
            <w:pPr>
              <w:jc w:val="center"/>
              <w:rPr>
                <w:sz w:val="18"/>
                <w:szCs w:val="18"/>
              </w:rPr>
            </w:pPr>
            <w:r>
              <w:rPr>
                <w:rFonts w:hint="default" w:ascii="宋体" w:hAnsi="宋体"/>
                <w:kern w:val="0"/>
                <w:sz w:val="13"/>
                <w:szCs w:val="13"/>
              </w:rPr>
              <w:t>38</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退耕还林还草</w:t>
            </w:r>
          </w:p>
        </w:tc>
        <w:tc>
          <w:tcPr>
            <w:tcW w:w="2500" w:type="dxa"/>
            <w:shd w:val="clear" w:color="auto" w:fill="auto"/>
            <w:vAlign w:val="center"/>
          </w:tcPr>
          <w:p>
            <w:pPr>
              <w:jc w:val="left"/>
              <w:rPr>
                <w:sz w:val="18"/>
                <w:szCs w:val="18"/>
              </w:rPr>
            </w:pPr>
            <w:r>
              <w:rPr>
                <w:rFonts w:hint="default" w:ascii="宋体" w:hAnsi="宋体"/>
                <w:kern w:val="0"/>
                <w:sz w:val="13"/>
                <w:szCs w:val="13"/>
              </w:rPr>
              <w:t>2026年中央林业草原改革发展资金（国土绿化支出）项目</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397.60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397.60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1,062.79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650.19</w:t>
            </w:r>
          </w:p>
        </w:tc>
        <w:tc>
          <w:tcPr>
            <w:tcW w:w="850" w:type="dxa"/>
            <w:shd w:val="clear" w:color="auto" w:fill="auto"/>
            <w:vAlign w:val="center"/>
          </w:tcPr>
          <w:p>
            <w:pPr>
              <w:jc w:val="right"/>
              <w:rPr>
                <w:b/>
                <w:sz w:val="18"/>
                <w:szCs w:val="18"/>
              </w:rPr>
            </w:pPr>
            <w:r>
              <w:rPr>
                <w:rFonts w:hint="default" w:ascii="宋体" w:hAnsi="宋体"/>
                <w:b/>
                <w:kern w:val="0"/>
                <w:sz w:val="13"/>
                <w:szCs w:val="185"/>
              </w:rPr>
              <w:t>412.60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编制部门：呼图壁县林业和草原局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lang w:eastAsia="zh-CN"/>
              </w:rPr>
              <w:t>部门</w:t>
            </w:r>
            <w:r>
              <w:rPr>
                <w:rFonts w:hint="eastAsia"/>
                <w:color w:val="00000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呼图壁县林业和草原局2026年没有使用政府性基金预算拨款安排的支出，政府性基金预算支出情况表为空表。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编制部门：呼图壁县林业和草原局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lang w:eastAsia="zh-CN"/>
              </w:rPr>
              <w:t>部门</w:t>
            </w:r>
            <w:r>
              <w:rPr>
                <w:rFonts w:hint="eastAsia"/>
                <w:color w:val="00000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呼图壁县林业和草原局2026年没有使用国有资本经营预算拨款安排的支出，国有资本经营预算支出情况表为空表。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227"/>
        <w:gridCol w:w="1375"/>
        <w:gridCol w:w="1375"/>
        <w:gridCol w:w="1374"/>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编制部门：呼图壁县林业和草原局</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lang w:eastAsia="zh-CN"/>
              </w:rPr>
              <w:t>部门</w:t>
            </w:r>
            <w:r>
              <w:rPr>
                <w:rFonts w:hint="eastAsia"/>
                <w:color w:val="00000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1.41</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1.41</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1.41</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1.41</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2.41</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2.41</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74"/>
        <w:gridCol w:w="1188"/>
        <w:gridCol w:w="1188"/>
        <w:gridCol w:w="1188"/>
        <w:gridCol w:w="1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编制部门：呼图壁县林业和草原局</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lang w:eastAsia="zh-CN"/>
              </w:rPr>
              <w:t>部门</w:t>
            </w:r>
            <w:r>
              <w:rPr>
                <w:rFonts w:hint="eastAsia"/>
                <w:color w:val="00000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b/>
                <w:color w:val="000000"/>
                <w:sz w:val="18"/>
                <w:szCs w:val="18"/>
              </w:rPr>
            </w:pPr>
            <w:r>
              <w:rPr>
                <w:rFonts w:hint="default" w:ascii="宋体" w:hAnsi="宋体"/>
                <w:b/>
                <w:kern w:val="0"/>
                <w:sz w:val="18"/>
                <w:szCs w:val="18"/>
              </w:rPr>
              <w:t>呼图壁县林业和草原局</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100.43</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100.43</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2026年支付各类其他刚性资金</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0.50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0.50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2026年自治区林草专项资金（林草支撑保障体系支出-有害生物防治）</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12.00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12.00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2026年中央林业草原生态保护恢复项目</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87.93</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87.93</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100.43</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100.43</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编制部门：呼图壁县林业和草原局</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lang w:eastAsia="zh-CN"/>
              </w:rPr>
              <w:t>部门</w:t>
            </w:r>
            <w:r>
              <w:rPr>
                <w:rFonts w:hint="eastAsia"/>
                <w:color w:val="000000"/>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呼图壁县林业和草原局</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400.95</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400.95</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400.95</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2024年林业草原生态保护恢复资金-国家公益林管护613万元</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21.99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21.99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21.99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2024年中央林业草原改革发展资金-新一轮退耕还林还草补助资金549.574万元</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7.86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7.86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7.86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2024年中央林业草原改革发展资金-草原有害生物防治项目工程款3万元</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0.10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0.10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0.10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2024年中央农业生态资源保护资金预算-发放2024年中央农业生态资源保护资金2617.12万元</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2024年自治区林草专项资金预算-禁牧和草畜平衡、三期监测和有害生物监测9万元</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0.20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0.20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0.20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2024年中央林业草原改革发展资金预算（第二批）-林业有害生物防治-草原虫害防控及林草良种培育补助</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1.77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1.77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1.77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2024年中央财政林业草原生态保护恢复资金（第二批）-野生动物收容救护项目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2024年中央财政“三北”工程补助资金（沙化土地封禁保护补助支出）项目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16.24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16.24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16.24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为民办实事经费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0.01</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0.01</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2025年中央“三北”工程补助项目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72.18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72.18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72.18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2025年中央林业草原生态保护恢复项目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53.08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53.08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53.08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2025年中央林业草原改革发展资金项目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16.70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16.70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16.70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2024年第三批中央财政林业草原生态保护恢复资金（森林生态保护恢复）</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71.79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71.79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71.79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呼图壁县2025年第二批中央财政林业草原改革发展资金林草支撑保障体系支出项目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4.20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4.20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4.20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呼图壁县2025年第二批中央林业草原生态保护恢复资金170万</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133.60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133.60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133.60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400.95</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400.95</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400.95</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关于呼图壁县林业和草原局2026年收支预算情况总体说明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按照全口径预算的原则，呼图壁县林业和草原局2026年所有收入和支出均纳入部门预算管理。收支总预算2,940.18万元。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w:t>
      </w:r>
      <w:r>
        <w:rPr>
          <w:rFonts w:hint="eastAsia" w:ascii="仿宋" w:hAnsi="微软雅黑" w:eastAsia="仿宋"/>
          <w:sz w:val="28"/>
          <w:szCs w:val="28"/>
          <w:lang w:eastAsia="zh-CN"/>
        </w:rPr>
        <w:t>部门</w:t>
      </w:r>
      <w:r>
        <w:rPr>
          <w:rFonts w:hint="eastAsia" w:ascii="仿宋" w:hAnsi="微软雅黑" w:eastAsia="仿宋"/>
          <w:sz w:val="28"/>
          <w:szCs w:val="28"/>
        </w:rPr>
        <w:t>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支出预算包括：社会保障和就业支出、卫生健康支出、节能环保支出、农林水支出、住房保障支出。</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关于呼图壁县林业和草原局2026年收入预算情况说明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呼图壁县林业和草原局部门收入预算2,940.18万元，其中：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一般公共预算625.00万元，占21.26%，比上年预算增加65.36万元，增长11.68%，主要原因是本</w:t>
      </w:r>
      <w:r>
        <w:rPr>
          <w:rFonts w:hint="eastAsia" w:ascii="仿宋" w:hAnsi="微软雅黑" w:eastAsia="仿宋"/>
          <w:sz w:val="28"/>
          <w:szCs w:val="28"/>
          <w:lang w:eastAsia="zh-CN"/>
        </w:rPr>
        <w:t>部门</w:t>
      </w:r>
      <w:r>
        <w:rPr>
          <w:rFonts w:hint="eastAsia" w:ascii="仿宋" w:hAnsi="微软雅黑" w:eastAsia="仿宋"/>
          <w:sz w:val="28"/>
          <w:szCs w:val="28"/>
        </w:rPr>
        <w:t>新增2026年自治区林草专项资金-（林草现代产业体系构建支出-全疆林果业发展）项目、2026年中央林业草原改革发展资金（国土绿化支出）项目下达资金金额增加。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上级一般公共预算安排的转移支付资金1,051.23万元，占35.75%，比上年预算减少578.80万元，下降35.51%，主要原因是本</w:t>
      </w:r>
      <w:r>
        <w:rPr>
          <w:rFonts w:hint="eastAsia" w:ascii="仿宋" w:hAnsi="微软雅黑" w:eastAsia="仿宋"/>
          <w:sz w:val="28"/>
          <w:szCs w:val="28"/>
          <w:lang w:eastAsia="zh-CN"/>
        </w:rPr>
        <w:t>部门</w:t>
      </w:r>
      <w:r>
        <w:rPr>
          <w:rFonts w:hint="eastAsia" w:ascii="仿宋" w:hAnsi="微软雅黑" w:eastAsia="仿宋"/>
          <w:sz w:val="28"/>
          <w:szCs w:val="28"/>
        </w:rPr>
        <w:t>2026年中央林业草原生态保护恢复项目下达资金金额减少、专项项目减少。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部门</w:t>
      </w:r>
      <w:r>
        <w:rPr>
          <w:rFonts w:hint="eastAsia" w:ascii="仿宋" w:hAnsi="微软雅黑" w:eastAsia="仿宋"/>
          <w:sz w:val="28"/>
          <w:szCs w:val="28"/>
        </w:rPr>
        <w:t>资金863.00万元，占29.35%，比上年预算减少2.00万元，下降0.23%，主要原因是本</w:t>
      </w:r>
      <w:r>
        <w:rPr>
          <w:rFonts w:hint="eastAsia" w:ascii="仿宋" w:hAnsi="微软雅黑" w:eastAsia="仿宋"/>
          <w:sz w:val="28"/>
          <w:szCs w:val="28"/>
          <w:lang w:eastAsia="zh-CN"/>
        </w:rPr>
        <w:t>部门部门</w:t>
      </w:r>
      <w:r>
        <w:rPr>
          <w:rFonts w:hint="eastAsia" w:ascii="仿宋" w:hAnsi="微软雅黑" w:eastAsia="仿宋"/>
          <w:sz w:val="28"/>
          <w:szCs w:val="28"/>
        </w:rPr>
        <w:t>资金特定目标类菌草项目援疆资金收入减少。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财政拨款结转400.95万元，占13.64%，比上年预算增加137.81万元，增长52.37%，主要原因是本</w:t>
      </w:r>
      <w:r>
        <w:rPr>
          <w:rFonts w:hint="eastAsia" w:ascii="仿宋" w:hAnsi="微软雅黑" w:eastAsia="仿宋"/>
          <w:sz w:val="28"/>
          <w:szCs w:val="28"/>
          <w:lang w:eastAsia="zh-CN"/>
        </w:rPr>
        <w:t>部门</w:t>
      </w:r>
      <w:r>
        <w:rPr>
          <w:rFonts w:hint="eastAsia" w:ascii="仿宋" w:hAnsi="微软雅黑" w:eastAsia="仿宋"/>
          <w:sz w:val="28"/>
          <w:szCs w:val="28"/>
        </w:rPr>
        <w:t>2025年第二批中央林业草原生态保护恢复资金170万项目、2024年第三批中央财政林业草原生态保护恢复资金（森林生态保护恢复）项目进展中，资金部分未支付，导致财政拨款结转资金同比增加。</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关于呼图壁县林业和草原局2026年支出预算情况说明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呼图壁县林业和草原局2026年支出预算2,940.18万元，其中：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基本支出982.44万元，占33.41%，比上年预算增加69.80万元，增长7.65%，主要原因是本</w:t>
      </w:r>
      <w:r>
        <w:rPr>
          <w:rFonts w:hint="eastAsia" w:ascii="仿宋" w:hAnsi="微软雅黑" w:eastAsia="仿宋"/>
          <w:sz w:val="28"/>
          <w:szCs w:val="28"/>
          <w:lang w:eastAsia="zh-CN"/>
        </w:rPr>
        <w:t>部门</w:t>
      </w:r>
      <w:r>
        <w:rPr>
          <w:rFonts w:hint="eastAsia" w:ascii="仿宋" w:hAnsi="微软雅黑" w:eastAsia="仿宋"/>
          <w:sz w:val="28"/>
          <w:szCs w:val="28"/>
        </w:rPr>
        <w:t>人员工资费用增加，社保、医保基数上调费用增加，增加职业年金</w:t>
      </w:r>
      <w:r>
        <w:rPr>
          <w:rFonts w:hint="eastAsia" w:ascii="仿宋" w:hAnsi="微软雅黑" w:eastAsia="仿宋"/>
          <w:sz w:val="28"/>
          <w:szCs w:val="28"/>
          <w:lang w:eastAsia="zh-CN"/>
        </w:rPr>
        <w:t>部门</w:t>
      </w:r>
      <w:r>
        <w:rPr>
          <w:rFonts w:hint="eastAsia" w:ascii="仿宋" w:hAnsi="微软雅黑" w:eastAsia="仿宋"/>
          <w:sz w:val="28"/>
          <w:szCs w:val="28"/>
        </w:rPr>
        <w:t>部分预算。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项目支出1,957.74万元，占66.59%，比上年预算减少447.44万元，下降18.60%，主要原因是本</w:t>
      </w:r>
      <w:r>
        <w:rPr>
          <w:rFonts w:hint="eastAsia" w:ascii="仿宋" w:hAnsi="微软雅黑" w:eastAsia="仿宋"/>
          <w:sz w:val="28"/>
          <w:szCs w:val="28"/>
          <w:lang w:eastAsia="zh-CN"/>
        </w:rPr>
        <w:t>部门</w:t>
      </w:r>
      <w:r>
        <w:rPr>
          <w:rFonts w:hint="eastAsia" w:ascii="仿宋" w:hAnsi="微软雅黑" w:eastAsia="仿宋"/>
          <w:sz w:val="28"/>
          <w:szCs w:val="28"/>
        </w:rPr>
        <w:t>2026年中央林业草原生态保护恢复项目下达资金金额减少、专项项目减少。</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关于呼图壁县林业和草原局2026年财政拨款收支预算情况的总体说明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2026年财政拨款收支总预算1,676.23万元。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收入预算包括：一般公共预算拨款1,676.23万元。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一般公共预算支出包括：社会保障和就业支出100.75万元，主要用于本</w:t>
      </w:r>
      <w:r>
        <w:rPr>
          <w:rFonts w:hint="eastAsia" w:ascii="仿宋" w:hAnsi="微软雅黑" w:eastAsia="仿宋"/>
          <w:sz w:val="28"/>
          <w:szCs w:val="28"/>
          <w:lang w:eastAsia="zh-CN"/>
        </w:rPr>
        <w:t>部门</w:t>
      </w:r>
      <w:r>
        <w:rPr>
          <w:rFonts w:hint="eastAsia" w:ascii="仿宋" w:hAnsi="微软雅黑" w:eastAsia="仿宋"/>
          <w:sz w:val="28"/>
          <w:szCs w:val="28"/>
        </w:rPr>
        <w:t>在职人员机关事业</w:t>
      </w:r>
      <w:r>
        <w:rPr>
          <w:rFonts w:hint="eastAsia" w:ascii="仿宋" w:hAnsi="微软雅黑" w:eastAsia="仿宋"/>
          <w:sz w:val="28"/>
          <w:szCs w:val="28"/>
          <w:lang w:eastAsia="zh-CN"/>
        </w:rPr>
        <w:t>部门</w:t>
      </w:r>
      <w:r>
        <w:rPr>
          <w:rFonts w:hint="eastAsia" w:ascii="仿宋" w:hAnsi="微软雅黑" w:eastAsia="仿宋"/>
          <w:sz w:val="28"/>
          <w:szCs w:val="28"/>
        </w:rPr>
        <w:t>基本养老保险缴费、其他社会保障缴费，退休人员退休费；卫生健康支出46.55万元，主要用于本</w:t>
      </w:r>
      <w:r>
        <w:rPr>
          <w:rFonts w:hint="eastAsia" w:ascii="仿宋" w:hAnsi="微软雅黑" w:eastAsia="仿宋"/>
          <w:sz w:val="28"/>
          <w:szCs w:val="28"/>
          <w:lang w:eastAsia="zh-CN"/>
        </w:rPr>
        <w:t>部门</w:t>
      </w:r>
      <w:r>
        <w:rPr>
          <w:rFonts w:hint="eastAsia" w:ascii="仿宋" w:hAnsi="微软雅黑" w:eastAsia="仿宋"/>
          <w:sz w:val="28"/>
          <w:szCs w:val="28"/>
        </w:rPr>
        <w:t>在职人员职工基本医疗保险缴费、公务员医疗补助缴费、大额医疗补助缴费；节能环保支出626.63万元，主要用于本</w:t>
      </w:r>
      <w:r>
        <w:rPr>
          <w:rFonts w:hint="eastAsia" w:ascii="仿宋" w:hAnsi="微软雅黑" w:eastAsia="仿宋"/>
          <w:sz w:val="28"/>
          <w:szCs w:val="28"/>
          <w:lang w:eastAsia="zh-CN"/>
        </w:rPr>
        <w:t>部门</w:t>
      </w:r>
      <w:r>
        <w:rPr>
          <w:rFonts w:hint="eastAsia" w:ascii="仿宋" w:hAnsi="微软雅黑" w:eastAsia="仿宋"/>
          <w:sz w:val="28"/>
          <w:szCs w:val="28"/>
        </w:rPr>
        <w:t>管护运行保障、管护能力提升即国有林生态恢复。其中管护运行保障包括全县148.39万亩公益林的10处管护站、管护人员日常维护和劳务支出，3辆管护车辆的运维支出、管护支出和1项森林资源监测工作；管护能力提升包括全年森林草原防火培训，2辆森林防火车辆的燃油费、保养费、保险费及维修费，1项防火宣传，森林草原防火应急分队建设和防火库电费等；智能管护系统每年的维护及其设备每月费用；农林水支出856.06万元，主要用于本</w:t>
      </w:r>
      <w:r>
        <w:rPr>
          <w:rFonts w:hint="eastAsia" w:ascii="仿宋" w:hAnsi="微软雅黑" w:eastAsia="仿宋"/>
          <w:sz w:val="28"/>
          <w:szCs w:val="28"/>
          <w:lang w:eastAsia="zh-CN"/>
        </w:rPr>
        <w:t>部门</w:t>
      </w:r>
      <w:r>
        <w:rPr>
          <w:rFonts w:hint="eastAsia" w:ascii="仿宋" w:hAnsi="微软雅黑" w:eastAsia="仿宋"/>
          <w:sz w:val="28"/>
          <w:szCs w:val="28"/>
        </w:rPr>
        <w:t>人员经费、公用经费以及菌草种植项目；住房保障支出46.25万元，主要用于本</w:t>
      </w:r>
      <w:r>
        <w:rPr>
          <w:rFonts w:hint="eastAsia" w:ascii="仿宋" w:hAnsi="微软雅黑" w:eastAsia="仿宋"/>
          <w:sz w:val="28"/>
          <w:szCs w:val="28"/>
          <w:lang w:eastAsia="zh-CN"/>
        </w:rPr>
        <w:t>部门</w:t>
      </w:r>
      <w:r>
        <w:rPr>
          <w:rFonts w:hint="eastAsia" w:ascii="仿宋" w:hAnsi="微软雅黑" w:eastAsia="仿宋"/>
          <w:sz w:val="28"/>
          <w:szCs w:val="28"/>
        </w:rPr>
        <w:t>在职人员住房公积金缴费。</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关于呼图壁县林业和草原局2026年一般公共预算当年拨款情况说明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呼图壁县林业和草原局2026年一般公共预算拨款合计1,676.23万元，其中：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基本支出613.44万元，比上年预算增加53.80万元，增长9.61%，主要原因是本</w:t>
      </w:r>
      <w:r>
        <w:rPr>
          <w:rFonts w:hint="eastAsia" w:ascii="仿宋" w:hAnsi="微软雅黑" w:eastAsia="仿宋"/>
          <w:sz w:val="28"/>
          <w:szCs w:val="28"/>
          <w:lang w:eastAsia="zh-CN"/>
        </w:rPr>
        <w:t>部门</w:t>
      </w:r>
      <w:r>
        <w:rPr>
          <w:rFonts w:hint="eastAsia" w:ascii="仿宋" w:hAnsi="微软雅黑" w:eastAsia="仿宋"/>
          <w:sz w:val="28"/>
          <w:szCs w:val="28"/>
        </w:rPr>
        <w:t>人员工资费用增加，社保、医保基数上调费用增加，增加职业年金</w:t>
      </w:r>
      <w:r>
        <w:rPr>
          <w:rFonts w:hint="eastAsia" w:ascii="仿宋" w:hAnsi="微软雅黑" w:eastAsia="仿宋"/>
          <w:sz w:val="28"/>
          <w:szCs w:val="28"/>
          <w:lang w:eastAsia="zh-CN"/>
        </w:rPr>
        <w:t>部门</w:t>
      </w:r>
      <w:r>
        <w:rPr>
          <w:rFonts w:hint="eastAsia" w:ascii="仿宋" w:hAnsi="微软雅黑" w:eastAsia="仿宋"/>
          <w:sz w:val="28"/>
          <w:szCs w:val="28"/>
        </w:rPr>
        <w:t>部分预算。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项目支出1,062.79万元，比上年预算减少567.24万元，下降34.80%，主要原因是本</w:t>
      </w:r>
      <w:r>
        <w:rPr>
          <w:rFonts w:hint="eastAsia" w:ascii="仿宋" w:hAnsi="微软雅黑" w:eastAsia="仿宋"/>
          <w:sz w:val="28"/>
          <w:szCs w:val="28"/>
          <w:lang w:eastAsia="zh-CN"/>
        </w:rPr>
        <w:t>部门</w:t>
      </w:r>
      <w:r>
        <w:rPr>
          <w:rFonts w:hint="eastAsia" w:ascii="仿宋" w:hAnsi="微软雅黑" w:eastAsia="仿宋"/>
          <w:sz w:val="28"/>
          <w:szCs w:val="28"/>
        </w:rPr>
        <w:t>2026年中央林业草原生态保护恢复项目下达资金金额减少、专项项目减少。</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1.社会保障和就业支出（类）100.75万元，占6.01%。</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2.卫生健康支出（类）46.55万元，占2.78%。</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3.节能环保支出（类）626.63万元，占37.38%。</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4.农林水支出（类）856.06万元，占51.07%。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5.住房保障支出（类）46.25万元，占2.76%。</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1.社会保障和就业支出（类）行政事业</w:t>
      </w:r>
      <w:r>
        <w:rPr>
          <w:rFonts w:hint="eastAsia" w:ascii="仿宋" w:hAnsi="微软雅黑" w:eastAsia="仿宋"/>
          <w:sz w:val="28"/>
          <w:szCs w:val="28"/>
          <w:lang w:eastAsia="zh-CN"/>
        </w:rPr>
        <w:t>部门</w:t>
      </w:r>
      <w:r>
        <w:rPr>
          <w:rFonts w:hint="eastAsia" w:ascii="仿宋" w:hAnsi="微软雅黑" w:eastAsia="仿宋"/>
          <w:sz w:val="28"/>
          <w:szCs w:val="28"/>
        </w:rPr>
        <w:t>养老支出（款）行政</w:t>
      </w:r>
      <w:r>
        <w:rPr>
          <w:rFonts w:hint="eastAsia" w:ascii="仿宋" w:hAnsi="微软雅黑" w:eastAsia="仿宋"/>
          <w:sz w:val="28"/>
          <w:szCs w:val="28"/>
          <w:lang w:eastAsia="zh-CN"/>
        </w:rPr>
        <w:t>部门</w:t>
      </w:r>
      <w:r>
        <w:rPr>
          <w:rFonts w:hint="eastAsia" w:ascii="仿宋" w:hAnsi="微软雅黑" w:eastAsia="仿宋"/>
          <w:sz w:val="28"/>
          <w:szCs w:val="28"/>
        </w:rPr>
        <w:t>离退休（项）：2026年预算数为18.60万元，比上年预算增加5.44万元，增长41.34%，主要原因是本</w:t>
      </w:r>
      <w:r>
        <w:rPr>
          <w:rFonts w:hint="eastAsia" w:ascii="仿宋" w:hAnsi="微软雅黑" w:eastAsia="仿宋"/>
          <w:sz w:val="28"/>
          <w:szCs w:val="28"/>
          <w:lang w:eastAsia="zh-CN"/>
        </w:rPr>
        <w:t>部门</w:t>
      </w:r>
      <w:r>
        <w:rPr>
          <w:rFonts w:hint="eastAsia" w:ascii="仿宋" w:hAnsi="微软雅黑" w:eastAsia="仿宋"/>
          <w:sz w:val="28"/>
          <w:szCs w:val="28"/>
        </w:rPr>
        <w:t>退休人员绩效金额同比增加。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w:t>
      </w:r>
      <w:r>
        <w:rPr>
          <w:rFonts w:hint="eastAsia" w:ascii="仿宋" w:hAnsi="微软雅黑" w:eastAsia="仿宋"/>
          <w:sz w:val="28"/>
          <w:szCs w:val="28"/>
          <w:lang w:eastAsia="zh-CN"/>
        </w:rPr>
        <w:t>部门</w:t>
      </w:r>
      <w:r>
        <w:rPr>
          <w:rFonts w:hint="eastAsia" w:ascii="仿宋" w:hAnsi="微软雅黑" w:eastAsia="仿宋"/>
          <w:sz w:val="28"/>
          <w:szCs w:val="28"/>
        </w:rPr>
        <w:t>养老支出（款）机关事业</w:t>
      </w:r>
      <w:r>
        <w:rPr>
          <w:rFonts w:hint="eastAsia" w:ascii="仿宋" w:hAnsi="微软雅黑" w:eastAsia="仿宋"/>
          <w:sz w:val="28"/>
          <w:szCs w:val="28"/>
          <w:lang w:eastAsia="zh-CN"/>
        </w:rPr>
        <w:t>部门</w:t>
      </w:r>
      <w:r>
        <w:rPr>
          <w:rFonts w:hint="eastAsia" w:ascii="仿宋" w:hAnsi="微软雅黑" w:eastAsia="仿宋"/>
          <w:sz w:val="28"/>
          <w:szCs w:val="28"/>
        </w:rPr>
        <w:t>基本养老保险缴费支出（项）：2026年预算数为54.76万元，比上年预算增加0.93万元，增长1.73%，主要原因是本</w:t>
      </w:r>
      <w:r>
        <w:rPr>
          <w:rFonts w:hint="eastAsia" w:ascii="仿宋" w:hAnsi="微软雅黑" w:eastAsia="仿宋"/>
          <w:sz w:val="28"/>
          <w:szCs w:val="28"/>
          <w:lang w:eastAsia="zh-CN"/>
        </w:rPr>
        <w:t>部门</w:t>
      </w:r>
      <w:r>
        <w:rPr>
          <w:rFonts w:hint="eastAsia" w:ascii="仿宋" w:hAnsi="微软雅黑" w:eastAsia="仿宋"/>
          <w:sz w:val="28"/>
          <w:szCs w:val="28"/>
        </w:rPr>
        <w:t>人员社保基数上调费用增加。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3.社会保障和就业支出（类）行政事业</w:t>
      </w:r>
      <w:r>
        <w:rPr>
          <w:rFonts w:hint="eastAsia" w:ascii="仿宋" w:hAnsi="微软雅黑" w:eastAsia="仿宋"/>
          <w:sz w:val="28"/>
          <w:szCs w:val="28"/>
          <w:lang w:eastAsia="zh-CN"/>
        </w:rPr>
        <w:t>部门</w:t>
      </w:r>
      <w:r>
        <w:rPr>
          <w:rFonts w:hint="eastAsia" w:ascii="仿宋" w:hAnsi="微软雅黑" w:eastAsia="仿宋"/>
          <w:sz w:val="28"/>
          <w:szCs w:val="28"/>
        </w:rPr>
        <w:t>养老支出（款）机关事业</w:t>
      </w:r>
      <w:r>
        <w:rPr>
          <w:rFonts w:hint="eastAsia" w:ascii="仿宋" w:hAnsi="微软雅黑" w:eastAsia="仿宋"/>
          <w:sz w:val="28"/>
          <w:szCs w:val="28"/>
          <w:lang w:eastAsia="zh-CN"/>
        </w:rPr>
        <w:t>部门</w:t>
      </w:r>
      <w:r>
        <w:rPr>
          <w:rFonts w:hint="eastAsia" w:ascii="仿宋" w:hAnsi="微软雅黑" w:eastAsia="仿宋"/>
          <w:sz w:val="28"/>
          <w:szCs w:val="28"/>
        </w:rPr>
        <w:t>职业年金缴费支出（项）：2026年预算数为27.38万元，比上年预算增加27.38万元，增长100.00%，主要原因是本</w:t>
      </w:r>
      <w:r>
        <w:rPr>
          <w:rFonts w:hint="eastAsia" w:ascii="仿宋" w:hAnsi="微软雅黑" w:eastAsia="仿宋"/>
          <w:sz w:val="28"/>
          <w:szCs w:val="28"/>
          <w:lang w:eastAsia="zh-CN"/>
        </w:rPr>
        <w:t>部门</w:t>
      </w:r>
      <w:r>
        <w:rPr>
          <w:rFonts w:hint="eastAsia" w:ascii="仿宋" w:hAnsi="微软雅黑" w:eastAsia="仿宋"/>
          <w:sz w:val="28"/>
          <w:szCs w:val="28"/>
        </w:rPr>
        <w:t>今年增加职业年金</w:t>
      </w:r>
      <w:r>
        <w:rPr>
          <w:rFonts w:hint="eastAsia" w:ascii="仿宋" w:hAnsi="微软雅黑" w:eastAsia="仿宋"/>
          <w:sz w:val="28"/>
          <w:szCs w:val="28"/>
          <w:lang w:eastAsia="zh-CN"/>
        </w:rPr>
        <w:t>部门</w:t>
      </w:r>
      <w:r>
        <w:rPr>
          <w:rFonts w:hint="eastAsia" w:ascii="仿宋" w:hAnsi="微软雅黑" w:eastAsia="仿宋"/>
          <w:sz w:val="28"/>
          <w:szCs w:val="28"/>
        </w:rPr>
        <w:t>部分预算。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4.卫生健康支出（类）行政事业</w:t>
      </w:r>
      <w:r>
        <w:rPr>
          <w:rFonts w:hint="eastAsia" w:ascii="仿宋" w:hAnsi="微软雅黑" w:eastAsia="仿宋"/>
          <w:sz w:val="28"/>
          <w:szCs w:val="28"/>
          <w:lang w:eastAsia="zh-CN"/>
        </w:rPr>
        <w:t>部门</w:t>
      </w:r>
      <w:r>
        <w:rPr>
          <w:rFonts w:hint="eastAsia" w:ascii="仿宋" w:hAnsi="微软雅黑" w:eastAsia="仿宋"/>
          <w:sz w:val="28"/>
          <w:szCs w:val="28"/>
        </w:rPr>
        <w:t>医疗（款）行政</w:t>
      </w:r>
      <w:r>
        <w:rPr>
          <w:rFonts w:hint="eastAsia" w:ascii="仿宋" w:hAnsi="微软雅黑" w:eastAsia="仿宋"/>
          <w:sz w:val="28"/>
          <w:szCs w:val="28"/>
          <w:lang w:eastAsia="zh-CN"/>
        </w:rPr>
        <w:t>部门</w:t>
      </w:r>
      <w:r>
        <w:rPr>
          <w:rFonts w:hint="eastAsia" w:ascii="仿宋" w:hAnsi="微软雅黑" w:eastAsia="仿宋"/>
          <w:sz w:val="28"/>
          <w:szCs w:val="28"/>
        </w:rPr>
        <w:t>医疗（项）：2026年预算数为10.76万元，比上年预算增加2.80万元，增长35.18%，主要原因是本</w:t>
      </w:r>
      <w:r>
        <w:rPr>
          <w:rFonts w:hint="eastAsia" w:ascii="仿宋" w:hAnsi="微软雅黑" w:eastAsia="仿宋"/>
          <w:sz w:val="28"/>
          <w:szCs w:val="28"/>
          <w:lang w:eastAsia="zh-CN"/>
        </w:rPr>
        <w:t>部门</w:t>
      </w:r>
      <w:r>
        <w:rPr>
          <w:rFonts w:hint="eastAsia" w:ascii="仿宋" w:hAnsi="微软雅黑" w:eastAsia="仿宋"/>
          <w:sz w:val="28"/>
          <w:szCs w:val="28"/>
        </w:rPr>
        <w:t>行政人员医保基数上调费用增加。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5.卫生健康支出（类）行政事业</w:t>
      </w:r>
      <w:r>
        <w:rPr>
          <w:rFonts w:hint="eastAsia" w:ascii="仿宋" w:hAnsi="微软雅黑" w:eastAsia="仿宋"/>
          <w:sz w:val="28"/>
          <w:szCs w:val="28"/>
          <w:lang w:eastAsia="zh-CN"/>
        </w:rPr>
        <w:t>部门</w:t>
      </w:r>
      <w:r>
        <w:rPr>
          <w:rFonts w:hint="eastAsia" w:ascii="仿宋" w:hAnsi="微软雅黑" w:eastAsia="仿宋"/>
          <w:sz w:val="28"/>
          <w:szCs w:val="28"/>
        </w:rPr>
        <w:t>医疗（款）事业</w:t>
      </w:r>
      <w:r>
        <w:rPr>
          <w:rFonts w:hint="eastAsia" w:ascii="仿宋" w:hAnsi="微软雅黑" w:eastAsia="仿宋"/>
          <w:sz w:val="28"/>
          <w:szCs w:val="28"/>
          <w:lang w:eastAsia="zh-CN"/>
        </w:rPr>
        <w:t>部门</w:t>
      </w:r>
      <w:r>
        <w:rPr>
          <w:rFonts w:hint="eastAsia" w:ascii="仿宋" w:hAnsi="微软雅黑" w:eastAsia="仿宋"/>
          <w:sz w:val="28"/>
          <w:szCs w:val="28"/>
        </w:rPr>
        <w:t>医疗（项）：2026年预算数为21.75万元，比上年预算增加2.80万元，增长14.78%，主要原因是本</w:t>
      </w:r>
      <w:r>
        <w:rPr>
          <w:rFonts w:hint="eastAsia" w:ascii="仿宋" w:hAnsi="微软雅黑" w:eastAsia="仿宋"/>
          <w:sz w:val="28"/>
          <w:szCs w:val="28"/>
          <w:lang w:eastAsia="zh-CN"/>
        </w:rPr>
        <w:t>部门</w:t>
      </w:r>
      <w:r>
        <w:rPr>
          <w:rFonts w:hint="eastAsia" w:ascii="仿宋" w:hAnsi="微软雅黑" w:eastAsia="仿宋"/>
          <w:sz w:val="28"/>
          <w:szCs w:val="28"/>
        </w:rPr>
        <w:t>事业人员医保基数上调费用增加。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6.卫生健康支出（类）行政事业</w:t>
      </w:r>
      <w:r>
        <w:rPr>
          <w:rFonts w:hint="eastAsia" w:ascii="仿宋" w:hAnsi="微软雅黑" w:eastAsia="仿宋"/>
          <w:sz w:val="28"/>
          <w:szCs w:val="28"/>
          <w:lang w:eastAsia="zh-CN"/>
        </w:rPr>
        <w:t>部门</w:t>
      </w:r>
      <w:r>
        <w:rPr>
          <w:rFonts w:hint="eastAsia" w:ascii="仿宋" w:hAnsi="微软雅黑" w:eastAsia="仿宋"/>
          <w:sz w:val="28"/>
          <w:szCs w:val="28"/>
        </w:rPr>
        <w:t>医疗（款）公务员医疗补助（项）：2026年预算数为13.69万元，比上年预算增加0.23万元，增长1.71%，主要原因是本</w:t>
      </w:r>
      <w:r>
        <w:rPr>
          <w:rFonts w:hint="eastAsia" w:ascii="仿宋" w:hAnsi="微软雅黑" w:eastAsia="仿宋"/>
          <w:sz w:val="28"/>
          <w:szCs w:val="28"/>
          <w:lang w:eastAsia="zh-CN"/>
        </w:rPr>
        <w:t>部门</w:t>
      </w:r>
      <w:r>
        <w:rPr>
          <w:rFonts w:hint="eastAsia" w:ascii="仿宋" w:hAnsi="微软雅黑" w:eastAsia="仿宋"/>
          <w:sz w:val="28"/>
          <w:szCs w:val="28"/>
        </w:rPr>
        <w:t>在职人员医保基数上调费用增加。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7.卫生健康支出（类）行政事业</w:t>
      </w:r>
      <w:r>
        <w:rPr>
          <w:rFonts w:hint="eastAsia" w:ascii="仿宋" w:hAnsi="微软雅黑" w:eastAsia="仿宋"/>
          <w:sz w:val="28"/>
          <w:szCs w:val="28"/>
          <w:lang w:eastAsia="zh-CN"/>
        </w:rPr>
        <w:t>部门</w:t>
      </w:r>
      <w:r>
        <w:rPr>
          <w:rFonts w:hint="eastAsia" w:ascii="仿宋" w:hAnsi="微软雅黑" w:eastAsia="仿宋"/>
          <w:sz w:val="28"/>
          <w:szCs w:val="28"/>
        </w:rPr>
        <w:t>医疗（款）其他行政事业</w:t>
      </w:r>
      <w:r>
        <w:rPr>
          <w:rFonts w:hint="eastAsia" w:ascii="仿宋" w:hAnsi="微软雅黑" w:eastAsia="仿宋"/>
          <w:sz w:val="28"/>
          <w:szCs w:val="28"/>
          <w:lang w:eastAsia="zh-CN"/>
        </w:rPr>
        <w:t>部门</w:t>
      </w:r>
      <w:r>
        <w:rPr>
          <w:rFonts w:hint="eastAsia" w:ascii="仿宋" w:hAnsi="微软雅黑" w:eastAsia="仿宋"/>
          <w:sz w:val="28"/>
          <w:szCs w:val="28"/>
        </w:rPr>
        <w:t>医疗支出（项）：2026年预算数为0.34万元，比上年预算增加0.01万元，增长3.03%，主要原因是本</w:t>
      </w:r>
      <w:r>
        <w:rPr>
          <w:rFonts w:hint="eastAsia" w:ascii="仿宋" w:hAnsi="微软雅黑" w:eastAsia="仿宋"/>
          <w:sz w:val="28"/>
          <w:szCs w:val="28"/>
          <w:lang w:eastAsia="zh-CN"/>
        </w:rPr>
        <w:t>部门</w:t>
      </w:r>
      <w:r>
        <w:rPr>
          <w:rFonts w:hint="eastAsia" w:ascii="仿宋" w:hAnsi="微软雅黑" w:eastAsia="仿宋"/>
          <w:sz w:val="28"/>
          <w:szCs w:val="28"/>
        </w:rPr>
        <w:t>在职人员医保基数上调费用增加。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8.节能环保支出（类）森林保护修复（款）森林管护（项）：2026年预算数为626.63万元，比上年预算减少188.37万元，下降23.11%，主要原因是本</w:t>
      </w:r>
      <w:r>
        <w:rPr>
          <w:rFonts w:hint="eastAsia" w:ascii="仿宋" w:hAnsi="微软雅黑" w:eastAsia="仿宋"/>
          <w:sz w:val="28"/>
          <w:szCs w:val="28"/>
          <w:lang w:eastAsia="zh-CN"/>
        </w:rPr>
        <w:t>部门</w:t>
      </w:r>
      <w:r>
        <w:rPr>
          <w:rFonts w:hint="eastAsia" w:ascii="仿宋" w:hAnsi="微软雅黑" w:eastAsia="仿宋"/>
          <w:sz w:val="28"/>
          <w:szCs w:val="28"/>
        </w:rPr>
        <w:t>2026年中央林业草原生态保护恢复项目下达资金金额额度减少。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9.节能环保支出（类）风沙荒漠治理（款）其他风沙荒漠治理支出（项）：2026年预算数为0.00万元，比上年预算减少162.67万元，下降100.00%，主要原因是本</w:t>
      </w:r>
      <w:r>
        <w:rPr>
          <w:rFonts w:hint="eastAsia" w:ascii="仿宋" w:hAnsi="微软雅黑" w:eastAsia="仿宋"/>
          <w:sz w:val="28"/>
          <w:szCs w:val="28"/>
          <w:lang w:eastAsia="zh-CN"/>
        </w:rPr>
        <w:t>部门</w:t>
      </w:r>
      <w:r>
        <w:rPr>
          <w:rFonts w:hint="eastAsia" w:ascii="仿宋" w:hAnsi="微软雅黑" w:eastAsia="仿宋"/>
          <w:sz w:val="28"/>
          <w:szCs w:val="28"/>
        </w:rPr>
        <w:t>2026年未下达“三北”工程补助资金预算。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10.农林水支出（类）林业和草原（款）行政运行（项）：2026年预算数为159.64万元，比上年预算增加17.64万元，增长12.42%，主要原因是本</w:t>
      </w:r>
      <w:r>
        <w:rPr>
          <w:rFonts w:hint="eastAsia" w:ascii="仿宋" w:hAnsi="微软雅黑" w:eastAsia="仿宋"/>
          <w:sz w:val="28"/>
          <w:szCs w:val="28"/>
          <w:lang w:eastAsia="zh-CN"/>
        </w:rPr>
        <w:t>部门</w:t>
      </w:r>
      <w:r>
        <w:rPr>
          <w:rFonts w:hint="eastAsia" w:ascii="仿宋" w:hAnsi="微软雅黑" w:eastAsia="仿宋"/>
          <w:sz w:val="28"/>
          <w:szCs w:val="28"/>
        </w:rPr>
        <w:t>新增调入行政人员2名，工资费用增加。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11.农林水支出（类）林业和草原（款）一般行政管理事务（项）：2026年预算数为11.56万元，比上年预算增加11.56万元，增长100.00%，主要原因是本</w:t>
      </w:r>
      <w:r>
        <w:rPr>
          <w:rFonts w:hint="eastAsia" w:ascii="仿宋" w:hAnsi="微软雅黑" w:eastAsia="仿宋"/>
          <w:sz w:val="28"/>
          <w:szCs w:val="28"/>
          <w:lang w:eastAsia="zh-CN"/>
        </w:rPr>
        <w:t>部门</w:t>
      </w:r>
      <w:r>
        <w:rPr>
          <w:rFonts w:hint="eastAsia" w:ascii="仿宋" w:hAnsi="微软雅黑" w:eastAsia="仿宋"/>
          <w:sz w:val="28"/>
          <w:szCs w:val="28"/>
        </w:rPr>
        <w:t>新增2026年支付各类其他刚性资金项目预算。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12.农林水支出（类）林业和草原（款）事业机构（项）：2026年预算数为260.26万元，比上年预算减少4.98万元，下降1.88%，主要原因是本</w:t>
      </w:r>
      <w:r>
        <w:rPr>
          <w:rFonts w:hint="eastAsia" w:ascii="仿宋" w:hAnsi="微软雅黑" w:eastAsia="仿宋"/>
          <w:sz w:val="28"/>
          <w:szCs w:val="28"/>
          <w:lang w:eastAsia="zh-CN"/>
        </w:rPr>
        <w:t>部门</w:t>
      </w:r>
      <w:r>
        <w:rPr>
          <w:rFonts w:hint="eastAsia" w:ascii="仿宋" w:hAnsi="微软雅黑" w:eastAsia="仿宋"/>
          <w:sz w:val="28"/>
          <w:szCs w:val="28"/>
        </w:rPr>
        <w:t>减少调出事业人员2名、辞职1名，人员费用预算减少。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13.农林水支出（类）林业和草原（款）森林资源培育（项）：2026年预算数为0.00万元，比上年预算减少50.00万元，下降100.00%，主要原因是本</w:t>
      </w:r>
      <w:r>
        <w:rPr>
          <w:rFonts w:hint="eastAsia" w:ascii="仿宋" w:hAnsi="微软雅黑" w:eastAsia="仿宋"/>
          <w:sz w:val="28"/>
          <w:szCs w:val="28"/>
          <w:lang w:eastAsia="zh-CN"/>
        </w:rPr>
        <w:t>部门</w:t>
      </w:r>
      <w:r>
        <w:rPr>
          <w:rFonts w:hint="eastAsia" w:ascii="仿宋" w:hAnsi="微软雅黑" w:eastAsia="仿宋"/>
          <w:sz w:val="28"/>
          <w:szCs w:val="28"/>
        </w:rPr>
        <w:t>2026年未下达林木良种资源培育项目预算资金。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14.农林水支出（类）林业和草原（款）产业化管理（项）：2026年预算数为15.00万元，比上年预算增加15.00万元，增长100.00%，主要原因是本</w:t>
      </w:r>
      <w:r>
        <w:rPr>
          <w:rFonts w:hint="eastAsia" w:ascii="仿宋" w:hAnsi="微软雅黑" w:eastAsia="仿宋"/>
          <w:sz w:val="28"/>
          <w:szCs w:val="28"/>
          <w:lang w:eastAsia="zh-CN"/>
        </w:rPr>
        <w:t>部门</w:t>
      </w:r>
      <w:r>
        <w:rPr>
          <w:rFonts w:hint="eastAsia" w:ascii="仿宋" w:hAnsi="微软雅黑" w:eastAsia="仿宋"/>
          <w:sz w:val="28"/>
          <w:szCs w:val="28"/>
        </w:rPr>
        <w:t>新增2026年自治区林草专项资金-（林草现代产业体系构建支出-全疆林果业发展）项目资金。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15.农林水支出（类）林业和草原（款）林业草原防灾减灾（项）：2026年预算数为12.00万元，比上年预算减少32.00万元，下降72.73%，主要原因是本</w:t>
      </w:r>
      <w:r>
        <w:rPr>
          <w:rFonts w:hint="eastAsia" w:ascii="仿宋" w:hAnsi="微软雅黑" w:eastAsia="仿宋"/>
          <w:sz w:val="28"/>
          <w:szCs w:val="28"/>
          <w:lang w:eastAsia="zh-CN"/>
        </w:rPr>
        <w:t>部门</w:t>
      </w:r>
      <w:r>
        <w:rPr>
          <w:rFonts w:hint="eastAsia" w:ascii="仿宋" w:hAnsi="微软雅黑" w:eastAsia="仿宋"/>
          <w:sz w:val="28"/>
          <w:szCs w:val="28"/>
        </w:rPr>
        <w:t>2026年未下达中央林业草原改革发展资金预算（第二批）-林业有害生物防治-草原虫害防控项目资金。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16.农林水支出（类）林业和草原（款）退耕还林还草（项）：2026年预算数为397.60万元，比上年预算减少160.76万元，下降28.79%，主要原因是本</w:t>
      </w:r>
      <w:r>
        <w:rPr>
          <w:rFonts w:hint="eastAsia" w:ascii="仿宋" w:hAnsi="微软雅黑" w:eastAsia="仿宋"/>
          <w:sz w:val="28"/>
          <w:szCs w:val="28"/>
          <w:lang w:eastAsia="zh-CN"/>
        </w:rPr>
        <w:t>部门</w:t>
      </w:r>
      <w:r>
        <w:rPr>
          <w:rFonts w:hint="eastAsia" w:ascii="仿宋" w:hAnsi="微软雅黑" w:eastAsia="仿宋"/>
          <w:sz w:val="28"/>
          <w:szCs w:val="28"/>
        </w:rPr>
        <w:t>2026年中央林业草原改革发展资金（国土绿化支出）项目资金下达额度减少。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17.住房保障支出（类）住房改革支出（款）住房公积金（项）：2026年预算数为46.25万元，比上年预算增加1.55万元，增长3.47%，主要原因是本</w:t>
      </w:r>
      <w:r>
        <w:rPr>
          <w:rFonts w:hint="eastAsia" w:ascii="仿宋" w:hAnsi="微软雅黑" w:eastAsia="仿宋"/>
          <w:sz w:val="28"/>
          <w:szCs w:val="28"/>
          <w:lang w:eastAsia="zh-CN"/>
        </w:rPr>
        <w:t>部门</w:t>
      </w:r>
      <w:r>
        <w:rPr>
          <w:rFonts w:hint="eastAsia" w:ascii="仿宋" w:hAnsi="微软雅黑" w:eastAsia="仿宋"/>
          <w:sz w:val="28"/>
          <w:szCs w:val="28"/>
        </w:rPr>
        <w:t>在职人员公积金基数上调，住房公积金费用增加。</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关于呼图壁县林业和草原局2026年一般公共预算基本支出情况说明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呼图壁县林业和草原局2026年一般公共预算基本支出613.44万元，其中：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人员经费584.86万元，主要包括：基本工资、津贴补贴、奖金、绩效工资、机关事业</w:t>
      </w:r>
      <w:r>
        <w:rPr>
          <w:rFonts w:hint="eastAsia" w:ascii="仿宋" w:hAnsi="微软雅黑" w:eastAsia="仿宋"/>
          <w:sz w:val="28"/>
          <w:szCs w:val="28"/>
          <w:lang w:eastAsia="zh-CN"/>
        </w:rPr>
        <w:t>部门</w:t>
      </w:r>
      <w:r>
        <w:rPr>
          <w:rFonts w:hint="eastAsia" w:ascii="仿宋" w:hAnsi="微软雅黑" w:eastAsia="仿宋"/>
          <w:sz w:val="28"/>
          <w:szCs w:val="28"/>
        </w:rPr>
        <w:t>基本养老保险缴费、职业年金缴费、职工基本医疗保险缴费、公务员医疗补助缴费、其他社会保障缴费、住房公积金、退休费、生活补助、奖励金。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公用经费28.59万元，主要包括：办公费、水费、电费、邮电费、培训费、工会经费、公务用车运行维护费、其他交通费用。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关于呼图壁县林业和草原局2026年一般公共预算项目支出情况说明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设立的政策依据：《2025年呼图壁县财经委员会第五次会议纪要》（呼党财【2025】5号）。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预算安排规模：11.56万元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w:t>
      </w:r>
      <w:r>
        <w:rPr>
          <w:rFonts w:hint="eastAsia" w:ascii="仿宋" w:hAnsi="微软雅黑" w:eastAsia="仿宋"/>
          <w:sz w:val="28"/>
          <w:szCs w:val="28"/>
          <w:lang w:eastAsia="zh-CN"/>
        </w:rPr>
        <w:t>部门</w:t>
      </w:r>
      <w:r>
        <w:rPr>
          <w:rFonts w:hint="eastAsia" w:ascii="仿宋" w:hAnsi="微软雅黑" w:eastAsia="仿宋"/>
          <w:sz w:val="28"/>
          <w:szCs w:val="28"/>
        </w:rPr>
        <w:t>：呼图壁县林业和草原局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办公费4.46万元，资金主要用于采购日常办公所需的消耗性物资，具体包括：用于文件打印、材料印制、表格绘制的各类规格A4复印纸；保障局机关各科室打印机、复印机、传真机正常运转的硒鼓、墨盒等打印耗材；以及笔、笔记本、文件夹、档案盒、订书机等零星办公用品的购置与补充。差旅费2万元，主要用于保障局机关及下属站所工作人员因公到县市、乡镇林区开展公务活动所产生的费用，包括城市间交通费、住宿费、伙食补助费和市内交通费。邮电费0.5万元，用于支付办公场所的固定电话通讯费、网络宽带费以及必要信函、包裹的邮寄费用。公务接待费1万元，用于接待上级部门调研指导。印刷费1万元，重点用于印制森林防火宣传单（册）、林长制公示牌内容更新、野生动植物保护宣传海报。水费0.8万元与电费0.8万元，维持林草局办公楼日常运转的基础能源消耗支出，包括办公室照明、电脑设备、空调取暖制冷以及日常清洁用水的费用。委托业务费0.5万元，主要用于解决因专业限制或突发任务导致内部无法承担的临时性业务。其他商品和服务支出0.5万元，支付上述科目未涵盖但必须发生的零星支出，确保能够灵活应对不可预见的小额刚性需求。</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（二）项目名称：2026年中央林业草原改革发展资金（国土绿化支出）项目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设立的政策依据：《关于提前下达2026年中央林业草原改革发展资金预算的通知》（昌州财建【2025】118号）。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预算安排规模：397.60万元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w:t>
      </w:r>
      <w:r>
        <w:rPr>
          <w:rFonts w:hint="eastAsia" w:ascii="仿宋" w:hAnsi="微软雅黑" w:eastAsia="仿宋"/>
          <w:sz w:val="28"/>
          <w:szCs w:val="28"/>
          <w:lang w:eastAsia="zh-CN"/>
        </w:rPr>
        <w:t>部门</w:t>
      </w:r>
      <w:r>
        <w:rPr>
          <w:rFonts w:hint="eastAsia" w:ascii="仿宋" w:hAnsi="微软雅黑" w:eastAsia="仿宋"/>
          <w:sz w:val="28"/>
          <w:szCs w:val="28"/>
        </w:rPr>
        <w:t>：呼图壁县林业和草原局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巩固退耕还林成果抚育管护、补植补造2017和2018年新一轮延长期补助面积39760亩，100元/亩，投资397.6万元；巩固新一轮退耕还林能逐步提高呼图壁县森林覆盖率，有效改善呼图壁县的生态环境，促进当地社会、经济可持续发展，经济、生态、社会综合效益显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资金来源：上级一般公共预算安排的转移支付资金。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补贴标准：100元/亩。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补贴范围：退耕还林户。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补贴方式：通过财政大平台发放至退耕还林户一卡通内。</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发放程序：退耕还林户完成补植补造经本</w:t>
      </w:r>
      <w:r>
        <w:rPr>
          <w:rFonts w:hint="eastAsia" w:ascii="仿宋" w:hAnsi="微软雅黑" w:eastAsia="仿宋"/>
          <w:sz w:val="28"/>
          <w:szCs w:val="28"/>
          <w:lang w:eastAsia="zh-CN"/>
        </w:rPr>
        <w:t>部门</w:t>
      </w:r>
      <w:r>
        <w:rPr>
          <w:rFonts w:hint="eastAsia" w:ascii="仿宋" w:hAnsi="微软雅黑" w:eastAsia="仿宋"/>
          <w:sz w:val="28"/>
          <w:szCs w:val="28"/>
        </w:rPr>
        <w:t>生态修复科验收合格后向县财政申请资金，通过财政大平台发放至退耕还林户一卡通内。</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受益人群和社会效益：退耕还林户，改善林区面貌，带动经济发展，树立林业形象，建设和谐林区。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（三）项目名称：2026年自治区林草专项资金（林草支撑保障体系支出-有害生物防治）</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设立的政策依据：《关于提前下达2026年自治区林草专项资金预算的通知》（昌州财建【2025】133号）。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预算安排规模：12.00万元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w:t>
      </w:r>
      <w:r>
        <w:rPr>
          <w:rFonts w:hint="eastAsia" w:ascii="仿宋" w:hAnsi="微软雅黑" w:eastAsia="仿宋"/>
          <w:sz w:val="28"/>
          <w:szCs w:val="28"/>
          <w:lang w:eastAsia="zh-CN"/>
        </w:rPr>
        <w:t>部门</w:t>
      </w:r>
      <w:r>
        <w:rPr>
          <w:rFonts w:hint="eastAsia" w:ascii="仿宋" w:hAnsi="微软雅黑" w:eastAsia="仿宋"/>
          <w:sz w:val="28"/>
          <w:szCs w:val="28"/>
        </w:rPr>
        <w:t>：呼图壁县林业和草原局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药剂费6.42万元，主要用于采购成虫期消杀专用药剂，按科学配比对1200亩虫害区域实施精准喷药；防治服务费5.58万元，主要用于专业化防治作业实施，包括设备操作、疫情监测及隔离带建设（清理植被、设置物理屏障），阻断虫害跨区域传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（四）项目名称：2026年自治区林草专项资金-（林草现代产业体系构建支出-全疆林果业发展）</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设立的政策依据：《关于提前下达2026年自治区林草专项资金预算的通知》（昌州财建【2025】133号）。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预算安排规模：15.00万元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w:t>
      </w:r>
      <w:r>
        <w:rPr>
          <w:rFonts w:hint="eastAsia" w:ascii="仿宋" w:hAnsi="微软雅黑" w:eastAsia="仿宋"/>
          <w:sz w:val="28"/>
          <w:szCs w:val="28"/>
          <w:lang w:eastAsia="zh-CN"/>
        </w:rPr>
        <w:t>部门</w:t>
      </w:r>
      <w:r>
        <w:rPr>
          <w:rFonts w:hint="eastAsia" w:ascii="仿宋" w:hAnsi="微软雅黑" w:eastAsia="仿宋"/>
          <w:sz w:val="28"/>
          <w:szCs w:val="28"/>
        </w:rPr>
        <w:t>：呼图壁县林业和草原局</w:t>
      </w:r>
    </w:p>
    <w:p>
      <w:pPr>
        <w:widowControl/>
        <w:spacing w:line="560" w:lineRule="exact"/>
        <w:ind w:left="558" w:leftChars="266" w:firstLine="0" w:firstLineChars="0"/>
        <w:jc w:val="both"/>
        <w:rPr>
          <w:rFonts w:hint="default" w:ascii="仿宋" w:hAnsi="微软雅黑" w:eastAsia="仿宋" w:cs="Times New Roman"/>
          <w:sz w:val="28"/>
          <w:szCs w:val="28"/>
        </w:rPr>
      </w:pPr>
      <w:r>
        <w:rPr>
          <w:rFonts w:hint="eastAsia" w:ascii="仿宋" w:hAnsi="微软雅黑" w:eastAsia="仿宋"/>
          <w:sz w:val="28"/>
          <w:szCs w:val="28"/>
        </w:rPr>
        <w:t>资金分配情况：呼图壁县林海苗木种植农民专业合作</w:t>
      </w:r>
      <w:r>
        <w:rPr>
          <w:rFonts w:hint="eastAsia" w:ascii="仿宋" w:hAnsi="微软雅黑" w:eastAsia="仿宋"/>
          <w:sz w:val="28"/>
          <w:szCs w:val="28"/>
          <w:lang w:eastAsia="zh-CN"/>
        </w:rPr>
        <w:t>在</w:t>
      </w:r>
      <w:r>
        <w:rPr>
          <w:rFonts w:hint="eastAsia" w:ascii="仿宋" w:hAnsi="微软雅黑" w:eastAsia="仿宋"/>
          <w:sz w:val="28"/>
          <w:szCs w:val="28"/>
        </w:rPr>
        <w:t>呼图壁县二十里店镇小土古里村三组、园户村镇和庄村三组。</w:t>
      </w:r>
      <w:r>
        <w:rPr>
          <w:rFonts w:hint="eastAsia" w:ascii="仿宋" w:hAnsi="微软雅黑" w:eastAsia="仿宋" w:cs="Times New Roman"/>
          <w:sz w:val="28"/>
          <w:szCs w:val="28"/>
        </w:rPr>
        <w:t>建设100亩香妃海棠简约化栽培标准示范园，购买林果机械牵引式风送喷雾机1台、抓枝机1台、避障式割草机1合和果园运输拖车1辆，购买防防冻网，配套滴灌设施，完成64亩香妃海棠示范园灌设施更新，落实香妃海棠简约化栽培技术措施，促进树体提早结果与丰产，</w:t>
      </w:r>
      <w:r>
        <w:rPr>
          <w:rFonts w:hint="eastAsia" w:ascii="仿宋" w:hAnsi="微软雅黑" w:eastAsia="仿宋" w:cs="Times New Roman"/>
          <w:sz w:val="28"/>
          <w:szCs w:val="28"/>
          <w:lang w:eastAsia="zh-CN"/>
        </w:rPr>
        <w:t>预计</w:t>
      </w:r>
      <w:r>
        <w:rPr>
          <w:rFonts w:hint="eastAsia" w:ascii="仿宋" w:hAnsi="微软雅黑" w:eastAsia="仿宋" w:cs="Times New Roman"/>
          <w:sz w:val="28"/>
          <w:szCs w:val="28"/>
          <w:lang w:val="en-US" w:eastAsia="zh-CN"/>
        </w:rPr>
        <w:t>15万元</w:t>
      </w:r>
      <w:r>
        <w:rPr>
          <w:rFonts w:hint="eastAsia" w:ascii="仿宋" w:hAnsi="微软雅黑" w:eastAsia="仿宋" w:cs="Times New Roman"/>
          <w:sz w:val="28"/>
          <w:szCs w:val="28"/>
          <w:lang w:eastAsia="zh-CN"/>
        </w:rPr>
        <w:t>资金</w:t>
      </w:r>
      <w:r>
        <w:rPr>
          <w:rFonts w:hint="eastAsia" w:ascii="仿宋" w:hAnsi="微软雅黑" w:eastAsia="仿宋" w:cs="Times New Roman"/>
          <w:sz w:val="28"/>
          <w:szCs w:val="28"/>
          <w:lang w:val="en-US" w:eastAsia="zh-CN"/>
        </w:rPr>
        <w:t>全部用于</w:t>
      </w:r>
      <w:r>
        <w:rPr>
          <w:rFonts w:hint="eastAsia" w:ascii="仿宋" w:hAnsi="微软雅黑" w:eastAsia="仿宋" w:cs="Times New Roman"/>
          <w:sz w:val="28"/>
          <w:szCs w:val="28"/>
        </w:rPr>
        <w:t>提升果品品质。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（五）项目名称：2026年中央林业草原生态保护恢复项目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设立的政策依据：《关于提前下达2026年中央林业草原生态保护恢复资金预算的通知》（昌州财建【2025】119号）。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预算安排规模：626.63万元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w:t>
      </w:r>
      <w:r>
        <w:rPr>
          <w:rFonts w:hint="eastAsia" w:ascii="仿宋" w:hAnsi="微软雅黑" w:eastAsia="仿宋"/>
          <w:sz w:val="28"/>
          <w:szCs w:val="28"/>
          <w:lang w:eastAsia="zh-CN"/>
        </w:rPr>
        <w:t>部门</w:t>
      </w:r>
      <w:r>
        <w:rPr>
          <w:rFonts w:hint="eastAsia" w:ascii="仿宋" w:hAnsi="微软雅黑" w:eastAsia="仿宋"/>
          <w:sz w:val="28"/>
          <w:szCs w:val="28"/>
        </w:rPr>
        <w:t>：呼图壁县林业和草原局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护林员劳务费512.4万元，管护站及森林防火车辆保险费、维护费、燃油费10.3万元，管护站及防火库电费13万元，红外摄像机48套、监测费、管护站日常保障费、办公费、防火演练等87.93万元，智能管护系统维护费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资金执行时间：2026年1月1日—12月31日。</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关于呼图壁县林业和草原局2026年政府性基金预算拨款情况说明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呼图壁县林业和草原局2026年没有使用政府性基金预算拨款安排的支出，政府性基金预算支出情况表为空表。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关于呼图壁县林业和草原局2026年国有资本经营预算拨款情况说明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呼图壁县林业和草原局2026年没有使用国有资本经营预算拨款安排的支出，国有资本经营预算支出情况表为空表。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关于呼图壁县林业和草原局2026年财政拨款“三公”经费预算情况说明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呼图壁县林业和草原局2026年财政拨款“三公”经费数为2.41万元，其中：因公出国（境）费用0.00万元，公务用车购置0.00万元，公务用车运行维护费1.41万元，公务接待费1.00万元。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增加0.90万元，增长59.60%，其中：因公出国（境）费用增加0.00万元，增长0.00%，主要原因是2025年与2026年均未安排因公出国（境）费用；公务用车购置增加0.00万元，增长0.00%，主要原因是2025年与2026年均未安排公务用车购置；公务用车运行维护费增加0.00万元，增长0.00%，主要原因是本</w:t>
      </w:r>
      <w:r>
        <w:rPr>
          <w:rFonts w:hint="eastAsia" w:ascii="仿宋" w:hAnsi="微软雅黑" w:eastAsia="仿宋"/>
          <w:sz w:val="28"/>
          <w:szCs w:val="28"/>
          <w:lang w:eastAsia="zh-CN"/>
        </w:rPr>
        <w:t>部门</w:t>
      </w:r>
      <w:r>
        <w:rPr>
          <w:rFonts w:hint="eastAsia" w:ascii="仿宋" w:hAnsi="微软雅黑" w:eastAsia="仿宋"/>
          <w:sz w:val="28"/>
          <w:szCs w:val="28"/>
        </w:rPr>
        <w:t>严格落实财政过紧日子要求，公务用车运行维护费厉行节约未增长；公务接待费增加0.90万元，增长900.00%，主要原因是本</w:t>
      </w:r>
      <w:r>
        <w:rPr>
          <w:rFonts w:hint="eastAsia" w:ascii="仿宋" w:hAnsi="微软雅黑" w:eastAsia="仿宋"/>
          <w:sz w:val="28"/>
          <w:szCs w:val="28"/>
          <w:lang w:eastAsia="zh-CN"/>
        </w:rPr>
        <w:t>部门</w:t>
      </w:r>
      <w:r>
        <w:rPr>
          <w:rFonts w:hint="eastAsia" w:ascii="仿宋" w:hAnsi="微软雅黑" w:eastAsia="仿宋"/>
          <w:sz w:val="28"/>
          <w:szCs w:val="28"/>
        </w:rPr>
        <w:t>严格按照中央八项规定精神及公务接待管理办法，增加用于接待上级部门调研指导的预算。</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关于呼图壁县林业和草原局2026年财政拨款委托业务费支出情况说明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呼图壁县林业和草原局2026年委托业务费100.43万元，其中：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1.2026年支付各类其他刚性资金委托业务费0.50万元，主要用于：本</w:t>
      </w:r>
      <w:r>
        <w:rPr>
          <w:rFonts w:hint="eastAsia" w:ascii="仿宋" w:hAnsi="微软雅黑" w:eastAsia="仿宋"/>
          <w:sz w:val="28"/>
          <w:szCs w:val="28"/>
          <w:lang w:eastAsia="zh-CN"/>
        </w:rPr>
        <w:t>部门</w:t>
      </w:r>
      <w:r>
        <w:rPr>
          <w:rFonts w:hint="eastAsia" w:ascii="仿宋" w:hAnsi="微软雅黑" w:eastAsia="仿宋"/>
          <w:sz w:val="28"/>
          <w:szCs w:val="28"/>
        </w:rPr>
        <w:t>解决因专业限制或突发任务导致内部无法承担的临时性业务，如委托专业机构进行资产清查、财务软件维护、小型设备维修或聘请外部专家进行短期技术咨询。</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2.2026年中央林业草原生态保护恢复项目委托业务费87.93万元，主要用于：本</w:t>
      </w:r>
      <w:r>
        <w:rPr>
          <w:rFonts w:hint="eastAsia" w:ascii="仿宋" w:hAnsi="微软雅黑" w:eastAsia="仿宋"/>
          <w:sz w:val="28"/>
          <w:szCs w:val="28"/>
          <w:lang w:eastAsia="zh-CN"/>
        </w:rPr>
        <w:t>部门</w:t>
      </w:r>
      <w:r>
        <w:rPr>
          <w:rFonts w:hint="eastAsia" w:ascii="仿宋" w:hAnsi="微软雅黑" w:eastAsia="仿宋"/>
          <w:sz w:val="28"/>
          <w:szCs w:val="28"/>
        </w:rPr>
        <w:t>2026年中央林业草原生态保护恢复项目红外摄像机48套维护费、监测费、管护站日常保障费、办公费、防火演练等。</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3.2026年自治区林草专项资金（林草支撑保障体系支出-有害生物防治）委托业务费12.00万元，主要用于：本</w:t>
      </w:r>
      <w:r>
        <w:rPr>
          <w:rFonts w:hint="eastAsia" w:ascii="仿宋" w:hAnsi="微软雅黑" w:eastAsia="仿宋"/>
          <w:sz w:val="28"/>
          <w:szCs w:val="28"/>
          <w:lang w:eastAsia="zh-CN"/>
        </w:rPr>
        <w:t>部门</w:t>
      </w:r>
      <w:r>
        <w:rPr>
          <w:rFonts w:hint="eastAsia" w:ascii="仿宋" w:hAnsi="微软雅黑" w:eastAsia="仿宋"/>
          <w:sz w:val="28"/>
          <w:szCs w:val="28"/>
        </w:rPr>
        <w:t>2026年自治区林草专项资金（林草支撑保障体系支出-有害生物防治）项目药剂费6.42万元采购成虫期消杀专用药剂，按科学配比对1200亩虫害区域实施精准喷药；防治服务费5.58万元专业化防治作业实施，包括设备操作、疫情监测及隔离带建设（清理植被、设置物理屏障），阻断虫害跨区域传播。</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关于呼图壁县林业和草原局2026年上年结转结余预算情况说明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呼图壁县林业和草原局2026年上年结转结余400.95万元，包括：财政拨款400.95万元，非财政拨款0.00万元，其中：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1.2024年第三批中央财政林业草原生态保护恢复资金（森林生态保护恢复）结转71.79万元，主要用于：本</w:t>
      </w:r>
      <w:r>
        <w:rPr>
          <w:rFonts w:hint="eastAsia" w:ascii="仿宋" w:hAnsi="微软雅黑" w:eastAsia="仿宋"/>
          <w:sz w:val="28"/>
          <w:szCs w:val="28"/>
          <w:lang w:eastAsia="zh-CN"/>
        </w:rPr>
        <w:t>部门</w:t>
      </w:r>
      <w:r>
        <w:rPr>
          <w:rFonts w:hint="eastAsia" w:ascii="仿宋" w:hAnsi="微软雅黑" w:eastAsia="仿宋"/>
          <w:sz w:val="28"/>
          <w:szCs w:val="28"/>
        </w:rPr>
        <w:t>修建维护管护站。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2.2024年林业草原生态保护恢复资金-国家公益林管护613万元结转21.99万元，主要用于：本</w:t>
      </w:r>
      <w:r>
        <w:rPr>
          <w:rFonts w:hint="eastAsia" w:ascii="仿宋" w:hAnsi="微软雅黑" w:eastAsia="仿宋"/>
          <w:sz w:val="28"/>
          <w:szCs w:val="28"/>
          <w:lang w:eastAsia="zh-CN"/>
        </w:rPr>
        <w:t>部门</w:t>
      </w:r>
      <w:r>
        <w:rPr>
          <w:rFonts w:hint="eastAsia" w:ascii="仿宋" w:hAnsi="微软雅黑" w:eastAsia="仿宋"/>
          <w:sz w:val="28"/>
          <w:szCs w:val="28"/>
        </w:rPr>
        <w:t>管护站办公耗材费、购买办公用品、生活保障用品、宣传费用等。</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3.2024年中央财政“三北”工程补助资金（沙化土地封禁保护补助支出）项目结转16.24万元，主要用于：本</w:t>
      </w:r>
      <w:r>
        <w:rPr>
          <w:rFonts w:hint="eastAsia" w:ascii="仿宋" w:hAnsi="微软雅黑" w:eastAsia="仿宋"/>
          <w:sz w:val="28"/>
          <w:szCs w:val="28"/>
          <w:lang w:eastAsia="zh-CN"/>
        </w:rPr>
        <w:t>部门</w:t>
      </w:r>
      <w:r>
        <w:rPr>
          <w:rFonts w:hint="eastAsia" w:ascii="仿宋" w:hAnsi="微软雅黑" w:eastAsia="仿宋"/>
          <w:sz w:val="28"/>
          <w:szCs w:val="28"/>
        </w:rPr>
        <w:t>沙化土地封禁保护补偿项目。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4.2024年中央财政林业草原生态保护恢复资金（第二批）-野生动物收容救护项目结转0.57万元，主要用于：本</w:t>
      </w:r>
      <w:r>
        <w:rPr>
          <w:rFonts w:hint="eastAsia" w:ascii="仿宋" w:hAnsi="微软雅黑" w:eastAsia="仿宋"/>
          <w:sz w:val="28"/>
          <w:szCs w:val="28"/>
          <w:lang w:eastAsia="zh-CN"/>
        </w:rPr>
        <w:t>部门</w:t>
      </w:r>
      <w:r>
        <w:rPr>
          <w:rFonts w:hint="eastAsia" w:ascii="仿宋" w:hAnsi="微软雅黑" w:eastAsia="仿宋"/>
          <w:sz w:val="28"/>
          <w:szCs w:val="28"/>
        </w:rPr>
        <w:t>野生动物收容救护项目。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5.2024年中央林业草原改革发展资金-草原有害生物防治项目工程款3万元结转0.10万元，主要用于：本</w:t>
      </w:r>
      <w:r>
        <w:rPr>
          <w:rFonts w:hint="eastAsia" w:ascii="仿宋" w:hAnsi="微软雅黑" w:eastAsia="仿宋"/>
          <w:sz w:val="28"/>
          <w:szCs w:val="28"/>
          <w:lang w:eastAsia="zh-CN"/>
        </w:rPr>
        <w:t>部门</w:t>
      </w:r>
      <w:r>
        <w:rPr>
          <w:rFonts w:hint="eastAsia" w:ascii="仿宋" w:hAnsi="微软雅黑" w:eastAsia="仿宋"/>
          <w:sz w:val="28"/>
          <w:szCs w:val="28"/>
        </w:rPr>
        <w:t>草原有害生物防治。</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6.2024年中央林业草原改革发展资金-新一轮退耕还林还草补助资金549.574万元结转7.86万元，主要用于：本</w:t>
      </w:r>
      <w:r>
        <w:rPr>
          <w:rFonts w:hint="eastAsia" w:ascii="仿宋" w:hAnsi="微软雅黑" w:eastAsia="仿宋"/>
          <w:sz w:val="28"/>
          <w:szCs w:val="28"/>
          <w:lang w:eastAsia="zh-CN"/>
        </w:rPr>
        <w:t>部门</w:t>
      </w:r>
      <w:r>
        <w:rPr>
          <w:rFonts w:hint="eastAsia" w:ascii="仿宋" w:hAnsi="微软雅黑" w:eastAsia="仿宋"/>
          <w:sz w:val="28"/>
          <w:szCs w:val="28"/>
        </w:rPr>
        <w:t>新一轮退耕还林第补助。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7.2024年中央林业草原改革发展资金预算（第二批）-林业有害生物防治-草原虫害防控及林草良种培育补助结转1.77万元，主要用于：本</w:t>
      </w:r>
      <w:r>
        <w:rPr>
          <w:rFonts w:hint="eastAsia" w:ascii="仿宋" w:hAnsi="微软雅黑" w:eastAsia="仿宋"/>
          <w:sz w:val="28"/>
          <w:szCs w:val="28"/>
          <w:lang w:eastAsia="zh-CN"/>
        </w:rPr>
        <w:t>部门</w:t>
      </w:r>
      <w:r>
        <w:rPr>
          <w:rFonts w:hint="eastAsia" w:ascii="仿宋" w:hAnsi="微软雅黑" w:eastAsia="仿宋"/>
          <w:sz w:val="28"/>
          <w:szCs w:val="28"/>
        </w:rPr>
        <w:t>草原有害生物防治。</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8.2024年中央农业生态资源保护资金预算-发放2024年中央农业生态资源保护资金2617.12万元结转0.65万元，主要用于：本</w:t>
      </w:r>
      <w:r>
        <w:rPr>
          <w:rFonts w:hint="eastAsia" w:ascii="仿宋" w:hAnsi="微软雅黑" w:eastAsia="仿宋"/>
          <w:sz w:val="28"/>
          <w:szCs w:val="28"/>
          <w:lang w:eastAsia="zh-CN"/>
        </w:rPr>
        <w:t>部门</w:t>
      </w:r>
      <w:r>
        <w:rPr>
          <w:rFonts w:hint="eastAsia" w:ascii="仿宋" w:hAnsi="微软雅黑" w:eastAsia="仿宋"/>
          <w:sz w:val="28"/>
          <w:szCs w:val="28"/>
        </w:rPr>
        <w:t>发放牧民的草补资金。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9.2024年自治区林草专项资金预算-禁牧和草畜平衡、三期监测和有害生物监测9万元结转0.20万元，主要用于：本</w:t>
      </w:r>
      <w:r>
        <w:rPr>
          <w:rFonts w:hint="eastAsia" w:ascii="仿宋" w:hAnsi="微软雅黑" w:eastAsia="仿宋"/>
          <w:sz w:val="28"/>
          <w:szCs w:val="28"/>
          <w:lang w:eastAsia="zh-CN"/>
        </w:rPr>
        <w:t>部门</w:t>
      </w:r>
      <w:r>
        <w:rPr>
          <w:rFonts w:hint="eastAsia" w:ascii="仿宋" w:hAnsi="微软雅黑" w:eastAsia="仿宋"/>
          <w:sz w:val="28"/>
          <w:szCs w:val="28"/>
        </w:rPr>
        <w:t>草原生态修复治理。</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10.2025年中央“三北”工程补助项目结转72.18万元，主要用于：本</w:t>
      </w:r>
      <w:r>
        <w:rPr>
          <w:rFonts w:hint="eastAsia" w:ascii="仿宋" w:hAnsi="微软雅黑" w:eastAsia="仿宋"/>
          <w:sz w:val="28"/>
          <w:szCs w:val="28"/>
          <w:lang w:eastAsia="zh-CN"/>
        </w:rPr>
        <w:t>部门</w:t>
      </w:r>
      <w:r>
        <w:rPr>
          <w:rFonts w:hint="eastAsia" w:ascii="仿宋" w:hAnsi="微软雅黑" w:eastAsia="仿宋"/>
          <w:sz w:val="28"/>
          <w:szCs w:val="28"/>
        </w:rPr>
        <w:t>沙化土地封禁保护补偿项目。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11.2025年中央林业草原改革发展资金项目结转16.70万元，主要用于：本</w:t>
      </w:r>
      <w:r>
        <w:rPr>
          <w:rFonts w:hint="eastAsia" w:ascii="仿宋" w:hAnsi="微软雅黑" w:eastAsia="仿宋"/>
          <w:sz w:val="28"/>
          <w:szCs w:val="28"/>
          <w:lang w:eastAsia="zh-CN"/>
        </w:rPr>
        <w:t>部门</w:t>
      </w:r>
      <w:r>
        <w:rPr>
          <w:rFonts w:hint="eastAsia" w:ascii="仿宋" w:hAnsi="微软雅黑" w:eastAsia="仿宋"/>
          <w:sz w:val="28"/>
          <w:szCs w:val="28"/>
        </w:rPr>
        <w:t>新一轮退耕还林延长补助和前一轮退耕还林补助。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12.2025年中央林业草原生态保护恢复项目结转53.08万元，主要用于：本</w:t>
      </w:r>
      <w:r>
        <w:rPr>
          <w:rFonts w:hint="eastAsia" w:ascii="仿宋" w:hAnsi="微软雅黑" w:eastAsia="仿宋"/>
          <w:sz w:val="28"/>
          <w:szCs w:val="28"/>
          <w:lang w:eastAsia="zh-CN"/>
        </w:rPr>
        <w:t>部门</w:t>
      </w:r>
      <w:r>
        <w:rPr>
          <w:rFonts w:hint="eastAsia" w:ascii="仿宋" w:hAnsi="微软雅黑" w:eastAsia="仿宋"/>
          <w:sz w:val="28"/>
          <w:szCs w:val="28"/>
        </w:rPr>
        <w:t>护林员劳务费、管护站及森林防火车辆保险费、维护费、燃油费，管护站及防火库电费。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13.呼图壁县2025年第二批中央财政林业草原改革发展资金林草支撑保障体系支出项目结转4.20万元，主要用于：本</w:t>
      </w:r>
      <w:r>
        <w:rPr>
          <w:rFonts w:hint="eastAsia" w:ascii="仿宋" w:hAnsi="微软雅黑" w:eastAsia="仿宋"/>
          <w:sz w:val="28"/>
          <w:szCs w:val="28"/>
          <w:lang w:eastAsia="zh-CN"/>
        </w:rPr>
        <w:t>部门</w:t>
      </w:r>
      <w:r>
        <w:rPr>
          <w:rFonts w:hint="eastAsia" w:ascii="仿宋" w:hAnsi="微软雅黑" w:eastAsia="仿宋"/>
          <w:sz w:val="28"/>
          <w:szCs w:val="28"/>
        </w:rPr>
        <w:t>草原有害生物防治项目。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14.呼图壁县2025年第二批中央林业草原生态保护恢复资金170万结转133.60万元，主要用于：本</w:t>
      </w:r>
      <w:r>
        <w:rPr>
          <w:rFonts w:hint="eastAsia" w:ascii="仿宋" w:hAnsi="微软雅黑" w:eastAsia="仿宋"/>
          <w:sz w:val="28"/>
          <w:szCs w:val="28"/>
          <w:lang w:eastAsia="zh-CN"/>
        </w:rPr>
        <w:t>部门</w:t>
      </w:r>
      <w:r>
        <w:rPr>
          <w:rFonts w:hint="eastAsia" w:ascii="仿宋" w:hAnsi="微软雅黑" w:eastAsia="仿宋"/>
          <w:sz w:val="28"/>
          <w:szCs w:val="28"/>
        </w:rPr>
        <w:t>护林员劳务费、林业有害防治管护。</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15.为民办实事经费结转0.01万元，主要用于：本</w:t>
      </w:r>
      <w:r>
        <w:rPr>
          <w:rFonts w:hint="eastAsia" w:ascii="仿宋" w:hAnsi="微软雅黑" w:eastAsia="仿宋"/>
          <w:sz w:val="28"/>
          <w:szCs w:val="28"/>
          <w:lang w:eastAsia="zh-CN"/>
        </w:rPr>
        <w:t>部门</w:t>
      </w:r>
      <w:r>
        <w:rPr>
          <w:rFonts w:hint="eastAsia" w:ascii="仿宋" w:hAnsi="微软雅黑" w:eastAsia="仿宋"/>
          <w:sz w:val="28"/>
          <w:szCs w:val="28"/>
        </w:rPr>
        <w:t>访贫问苦慰问。</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lang w:eastAsia="zh-CN"/>
        </w:rPr>
        <w:t>部门</w:t>
      </w:r>
      <w:r>
        <w:rPr>
          <w:rFonts w:hint="eastAsia" w:ascii="楷体" w:eastAsia="楷体"/>
          <w:sz w:val="28"/>
          <w:szCs w:val="28"/>
        </w:rPr>
        <w:t>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呼图壁县林业和草原局2026年的机关运行经费财政拨款预算28.59万元，比上年预算减少0.28万元，下降0.97%，主要原因是本</w:t>
      </w:r>
      <w:r>
        <w:rPr>
          <w:rFonts w:hint="eastAsia" w:ascii="仿宋" w:hAnsi="微软雅黑" w:eastAsia="仿宋"/>
          <w:sz w:val="28"/>
          <w:szCs w:val="28"/>
          <w:lang w:eastAsia="zh-CN"/>
        </w:rPr>
        <w:t>部门</w:t>
      </w:r>
      <w:r>
        <w:rPr>
          <w:rFonts w:hint="eastAsia" w:ascii="仿宋" w:hAnsi="微软雅黑" w:eastAsia="仿宋"/>
          <w:sz w:val="28"/>
          <w:szCs w:val="28"/>
        </w:rPr>
        <w:t>调出事业人员2名、辞职1名，导致人</w:t>
      </w:r>
      <w:r>
        <w:rPr>
          <w:rFonts w:hint="eastAsia" w:ascii="仿宋" w:hAnsi="微软雅黑" w:eastAsia="仿宋"/>
          <w:sz w:val="28"/>
          <w:szCs w:val="28"/>
          <w:lang w:eastAsia="zh-CN"/>
        </w:rPr>
        <w:t>员</w:t>
      </w:r>
      <w:r>
        <w:rPr>
          <w:rFonts w:hint="eastAsia" w:ascii="仿宋" w:hAnsi="微软雅黑" w:eastAsia="仿宋"/>
          <w:sz w:val="28"/>
          <w:szCs w:val="28"/>
        </w:rPr>
        <w:t>经费减少。</w:t>
      </w:r>
    </w:p>
    <w:p>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2026年，呼图壁县林业和草原局政府采购预算82.83万元，其中：政府采购货物预算3.07万元，政府采购工程预算0.00万元，政府采购服务预算79.76万元。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2026年，呼图壁县林业和草原局面向中小企业预留政府采购项目预算金额52.69万元，其中：小微企业预留政府采购项目预算金额0.00万元。</w:t>
      </w:r>
    </w:p>
    <w:p>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截至2025年底，呼图壁县林业和草原局占用使用国有资产总体情况为：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1.房屋4,498.20平方米，价值486.17万元。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2.车辆10辆，价值157.57万元；其中：一般公务用车2辆，价值37.48万元；执法执勤用车4辆，价值66.11万元；其他车辆4辆，价值53.98万元。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3.办公家具价值223.06万元。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2026年，本部门预算绩效管理整体预算绩效目标1个，涉及预算金额2,940.18万元；当年预算安排项目共6个，其中：财政拨款项目涉及预算金额1,062.79万元；非财政拨款项目涉及预算金额494.00万元。具体情况见下表：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呼图壁县林业和草原局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贾祥斌</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18167773554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牢固树立绿水青山就是金山银山的理念，准确把握当前生态文明建设新形势新任务，以更高站位、更宽视野、更大力度谋划和推进林草工作新征程。一是全力完成国土绿化任务。继续推进准噶尔盆地绿洲保护综合治理项目，计划完成2026年退化林修复任务750亩。巩固提升退耕还林面积1950亩，义务植树200亩。二是根据全县生态建设需求，科学规划国土绿化项目，加大植树造林力度，提高森林覆盖率和草原综合植被盖度。加强森林草原防火宣传教育，组织开展2次森林草原防火演练活动，每季度对木材加工场全覆盖指导。三是加强野生动植物保护。在“爱鸟周”“清风行动”野生动物保护宣传月组织开展不少于10场次的宣传活动，同时在8-10月重点时期，做好野生动物疫源疫病监测，确保无重大野生动物疫源疫病发生。联合县公安局、市监局等职能部门开展“舌尖上的野味”专项检查执法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1,452.18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625.00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863.00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2,940.18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完成造林绿化面积</w:t>
            </w:r>
          </w:p>
        </w:tc>
        <w:tc>
          <w:tcPr>
            <w:tcW w:w="1448" w:type="dxa"/>
            <w:gridSpan w:val="2"/>
            <w:shd w:val="clear" w:color="auto" w:fill="auto"/>
            <w:vAlign w:val="center"/>
          </w:tcPr>
          <w:p>
            <w:pPr>
              <w:jc w:val="center"/>
              <w:rPr>
                <w:sz w:val="18"/>
                <w:szCs w:val="18"/>
              </w:rPr>
            </w:pPr>
            <w:r>
              <w:rPr>
                <w:rFonts w:hint="eastAsia"/>
                <w:sz w:val="18"/>
                <w:szCs w:val="18"/>
              </w:rPr>
              <w:t>＞=700亩</w:t>
            </w:r>
          </w:p>
        </w:tc>
        <w:tc>
          <w:tcPr>
            <w:tcW w:w="1360" w:type="dxa"/>
            <w:shd w:val="clear" w:color="auto" w:fill="auto"/>
            <w:vAlign w:val="center"/>
          </w:tcPr>
          <w:p>
            <w:pPr>
              <w:jc w:val="center"/>
              <w:rPr>
                <w:sz w:val="18"/>
                <w:szCs w:val="18"/>
              </w:rPr>
            </w:pPr>
            <w:r>
              <w:rPr>
                <w:rFonts w:hint="eastAsia"/>
                <w:sz w:val="18"/>
                <w:szCs w:val="18"/>
              </w:rPr>
              <w:t>呼图壁县林业和草原局2025年工作总结及2026年工作计划</w:t>
            </w:r>
          </w:p>
        </w:tc>
        <w:tc>
          <w:tcPr>
            <w:tcW w:w="1360" w:type="dxa"/>
            <w:shd w:val="clear" w:color="auto" w:fill="auto"/>
            <w:vAlign w:val="center"/>
          </w:tcPr>
          <w:p>
            <w:pPr>
              <w:jc w:val="center"/>
              <w:rPr>
                <w:sz w:val="18"/>
                <w:szCs w:val="18"/>
              </w:rPr>
            </w:pPr>
            <w:r>
              <w:rPr>
                <w:rFonts w:hint="eastAsia"/>
                <w:sz w:val="18"/>
                <w:szCs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退耕还林面积</w:t>
            </w:r>
          </w:p>
        </w:tc>
        <w:tc>
          <w:tcPr>
            <w:tcW w:w="1448" w:type="dxa"/>
            <w:gridSpan w:val="2"/>
            <w:shd w:val="clear" w:color="auto" w:fill="auto"/>
            <w:vAlign w:val="center"/>
          </w:tcPr>
          <w:p>
            <w:pPr>
              <w:jc w:val="center"/>
              <w:rPr>
                <w:sz w:val="18"/>
                <w:szCs w:val="18"/>
              </w:rPr>
            </w:pPr>
            <w:r>
              <w:rPr>
                <w:rFonts w:hint="eastAsia"/>
                <w:sz w:val="18"/>
                <w:szCs w:val="18"/>
              </w:rPr>
              <w:t>＞=1950亩</w:t>
            </w:r>
          </w:p>
        </w:tc>
        <w:tc>
          <w:tcPr>
            <w:tcW w:w="1360" w:type="dxa"/>
            <w:shd w:val="clear" w:color="auto" w:fill="auto"/>
            <w:vAlign w:val="center"/>
          </w:tcPr>
          <w:p>
            <w:pPr>
              <w:jc w:val="center"/>
              <w:rPr>
                <w:sz w:val="18"/>
                <w:szCs w:val="18"/>
              </w:rPr>
            </w:pPr>
            <w:r>
              <w:rPr>
                <w:rFonts w:hint="eastAsia"/>
                <w:sz w:val="18"/>
                <w:szCs w:val="18"/>
              </w:rPr>
              <w:t>呼图壁县林业和草原局2025年工作总结及2026年工作计划</w:t>
            </w:r>
          </w:p>
        </w:tc>
        <w:tc>
          <w:tcPr>
            <w:tcW w:w="1360" w:type="dxa"/>
            <w:shd w:val="clear" w:color="auto" w:fill="auto"/>
            <w:vAlign w:val="center"/>
          </w:tcPr>
          <w:p>
            <w:pPr>
              <w:jc w:val="center"/>
              <w:rPr>
                <w:sz w:val="18"/>
                <w:szCs w:val="18"/>
              </w:rPr>
            </w:pPr>
            <w:r>
              <w:rPr>
                <w:rFonts w:hint="eastAsia"/>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义务植树面积</w:t>
            </w:r>
          </w:p>
        </w:tc>
        <w:tc>
          <w:tcPr>
            <w:tcW w:w="1448" w:type="dxa"/>
            <w:gridSpan w:val="2"/>
            <w:shd w:val="clear" w:color="auto" w:fill="auto"/>
            <w:vAlign w:val="center"/>
          </w:tcPr>
          <w:p>
            <w:pPr>
              <w:jc w:val="center"/>
              <w:rPr>
                <w:sz w:val="18"/>
                <w:szCs w:val="18"/>
              </w:rPr>
            </w:pPr>
            <w:r>
              <w:rPr>
                <w:rFonts w:hint="eastAsia"/>
                <w:sz w:val="18"/>
                <w:szCs w:val="18"/>
              </w:rPr>
              <w:t>＞=200亩</w:t>
            </w:r>
          </w:p>
        </w:tc>
        <w:tc>
          <w:tcPr>
            <w:tcW w:w="1360" w:type="dxa"/>
            <w:shd w:val="clear" w:color="auto" w:fill="auto"/>
            <w:vAlign w:val="center"/>
          </w:tcPr>
          <w:p>
            <w:pPr>
              <w:jc w:val="center"/>
              <w:rPr>
                <w:sz w:val="18"/>
                <w:szCs w:val="18"/>
              </w:rPr>
            </w:pPr>
            <w:r>
              <w:rPr>
                <w:rFonts w:hint="eastAsia"/>
                <w:sz w:val="18"/>
                <w:szCs w:val="18"/>
              </w:rPr>
              <w:t>呼图壁县林业和草原局2025年工作总结及2026年工作计划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森林草原防火演练活动</w:t>
            </w:r>
          </w:p>
        </w:tc>
        <w:tc>
          <w:tcPr>
            <w:tcW w:w="1448" w:type="dxa"/>
            <w:gridSpan w:val="2"/>
            <w:shd w:val="clear" w:color="auto" w:fill="auto"/>
            <w:vAlign w:val="center"/>
          </w:tcPr>
          <w:p>
            <w:pPr>
              <w:jc w:val="center"/>
              <w:rPr>
                <w:sz w:val="18"/>
                <w:szCs w:val="18"/>
              </w:rPr>
            </w:pPr>
            <w:r>
              <w:rPr>
                <w:rFonts w:hint="eastAsia"/>
                <w:sz w:val="18"/>
                <w:szCs w:val="18"/>
              </w:rPr>
              <w:t>＞=2次</w:t>
            </w:r>
          </w:p>
        </w:tc>
        <w:tc>
          <w:tcPr>
            <w:tcW w:w="1360" w:type="dxa"/>
            <w:shd w:val="clear" w:color="auto" w:fill="auto"/>
            <w:vAlign w:val="center"/>
          </w:tcPr>
          <w:p>
            <w:pPr>
              <w:jc w:val="center"/>
              <w:rPr>
                <w:sz w:val="18"/>
                <w:szCs w:val="18"/>
              </w:rPr>
            </w:pPr>
            <w:r>
              <w:rPr>
                <w:rFonts w:hint="eastAsia"/>
                <w:sz w:val="18"/>
                <w:szCs w:val="18"/>
              </w:rPr>
              <w:t>呼图壁县林业和草原局2025年工作总结及2026年工作计划</w:t>
            </w:r>
          </w:p>
        </w:tc>
        <w:tc>
          <w:tcPr>
            <w:tcW w:w="1360" w:type="dxa"/>
            <w:shd w:val="clear" w:color="auto" w:fill="auto"/>
            <w:vAlign w:val="center"/>
          </w:tcPr>
          <w:p>
            <w:pPr>
              <w:jc w:val="center"/>
              <w:rPr>
                <w:sz w:val="18"/>
                <w:szCs w:val="18"/>
              </w:rPr>
            </w:pPr>
            <w:r>
              <w:rPr>
                <w:rFonts w:hint="eastAsia"/>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野生动物保护宣传次数</w:t>
            </w:r>
          </w:p>
        </w:tc>
        <w:tc>
          <w:tcPr>
            <w:tcW w:w="1448" w:type="dxa"/>
            <w:gridSpan w:val="2"/>
            <w:shd w:val="clear" w:color="auto" w:fill="auto"/>
            <w:vAlign w:val="center"/>
          </w:tcPr>
          <w:p>
            <w:pPr>
              <w:jc w:val="center"/>
              <w:rPr>
                <w:sz w:val="18"/>
                <w:szCs w:val="18"/>
              </w:rPr>
            </w:pPr>
            <w:r>
              <w:rPr>
                <w:rFonts w:hint="eastAsia"/>
                <w:sz w:val="18"/>
                <w:szCs w:val="18"/>
              </w:rPr>
              <w:t>＞=10场次</w:t>
            </w:r>
          </w:p>
        </w:tc>
        <w:tc>
          <w:tcPr>
            <w:tcW w:w="1360" w:type="dxa"/>
            <w:shd w:val="clear" w:color="auto" w:fill="auto"/>
            <w:vAlign w:val="center"/>
          </w:tcPr>
          <w:p>
            <w:pPr>
              <w:jc w:val="center"/>
              <w:rPr>
                <w:sz w:val="18"/>
                <w:szCs w:val="18"/>
              </w:rPr>
            </w:pPr>
            <w:r>
              <w:rPr>
                <w:rFonts w:hint="eastAsia"/>
                <w:sz w:val="18"/>
                <w:szCs w:val="18"/>
              </w:rPr>
              <w:t>呼图壁县林业和草原局2025年工作总结及2026年工作计划</w:t>
            </w:r>
          </w:p>
        </w:tc>
        <w:tc>
          <w:tcPr>
            <w:tcW w:w="1360" w:type="dxa"/>
            <w:shd w:val="clear" w:color="auto" w:fill="auto"/>
            <w:vAlign w:val="center"/>
          </w:tcPr>
          <w:p>
            <w:pPr>
              <w:jc w:val="center"/>
              <w:rPr>
                <w:sz w:val="18"/>
                <w:szCs w:val="18"/>
              </w:rPr>
            </w:pPr>
            <w:r>
              <w:rPr>
                <w:rFonts w:hint="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退耕还林验收合格率</w:t>
            </w:r>
          </w:p>
        </w:tc>
        <w:tc>
          <w:tcPr>
            <w:tcW w:w="1448" w:type="dxa"/>
            <w:gridSpan w:val="2"/>
            <w:shd w:val="clear" w:color="auto" w:fill="auto"/>
            <w:vAlign w:val="center"/>
          </w:tcPr>
          <w:p>
            <w:pPr>
              <w:jc w:val="center"/>
              <w:rPr>
                <w:sz w:val="18"/>
                <w:szCs w:val="18"/>
              </w:rPr>
            </w:pPr>
            <w:r>
              <w:rPr>
                <w:rFonts w:hint="eastAsia"/>
                <w:sz w:val="18"/>
                <w:szCs w:val="18"/>
              </w:rPr>
              <w:t>＞=65%</w:t>
            </w:r>
          </w:p>
        </w:tc>
        <w:tc>
          <w:tcPr>
            <w:tcW w:w="1360" w:type="dxa"/>
            <w:shd w:val="clear" w:color="auto" w:fill="auto"/>
            <w:vAlign w:val="center"/>
          </w:tcPr>
          <w:p>
            <w:pPr>
              <w:jc w:val="center"/>
              <w:rPr>
                <w:sz w:val="18"/>
                <w:szCs w:val="18"/>
              </w:rPr>
            </w:pPr>
            <w:r>
              <w:rPr>
                <w:rFonts w:hint="eastAsia"/>
                <w:sz w:val="18"/>
                <w:szCs w:val="18"/>
              </w:rPr>
              <w:t>2020年新一轮退耕还林还草指导手册</w:t>
            </w:r>
          </w:p>
        </w:tc>
        <w:tc>
          <w:tcPr>
            <w:tcW w:w="1360" w:type="dxa"/>
            <w:shd w:val="clear" w:color="auto" w:fill="auto"/>
            <w:vAlign w:val="center"/>
          </w:tcPr>
          <w:p>
            <w:pPr>
              <w:jc w:val="center"/>
              <w:rPr>
                <w:sz w:val="18"/>
                <w:szCs w:val="18"/>
              </w:rPr>
            </w:pPr>
            <w:r>
              <w:rPr>
                <w:rFonts w:hint="eastAsia"/>
                <w:sz w:val="18"/>
                <w:szCs w:val="18"/>
              </w:rPr>
              <w:t>16</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eastAsia="宋体"/>
                <w:b/>
                <w:sz w:val="18"/>
                <w:szCs w:val="18"/>
                <w:lang w:eastAsia="zh-CN"/>
              </w:rPr>
            </w:pPr>
            <w:r>
              <w:rPr>
                <w:rFonts w:hint="eastAsia"/>
                <w:b/>
                <w:sz w:val="18"/>
                <w:szCs w:val="18"/>
              </w:rPr>
              <w:t>预算</w:t>
            </w:r>
            <w:r>
              <w:rPr>
                <w:rFonts w:hint="eastAsia"/>
                <w:b/>
                <w:sz w:val="18"/>
                <w:szCs w:val="18"/>
                <w:lang w:eastAsia="zh-CN"/>
              </w:rPr>
              <w:t>部门</w:t>
            </w:r>
          </w:p>
        </w:tc>
        <w:tc>
          <w:tcPr>
            <w:tcW w:w="8160" w:type="dxa"/>
            <w:gridSpan w:val="8"/>
            <w:shd w:val="clear" w:color="auto" w:fill="auto"/>
            <w:vAlign w:val="center"/>
          </w:tcPr>
          <w:p>
            <w:pPr>
              <w:jc w:val="center"/>
              <w:rPr>
                <w:sz w:val="18"/>
                <w:szCs w:val="18"/>
              </w:rPr>
            </w:pPr>
            <w:r>
              <w:rPr>
                <w:rFonts w:hint="eastAsia"/>
                <w:sz w:val="18"/>
                <w:szCs w:val="18"/>
              </w:rPr>
              <w:t>呼图壁县林业和草原局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贾祥斌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11.56</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11.56</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入11.56（项目预算）万元用于完成化债、办公用品的采购等内容，具体为：第一，办公费4.46万元，这是项目的核心支出板块。资金主要用于采购日常办公所需的消耗性物资，具体包括：用于文件打印、材料印制、表格绘制的各类规格A4复印纸；保障局机关各科室打印机、复印机、传真机正常运转的硒鼓、墨盒等打印耗材；以及笔、笔记本、文件夹、档案盒、订书机等零星办公用品的购置与补充。这部分资金的投入，旨在确保机关日常文书往来顺畅、档案资料整理规范。第二，差旅费2万元，主要用于保障局机关及下属站所工作人员因公到县市、乡镇林区开展公务活动所产生的费用，包括城市间交通费、住宿费、伙食补助费和市内交通费，特别是针对森林督查图斑核实、造林验收、防火检查等必须深入现场的差旅任务。第三，邮电费0.5万元，用于支付办公场所的固定电话通讯费、网络宽带费以及必要信函、包裹的邮寄费用，保证政令信息畅通。第四，公务接待费1万元，严格按照中央八项规定精神及公务接待管理办法，用于接待上级部门调研指导。第五，印刷费1万元，重点用于印制森林防火宣传单（册）、林长制公示牌内容更新、野生动植物保护宣传海报、各类政策汇编、会议材料以及年终考核资料的统一印刷装订。第六，水费0.8万元与电费0.8万元，这两项是维持林草局办公楼日常运转的基础能源消耗支出，包括办公室照明、电脑设备、空调取暖制冷以及日常清洁用水的费用。第七，委托业务费0.5万元，主要用于解决因专业限制或突发任务导致内部无法承担的临时性业务，如委托专业机构进行资产清查、财务软件维护、小型设备维修或聘请外部专家进行短期技术咨询。第八，其他商品和服务支出0.5万元，作为备用机动资金，主要用于支付上述科目未涵盖但必须发生的零星支出，确保能够灵活应对不可预见的小额刚性需求。通过项目的实施，促进林草事业高质量发展，完善森林资源监管与保护体系，改善机关办公条件与运行效率，为各项重点工作的顺利开展提供坚实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办公用品采购种类</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支付欠款</w:t>
            </w:r>
            <w:r>
              <w:rPr>
                <w:rFonts w:hint="eastAsia" w:ascii="宋体" w:hAnsi="宋体"/>
                <w:sz w:val="16"/>
                <w:szCs w:val="16"/>
                <w:lang w:eastAsia="zh-CN"/>
              </w:rPr>
              <w:t>部门</w:t>
            </w:r>
            <w:r>
              <w:rPr>
                <w:rFonts w:hint="default" w:ascii="宋体" w:hAnsi="宋体"/>
                <w:sz w:val="16"/>
                <w:szCs w:val="16"/>
              </w:rPr>
              <w:t>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办公用品采购时限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＜=3.65万元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差旅费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欠款支付金额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邮电费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＜=0.50万元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其他商品和服务支出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＜=0.07万元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其他交通费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＜=0.28万元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提高政府公信力</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债务</w:t>
            </w:r>
            <w:r>
              <w:rPr>
                <w:rFonts w:hint="eastAsia" w:ascii="宋体" w:hAnsi="宋体"/>
                <w:sz w:val="16"/>
                <w:szCs w:val="16"/>
                <w:lang w:eastAsia="zh-CN"/>
              </w:rPr>
              <w:t>部门</w:t>
            </w:r>
            <w:r>
              <w:rPr>
                <w:rFonts w:hint="default" w:ascii="宋体" w:hAnsi="宋体"/>
                <w:sz w:val="16"/>
                <w:szCs w:val="16"/>
              </w:rPr>
              <w:t>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0"/>
        <w:gridCol w:w="680"/>
        <w:gridCol w:w="680"/>
        <w:gridCol w:w="1360"/>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rFonts w:hint="eastAsia" w:eastAsia="宋体"/>
                <w:b/>
                <w:sz w:val="18"/>
                <w:szCs w:val="18"/>
                <w:lang w:eastAsia="zh-CN"/>
              </w:rPr>
            </w:pPr>
            <w:r>
              <w:rPr>
                <w:rFonts w:hint="eastAsia"/>
                <w:b/>
                <w:sz w:val="18"/>
                <w:szCs w:val="18"/>
              </w:rPr>
              <w:t>预算</w:t>
            </w:r>
            <w:r>
              <w:rPr>
                <w:rFonts w:hint="eastAsia"/>
                <w:b/>
                <w:sz w:val="18"/>
                <w:szCs w:val="18"/>
                <w:lang w:eastAsia="zh-CN"/>
              </w:rPr>
              <w:t>部门</w:t>
            </w:r>
          </w:p>
        </w:tc>
        <w:tc>
          <w:tcPr>
            <w:tcW w:w="8160" w:type="dxa"/>
            <w:gridSpan w:val="7"/>
            <w:shd w:val="clear" w:color="auto" w:fill="auto"/>
            <w:vAlign w:val="center"/>
          </w:tcPr>
          <w:p>
            <w:pPr>
              <w:jc w:val="center"/>
              <w:rPr>
                <w:sz w:val="18"/>
                <w:szCs w:val="18"/>
              </w:rPr>
            </w:pPr>
            <w:r>
              <w:rPr>
                <w:rFonts w:hint="eastAsia"/>
                <w:sz w:val="18"/>
                <w:szCs w:val="18"/>
              </w:rPr>
              <w:t>呼图壁县林业和草原局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项目名称</w:t>
            </w:r>
          </w:p>
        </w:tc>
        <w:tc>
          <w:tcPr>
            <w:tcW w:w="5440" w:type="dxa"/>
            <w:gridSpan w:val="5"/>
            <w:shd w:val="clear" w:color="auto" w:fill="auto"/>
            <w:vAlign w:val="center"/>
          </w:tcPr>
          <w:p>
            <w:pPr>
              <w:jc w:val="center"/>
              <w:rPr>
                <w:b/>
                <w:sz w:val="18"/>
                <w:szCs w:val="18"/>
              </w:rPr>
            </w:pPr>
            <w:r>
              <w:rPr>
                <w:rFonts w:hint="eastAsia"/>
                <w:sz w:val="18"/>
                <w:szCs w:val="18"/>
              </w:rPr>
              <w:t>2026年中央财政林业草原生态保护恢复（森林生态保护修复）项目</w:t>
            </w:r>
          </w:p>
        </w:tc>
        <w:tc>
          <w:tcPr>
            <w:tcW w:w="1360" w:type="dxa"/>
            <w:shd w:val="clear" w:color="auto" w:fill="auto"/>
            <w:vAlign w:val="center"/>
          </w:tcPr>
          <w:p>
            <w:pPr>
              <w:jc w:val="center"/>
              <w:rPr>
                <w:sz w:val="18"/>
                <w:szCs w:val="18"/>
              </w:rPr>
            </w:pPr>
            <w:r>
              <w:rPr>
                <w:rFonts w:hint="eastAsia"/>
                <w:b/>
                <w:sz w:val="18"/>
                <w:szCs w:val="18"/>
              </w:rPr>
              <w:t>项目负责人</w:t>
            </w:r>
          </w:p>
        </w:tc>
        <w:tc>
          <w:tcPr>
            <w:tcW w:w="1360" w:type="dxa"/>
            <w:shd w:val="clear" w:color="auto" w:fill="auto"/>
            <w:vAlign w:val="center"/>
          </w:tcPr>
          <w:p>
            <w:pPr>
              <w:jc w:val="center"/>
              <w:rPr>
                <w:sz w:val="18"/>
                <w:szCs w:val="18"/>
              </w:rPr>
            </w:pPr>
            <w:r>
              <w:rPr>
                <w:rFonts w:hint="eastAsia"/>
                <w:sz w:val="18"/>
                <w:szCs w:val="18"/>
              </w:rPr>
              <w:t>韩靖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中央补助：</w:t>
            </w:r>
          </w:p>
        </w:tc>
        <w:tc>
          <w:tcPr>
            <w:tcW w:w="1360" w:type="dxa"/>
            <w:gridSpan w:val="2"/>
            <w:shd w:val="clear" w:color="auto" w:fill="auto"/>
            <w:vAlign w:val="center"/>
          </w:tcPr>
          <w:p>
            <w:pPr>
              <w:jc w:val="center"/>
              <w:rPr>
                <w:sz w:val="18"/>
                <w:szCs w:val="18"/>
              </w:rPr>
            </w:pPr>
            <w:r>
              <w:rPr>
                <w:rFonts w:hint="eastAsia"/>
                <w:sz w:val="18"/>
                <w:szCs w:val="18"/>
              </w:rPr>
              <w:t>626.63</w:t>
            </w:r>
          </w:p>
        </w:tc>
        <w:tc>
          <w:tcPr>
            <w:tcW w:w="1360" w:type="dxa"/>
            <w:shd w:val="clear" w:color="auto" w:fill="auto"/>
            <w:vAlign w:val="center"/>
          </w:tcPr>
          <w:p>
            <w:pPr>
              <w:jc w:val="center"/>
              <w:rPr>
                <w:sz w:val="18"/>
                <w:szCs w:val="18"/>
              </w:rPr>
            </w:pPr>
            <w:r>
              <w:rPr>
                <w:rFonts w:hint="eastAsia"/>
                <w:sz w:val="18"/>
                <w:szCs w:val="18"/>
              </w:rPr>
              <w:t>本级配套：</w:t>
            </w:r>
          </w:p>
        </w:tc>
        <w:tc>
          <w:tcPr>
            <w:tcW w:w="1360" w:type="dxa"/>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shd w:val="clear" w:color="auto" w:fill="auto"/>
            <w:vAlign w:val="center"/>
          </w:tcPr>
          <w:p>
            <w:pPr>
              <w:jc w:val="center"/>
              <w:rPr>
                <w:b/>
                <w:sz w:val="18"/>
                <w:szCs w:val="18"/>
              </w:rPr>
            </w:pPr>
            <w:r>
              <w:rPr>
                <w:rFonts w:hint="eastAsia"/>
                <w:b/>
                <w:sz w:val="18"/>
                <w:szCs w:val="18"/>
              </w:rPr>
              <w:t>项目总体目标</w:t>
            </w:r>
          </w:p>
        </w:tc>
        <w:tc>
          <w:tcPr>
            <w:tcW w:w="8160" w:type="dxa"/>
            <w:gridSpan w:val="7"/>
            <w:shd w:val="clear" w:color="auto" w:fill="auto"/>
            <w:vAlign w:val="center"/>
          </w:tcPr>
          <w:p>
            <w:pPr>
              <w:rPr>
                <w:b/>
                <w:sz w:val="18"/>
                <w:szCs w:val="18"/>
              </w:rPr>
            </w:pPr>
            <w:r>
              <w:rPr>
                <w:rFonts w:hint="eastAsia"/>
                <w:color w:val="000000"/>
                <w:sz w:val="18"/>
                <w:szCs w:val="18"/>
              </w:rPr>
              <w:t>完成呼图壁县国家级公益林（国有林）管护面积148.4万亩，提升国家级公益林管护水平。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一级指标</w:t>
            </w:r>
          </w:p>
        </w:tc>
        <w:tc>
          <w:tcPr>
            <w:tcW w:w="2040" w:type="dxa"/>
            <w:gridSpan w:val="2"/>
            <w:shd w:val="clear" w:color="auto" w:fill="auto"/>
            <w:vAlign w:val="center"/>
          </w:tcPr>
          <w:p>
            <w:pPr>
              <w:jc w:val="center"/>
              <w:rPr>
                <w:b/>
                <w:sz w:val="18"/>
                <w:szCs w:val="18"/>
              </w:rPr>
            </w:pPr>
            <w:r>
              <w:rPr>
                <w:rFonts w:hint="eastAsia"/>
                <w:b/>
                <w:sz w:val="18"/>
                <w:szCs w:val="18"/>
              </w:rPr>
              <w:t>二级指标</w:t>
            </w:r>
          </w:p>
        </w:tc>
        <w:tc>
          <w:tcPr>
            <w:tcW w:w="3400" w:type="dxa"/>
            <w:gridSpan w:val="3"/>
            <w:shd w:val="clear" w:color="auto" w:fill="auto"/>
            <w:vAlign w:val="center"/>
          </w:tcPr>
          <w:p>
            <w:pPr>
              <w:jc w:val="center"/>
              <w:rPr>
                <w:b/>
                <w:sz w:val="18"/>
                <w:szCs w:val="18"/>
              </w:rPr>
            </w:pPr>
            <w:r>
              <w:rPr>
                <w:rFonts w:hint="eastAsia"/>
                <w:b/>
                <w:sz w:val="18"/>
                <w:szCs w:val="18"/>
              </w:rPr>
              <w:t>三级指标</w:t>
            </w:r>
          </w:p>
        </w:tc>
        <w:tc>
          <w:tcPr>
            <w:tcW w:w="2720" w:type="dxa"/>
            <w:gridSpan w:val="2"/>
            <w:shd w:val="clear" w:color="auto" w:fill="auto"/>
            <w:vAlign w:val="center"/>
          </w:tcPr>
          <w:p>
            <w:pPr>
              <w:jc w:val="center"/>
              <w:rPr>
                <w:b/>
                <w:sz w:val="18"/>
                <w:szCs w:val="18"/>
              </w:rPr>
            </w:pPr>
            <w:r>
              <w:rPr>
                <w:rFonts w:hint="eastAsia"/>
                <w:b/>
                <w:sz w:val="18"/>
                <w:szCs w:val="18"/>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产出目标</w:t>
            </w:r>
          </w:p>
        </w:tc>
        <w:tc>
          <w:tcPr>
            <w:tcW w:w="2040" w:type="dxa"/>
            <w:gridSpan w:val="2"/>
            <w:vMerge w:val="restart"/>
            <w:shd w:val="clear" w:color="auto" w:fill="auto"/>
            <w:vAlign w:val="center"/>
          </w:tcPr>
          <w:p>
            <w:pPr>
              <w:jc w:val="center"/>
              <w:rPr>
                <w:sz w:val="18"/>
                <w:szCs w:val="18"/>
              </w:rPr>
            </w:pPr>
            <w:r>
              <w:rPr>
                <w:rFonts w:hint="eastAsia"/>
                <w:sz w:val="18"/>
                <w:szCs w:val="18"/>
              </w:rPr>
              <w:t>数量指标</w:t>
            </w:r>
          </w:p>
        </w:tc>
        <w:tc>
          <w:tcPr>
            <w:tcW w:w="3400" w:type="dxa"/>
            <w:gridSpan w:val="3"/>
            <w:shd w:val="clear" w:color="auto" w:fill="auto"/>
            <w:vAlign w:val="center"/>
          </w:tcPr>
          <w:p>
            <w:pPr>
              <w:jc w:val="center"/>
              <w:rPr>
                <w:sz w:val="18"/>
                <w:szCs w:val="18"/>
              </w:rPr>
            </w:pPr>
            <w:r>
              <w:rPr>
                <w:rFonts w:hint="eastAsia"/>
                <w:sz w:val="18"/>
                <w:szCs w:val="18"/>
              </w:rPr>
              <w:t>国有林管护面积（万亩）</w:t>
            </w:r>
          </w:p>
        </w:tc>
        <w:tc>
          <w:tcPr>
            <w:tcW w:w="2720" w:type="dxa"/>
            <w:gridSpan w:val="2"/>
            <w:shd w:val="clear" w:color="auto" w:fill="auto"/>
            <w:vAlign w:val="center"/>
          </w:tcPr>
          <w:p>
            <w:pPr>
              <w:jc w:val="center"/>
              <w:rPr>
                <w:sz w:val="18"/>
                <w:szCs w:val="18"/>
              </w:rPr>
            </w:pPr>
            <w:r>
              <w:rPr>
                <w:rFonts w:hint="eastAsia"/>
                <w:sz w:val="18"/>
                <w:szCs w:val="18"/>
              </w:rPr>
              <w:t>148.4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实施</w:t>
            </w:r>
            <w:r>
              <w:rPr>
                <w:rFonts w:hint="eastAsia"/>
                <w:sz w:val="18"/>
                <w:szCs w:val="18"/>
                <w:lang w:eastAsia="zh-CN"/>
              </w:rPr>
              <w:t>部门</w:t>
            </w:r>
            <w:r>
              <w:rPr>
                <w:rFonts w:hint="eastAsia"/>
                <w:sz w:val="18"/>
                <w:szCs w:val="18"/>
              </w:rPr>
              <w:t>管护人员培训次数（次）</w:t>
            </w:r>
          </w:p>
        </w:tc>
        <w:tc>
          <w:tcPr>
            <w:tcW w:w="2720" w:type="dxa"/>
            <w:gridSpan w:val="2"/>
            <w:shd w:val="clear" w:color="auto" w:fill="auto"/>
            <w:vAlign w:val="center"/>
          </w:tcPr>
          <w:p>
            <w:pPr>
              <w:jc w:val="center"/>
              <w:rPr>
                <w:sz w:val="18"/>
                <w:szCs w:val="18"/>
              </w:rPr>
            </w:pPr>
            <w:r>
              <w:rPr>
                <w:rFonts w:hint="eastAsia"/>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质量指标</w:t>
            </w:r>
          </w:p>
        </w:tc>
        <w:tc>
          <w:tcPr>
            <w:tcW w:w="3400" w:type="dxa"/>
            <w:gridSpan w:val="3"/>
            <w:shd w:val="clear" w:color="auto" w:fill="auto"/>
            <w:vAlign w:val="center"/>
          </w:tcPr>
          <w:p>
            <w:pPr>
              <w:jc w:val="center"/>
              <w:rPr>
                <w:sz w:val="18"/>
                <w:szCs w:val="18"/>
              </w:rPr>
            </w:pPr>
            <w:r>
              <w:rPr>
                <w:rFonts w:hint="eastAsia"/>
                <w:sz w:val="18"/>
                <w:szCs w:val="18"/>
              </w:rPr>
              <w:t>国有林（国家级公益林）管护人员劳务报酬按时发放率（%）</w:t>
            </w:r>
          </w:p>
        </w:tc>
        <w:tc>
          <w:tcPr>
            <w:tcW w:w="2720" w:type="dxa"/>
            <w:gridSpan w:val="2"/>
            <w:shd w:val="clear" w:color="auto" w:fill="auto"/>
            <w:vAlign w:val="center"/>
          </w:tcPr>
          <w:p>
            <w:pPr>
              <w:jc w:val="center"/>
              <w:rPr>
                <w:sz w:val="18"/>
                <w:szCs w:val="18"/>
              </w:rPr>
            </w:pPr>
            <w:r>
              <w:rPr>
                <w:rFonts w:hint="eastAsia"/>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时效指标</w:t>
            </w:r>
          </w:p>
        </w:tc>
        <w:tc>
          <w:tcPr>
            <w:tcW w:w="3400" w:type="dxa"/>
            <w:gridSpan w:val="3"/>
            <w:shd w:val="clear" w:color="auto" w:fill="auto"/>
            <w:vAlign w:val="center"/>
          </w:tcPr>
          <w:p>
            <w:pPr>
              <w:jc w:val="center"/>
              <w:rPr>
                <w:sz w:val="18"/>
                <w:szCs w:val="18"/>
              </w:rPr>
            </w:pPr>
            <w:r>
              <w:rPr>
                <w:rFonts w:hint="eastAsia"/>
                <w:sz w:val="18"/>
                <w:szCs w:val="18"/>
              </w:rPr>
              <w:t>按期完成项目建设任务</w:t>
            </w:r>
          </w:p>
        </w:tc>
        <w:tc>
          <w:tcPr>
            <w:tcW w:w="2720" w:type="dxa"/>
            <w:gridSpan w:val="2"/>
            <w:shd w:val="clear" w:color="auto" w:fill="auto"/>
            <w:vAlign w:val="center"/>
          </w:tcPr>
          <w:p>
            <w:pPr>
              <w:jc w:val="center"/>
              <w:rPr>
                <w:sz w:val="18"/>
                <w:szCs w:val="18"/>
              </w:rPr>
            </w:pPr>
            <w:r>
              <w:rPr>
                <w:rFonts w:hint="eastAsia"/>
                <w:sz w:val="18"/>
                <w:szCs w:val="18"/>
              </w:rPr>
              <w:t>2026年12月31日之前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效果目标</w:t>
            </w:r>
          </w:p>
        </w:tc>
        <w:tc>
          <w:tcPr>
            <w:tcW w:w="2040" w:type="dxa"/>
            <w:gridSpan w:val="2"/>
            <w:vMerge w:val="restart"/>
            <w:shd w:val="clear" w:color="auto" w:fill="auto"/>
            <w:vAlign w:val="center"/>
          </w:tcPr>
          <w:p>
            <w:pPr>
              <w:jc w:val="center"/>
              <w:rPr>
                <w:sz w:val="18"/>
                <w:szCs w:val="18"/>
              </w:rPr>
            </w:pPr>
            <w:r>
              <w:rPr>
                <w:rFonts w:hint="eastAsia"/>
                <w:sz w:val="18"/>
                <w:szCs w:val="18"/>
              </w:rPr>
              <w:t>环境效益</w:t>
            </w:r>
          </w:p>
        </w:tc>
        <w:tc>
          <w:tcPr>
            <w:tcW w:w="3400" w:type="dxa"/>
            <w:gridSpan w:val="3"/>
            <w:shd w:val="clear" w:color="auto" w:fill="auto"/>
            <w:vAlign w:val="center"/>
          </w:tcPr>
          <w:p>
            <w:pPr>
              <w:jc w:val="center"/>
              <w:rPr>
                <w:sz w:val="18"/>
                <w:szCs w:val="18"/>
              </w:rPr>
            </w:pPr>
            <w:r>
              <w:rPr>
                <w:rFonts w:hint="eastAsia"/>
                <w:sz w:val="18"/>
                <w:szCs w:val="18"/>
              </w:rPr>
              <w:t>生态系统和生物多样性</w:t>
            </w:r>
          </w:p>
        </w:tc>
        <w:tc>
          <w:tcPr>
            <w:tcW w:w="2720" w:type="dxa"/>
            <w:gridSpan w:val="2"/>
            <w:shd w:val="clear" w:color="auto" w:fill="auto"/>
            <w:vAlign w:val="center"/>
          </w:tcPr>
          <w:p>
            <w:pPr>
              <w:jc w:val="center"/>
              <w:rPr>
                <w:sz w:val="18"/>
                <w:szCs w:val="18"/>
              </w:rPr>
            </w:pPr>
            <w:r>
              <w:rPr>
                <w:rFonts w:hint="eastAsia"/>
                <w:sz w:val="18"/>
                <w:szCs w:val="18"/>
              </w:rPr>
              <w:t>得到有效保护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森林生态系统生态效益发挥</w:t>
            </w:r>
          </w:p>
        </w:tc>
        <w:tc>
          <w:tcPr>
            <w:tcW w:w="2720" w:type="dxa"/>
            <w:gridSpan w:val="2"/>
            <w:shd w:val="clear" w:color="auto" w:fill="auto"/>
            <w:vAlign w:val="center"/>
          </w:tcPr>
          <w:p>
            <w:pPr>
              <w:jc w:val="center"/>
              <w:rPr>
                <w:sz w:val="18"/>
                <w:szCs w:val="18"/>
              </w:rPr>
            </w:pPr>
            <w:r>
              <w:rPr>
                <w:rFonts w:hint="eastAsia"/>
                <w:sz w:val="18"/>
                <w:szCs w:val="18"/>
              </w:rPr>
              <w:t>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可持续影响指标</w:t>
            </w:r>
          </w:p>
        </w:tc>
        <w:tc>
          <w:tcPr>
            <w:tcW w:w="3400" w:type="dxa"/>
            <w:gridSpan w:val="3"/>
            <w:shd w:val="clear" w:color="auto" w:fill="auto"/>
            <w:vAlign w:val="center"/>
          </w:tcPr>
          <w:p>
            <w:pPr>
              <w:jc w:val="center"/>
              <w:rPr>
                <w:sz w:val="18"/>
                <w:szCs w:val="18"/>
              </w:rPr>
            </w:pPr>
            <w:r>
              <w:rPr>
                <w:rFonts w:hint="eastAsia"/>
                <w:sz w:val="18"/>
                <w:szCs w:val="18"/>
              </w:rPr>
              <w:t>国有林区（林场）社会稳定</w:t>
            </w:r>
          </w:p>
        </w:tc>
        <w:tc>
          <w:tcPr>
            <w:tcW w:w="2720" w:type="dxa"/>
            <w:gridSpan w:val="2"/>
            <w:shd w:val="clear" w:color="auto" w:fill="auto"/>
            <w:vAlign w:val="center"/>
          </w:tcPr>
          <w:p>
            <w:pPr>
              <w:jc w:val="center"/>
              <w:rPr>
                <w:sz w:val="18"/>
                <w:szCs w:val="18"/>
              </w:rPr>
            </w:pPr>
            <w:r>
              <w:rPr>
                <w:rFonts w:hint="eastAsia"/>
                <w:sz w:val="18"/>
                <w:szCs w:val="18"/>
              </w:rPr>
              <w:t>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持续发挥生态作用</w:t>
            </w:r>
          </w:p>
        </w:tc>
        <w:tc>
          <w:tcPr>
            <w:tcW w:w="2720" w:type="dxa"/>
            <w:gridSpan w:val="2"/>
            <w:shd w:val="clear" w:color="auto" w:fill="auto"/>
            <w:vAlign w:val="center"/>
          </w:tcPr>
          <w:p>
            <w:pPr>
              <w:jc w:val="center"/>
              <w:rPr>
                <w:sz w:val="18"/>
                <w:szCs w:val="18"/>
              </w:rPr>
            </w:pPr>
            <w:r>
              <w:rPr>
                <w:rFonts w:hint="eastAsia"/>
                <w:sz w:val="18"/>
                <w:szCs w:val="18"/>
              </w:rPr>
              <w:t>显著</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0"/>
        <w:gridCol w:w="680"/>
        <w:gridCol w:w="680"/>
        <w:gridCol w:w="1360"/>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rFonts w:hint="eastAsia" w:eastAsia="宋体"/>
                <w:b/>
                <w:sz w:val="18"/>
                <w:szCs w:val="18"/>
                <w:lang w:eastAsia="zh-CN"/>
              </w:rPr>
            </w:pPr>
            <w:r>
              <w:rPr>
                <w:rFonts w:hint="eastAsia"/>
                <w:b/>
                <w:sz w:val="18"/>
                <w:szCs w:val="18"/>
              </w:rPr>
              <w:t>预算</w:t>
            </w:r>
            <w:r>
              <w:rPr>
                <w:rFonts w:hint="eastAsia"/>
                <w:b/>
                <w:sz w:val="18"/>
                <w:szCs w:val="18"/>
                <w:lang w:eastAsia="zh-CN"/>
              </w:rPr>
              <w:t>部门</w:t>
            </w:r>
          </w:p>
        </w:tc>
        <w:tc>
          <w:tcPr>
            <w:tcW w:w="8160" w:type="dxa"/>
            <w:gridSpan w:val="7"/>
            <w:shd w:val="clear" w:color="auto" w:fill="auto"/>
            <w:vAlign w:val="center"/>
          </w:tcPr>
          <w:p>
            <w:pPr>
              <w:jc w:val="center"/>
              <w:rPr>
                <w:sz w:val="18"/>
                <w:szCs w:val="18"/>
              </w:rPr>
            </w:pPr>
            <w:r>
              <w:rPr>
                <w:rFonts w:hint="eastAsia"/>
                <w:sz w:val="18"/>
                <w:szCs w:val="18"/>
              </w:rPr>
              <w:t>呼图壁县林业和草原局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项目名称</w:t>
            </w:r>
          </w:p>
        </w:tc>
        <w:tc>
          <w:tcPr>
            <w:tcW w:w="5440" w:type="dxa"/>
            <w:gridSpan w:val="5"/>
            <w:shd w:val="clear" w:color="auto" w:fill="auto"/>
            <w:vAlign w:val="center"/>
          </w:tcPr>
          <w:p>
            <w:pPr>
              <w:jc w:val="center"/>
              <w:rPr>
                <w:b/>
                <w:sz w:val="18"/>
                <w:szCs w:val="18"/>
              </w:rPr>
            </w:pPr>
            <w:r>
              <w:rPr>
                <w:rFonts w:hint="eastAsia"/>
                <w:sz w:val="18"/>
                <w:szCs w:val="18"/>
              </w:rPr>
              <w:t>2026年中央林业草原改革发展资金（呼图壁县）</w:t>
            </w:r>
          </w:p>
        </w:tc>
        <w:tc>
          <w:tcPr>
            <w:tcW w:w="1360" w:type="dxa"/>
            <w:shd w:val="clear" w:color="auto" w:fill="auto"/>
            <w:vAlign w:val="center"/>
          </w:tcPr>
          <w:p>
            <w:pPr>
              <w:jc w:val="center"/>
              <w:rPr>
                <w:sz w:val="18"/>
                <w:szCs w:val="18"/>
              </w:rPr>
            </w:pPr>
            <w:r>
              <w:rPr>
                <w:rFonts w:hint="eastAsia"/>
                <w:b/>
                <w:sz w:val="18"/>
                <w:szCs w:val="18"/>
              </w:rPr>
              <w:t>项目负责人</w:t>
            </w:r>
          </w:p>
        </w:tc>
        <w:tc>
          <w:tcPr>
            <w:tcW w:w="1360" w:type="dxa"/>
            <w:shd w:val="clear" w:color="auto" w:fill="auto"/>
            <w:vAlign w:val="center"/>
          </w:tcPr>
          <w:p>
            <w:pPr>
              <w:jc w:val="center"/>
              <w:rPr>
                <w:sz w:val="18"/>
                <w:szCs w:val="18"/>
              </w:rPr>
            </w:pPr>
            <w:r>
              <w:rPr>
                <w:rFonts w:hint="eastAsia"/>
                <w:sz w:val="18"/>
                <w:szCs w:val="18"/>
              </w:rPr>
              <w:t>王新刚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中央补助：</w:t>
            </w:r>
          </w:p>
        </w:tc>
        <w:tc>
          <w:tcPr>
            <w:tcW w:w="1360" w:type="dxa"/>
            <w:gridSpan w:val="2"/>
            <w:shd w:val="clear" w:color="auto" w:fill="auto"/>
            <w:vAlign w:val="center"/>
          </w:tcPr>
          <w:p>
            <w:pPr>
              <w:jc w:val="center"/>
              <w:rPr>
                <w:sz w:val="18"/>
                <w:szCs w:val="18"/>
              </w:rPr>
            </w:pPr>
            <w:r>
              <w:rPr>
                <w:rFonts w:hint="eastAsia"/>
                <w:sz w:val="18"/>
                <w:szCs w:val="18"/>
              </w:rPr>
              <w:t>397.60</w:t>
            </w:r>
          </w:p>
        </w:tc>
        <w:tc>
          <w:tcPr>
            <w:tcW w:w="1360" w:type="dxa"/>
            <w:shd w:val="clear" w:color="auto" w:fill="auto"/>
            <w:vAlign w:val="center"/>
          </w:tcPr>
          <w:p>
            <w:pPr>
              <w:jc w:val="center"/>
              <w:rPr>
                <w:sz w:val="18"/>
                <w:szCs w:val="18"/>
              </w:rPr>
            </w:pPr>
            <w:r>
              <w:rPr>
                <w:rFonts w:hint="eastAsia"/>
                <w:sz w:val="18"/>
                <w:szCs w:val="18"/>
              </w:rPr>
              <w:t>本级配套：</w:t>
            </w:r>
          </w:p>
        </w:tc>
        <w:tc>
          <w:tcPr>
            <w:tcW w:w="1360" w:type="dxa"/>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shd w:val="clear" w:color="auto" w:fill="auto"/>
            <w:vAlign w:val="center"/>
          </w:tcPr>
          <w:p>
            <w:pPr>
              <w:jc w:val="center"/>
              <w:rPr>
                <w:b/>
                <w:sz w:val="18"/>
                <w:szCs w:val="18"/>
              </w:rPr>
            </w:pPr>
            <w:r>
              <w:rPr>
                <w:rFonts w:hint="eastAsia"/>
                <w:b/>
                <w:sz w:val="18"/>
                <w:szCs w:val="18"/>
              </w:rPr>
              <w:t>项目总体目标</w:t>
            </w:r>
          </w:p>
        </w:tc>
        <w:tc>
          <w:tcPr>
            <w:tcW w:w="8160" w:type="dxa"/>
            <w:gridSpan w:val="7"/>
            <w:shd w:val="clear" w:color="auto" w:fill="auto"/>
            <w:vAlign w:val="center"/>
          </w:tcPr>
          <w:p>
            <w:pPr>
              <w:rPr>
                <w:b/>
                <w:sz w:val="18"/>
                <w:szCs w:val="18"/>
              </w:rPr>
            </w:pPr>
            <w:r>
              <w:rPr>
                <w:rFonts w:hint="eastAsia"/>
                <w:color w:val="000000"/>
                <w:sz w:val="18"/>
                <w:szCs w:val="18"/>
              </w:rPr>
              <w:t>巩固退耕还林成果抚育管护、补植补造2017和2018年新一轮延长期补助面积39760亩，100元/亩，投资397.6万元；巩固新一轮退耕还林能逐步提高呼图壁县森林覆盖率，有效改善呼图壁县的生态环境,促进当地社会、经济可持续发展，经济、生态、社会综合效益显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一级指标</w:t>
            </w:r>
          </w:p>
        </w:tc>
        <w:tc>
          <w:tcPr>
            <w:tcW w:w="2040" w:type="dxa"/>
            <w:gridSpan w:val="2"/>
            <w:shd w:val="clear" w:color="auto" w:fill="auto"/>
            <w:vAlign w:val="center"/>
          </w:tcPr>
          <w:p>
            <w:pPr>
              <w:jc w:val="center"/>
              <w:rPr>
                <w:b/>
                <w:sz w:val="18"/>
                <w:szCs w:val="18"/>
              </w:rPr>
            </w:pPr>
            <w:r>
              <w:rPr>
                <w:rFonts w:hint="eastAsia"/>
                <w:b/>
                <w:sz w:val="18"/>
                <w:szCs w:val="18"/>
              </w:rPr>
              <w:t>二级指标</w:t>
            </w:r>
          </w:p>
        </w:tc>
        <w:tc>
          <w:tcPr>
            <w:tcW w:w="3400" w:type="dxa"/>
            <w:gridSpan w:val="3"/>
            <w:shd w:val="clear" w:color="auto" w:fill="auto"/>
            <w:vAlign w:val="center"/>
          </w:tcPr>
          <w:p>
            <w:pPr>
              <w:jc w:val="center"/>
              <w:rPr>
                <w:b/>
                <w:sz w:val="18"/>
                <w:szCs w:val="18"/>
              </w:rPr>
            </w:pPr>
            <w:r>
              <w:rPr>
                <w:rFonts w:hint="eastAsia"/>
                <w:b/>
                <w:sz w:val="18"/>
                <w:szCs w:val="18"/>
              </w:rPr>
              <w:t>三级指标</w:t>
            </w:r>
          </w:p>
        </w:tc>
        <w:tc>
          <w:tcPr>
            <w:tcW w:w="2720" w:type="dxa"/>
            <w:gridSpan w:val="2"/>
            <w:shd w:val="clear" w:color="auto" w:fill="auto"/>
            <w:vAlign w:val="center"/>
          </w:tcPr>
          <w:p>
            <w:pPr>
              <w:jc w:val="center"/>
              <w:rPr>
                <w:b/>
                <w:sz w:val="18"/>
                <w:szCs w:val="18"/>
              </w:rPr>
            </w:pPr>
            <w:r>
              <w:rPr>
                <w:rFonts w:hint="eastAsia"/>
                <w:b/>
                <w:sz w:val="18"/>
                <w:szCs w:val="18"/>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产出目标</w:t>
            </w:r>
          </w:p>
        </w:tc>
        <w:tc>
          <w:tcPr>
            <w:tcW w:w="2040" w:type="dxa"/>
            <w:gridSpan w:val="2"/>
            <w:vMerge w:val="restart"/>
            <w:shd w:val="clear" w:color="auto" w:fill="auto"/>
            <w:vAlign w:val="center"/>
          </w:tcPr>
          <w:p>
            <w:pPr>
              <w:jc w:val="center"/>
              <w:rPr>
                <w:sz w:val="18"/>
                <w:szCs w:val="18"/>
              </w:rPr>
            </w:pPr>
            <w:r>
              <w:rPr>
                <w:rFonts w:hint="eastAsia"/>
                <w:sz w:val="18"/>
                <w:szCs w:val="18"/>
              </w:rPr>
              <w:t>数量指标</w:t>
            </w:r>
          </w:p>
        </w:tc>
        <w:tc>
          <w:tcPr>
            <w:tcW w:w="3400" w:type="dxa"/>
            <w:gridSpan w:val="3"/>
            <w:shd w:val="clear" w:color="auto" w:fill="auto"/>
            <w:vAlign w:val="center"/>
          </w:tcPr>
          <w:p>
            <w:pPr>
              <w:jc w:val="center"/>
              <w:rPr>
                <w:sz w:val="18"/>
                <w:szCs w:val="18"/>
              </w:rPr>
            </w:pPr>
            <w:r>
              <w:rPr>
                <w:rFonts w:hint="eastAsia"/>
                <w:sz w:val="18"/>
                <w:szCs w:val="18"/>
              </w:rPr>
              <w:t>退耕还林面积</w:t>
            </w:r>
          </w:p>
        </w:tc>
        <w:tc>
          <w:tcPr>
            <w:tcW w:w="2720" w:type="dxa"/>
            <w:gridSpan w:val="2"/>
            <w:shd w:val="clear" w:color="auto" w:fill="auto"/>
            <w:vAlign w:val="center"/>
          </w:tcPr>
          <w:p>
            <w:pPr>
              <w:jc w:val="center"/>
              <w:rPr>
                <w:sz w:val="18"/>
                <w:szCs w:val="18"/>
              </w:rPr>
            </w:pPr>
            <w:r>
              <w:rPr>
                <w:rFonts w:hint="eastAsia"/>
                <w:sz w:val="18"/>
                <w:szCs w:val="18"/>
              </w:rPr>
              <w:t>39760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质量指标</w:t>
            </w:r>
          </w:p>
        </w:tc>
        <w:tc>
          <w:tcPr>
            <w:tcW w:w="3400" w:type="dxa"/>
            <w:gridSpan w:val="3"/>
            <w:shd w:val="clear" w:color="auto" w:fill="auto"/>
            <w:vAlign w:val="center"/>
          </w:tcPr>
          <w:p>
            <w:pPr>
              <w:jc w:val="center"/>
              <w:rPr>
                <w:sz w:val="18"/>
                <w:szCs w:val="18"/>
              </w:rPr>
            </w:pPr>
            <w:r>
              <w:rPr>
                <w:rFonts w:hint="eastAsia"/>
                <w:sz w:val="18"/>
                <w:szCs w:val="18"/>
              </w:rPr>
              <w:t>项目验收合格率</w:t>
            </w:r>
          </w:p>
        </w:tc>
        <w:tc>
          <w:tcPr>
            <w:tcW w:w="2720" w:type="dxa"/>
            <w:gridSpan w:val="2"/>
            <w:shd w:val="clear" w:color="auto" w:fill="auto"/>
            <w:vAlign w:val="center"/>
          </w:tcPr>
          <w:p>
            <w:pPr>
              <w:jc w:val="center"/>
              <w:rPr>
                <w:sz w:val="18"/>
                <w:szCs w:val="18"/>
              </w:rPr>
            </w:pPr>
            <w:r>
              <w:rPr>
                <w:rFonts w:hint="eastAsia"/>
                <w:sz w:val="18"/>
                <w:szCs w:val="18"/>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时效指标</w:t>
            </w:r>
          </w:p>
        </w:tc>
        <w:tc>
          <w:tcPr>
            <w:tcW w:w="3400" w:type="dxa"/>
            <w:gridSpan w:val="3"/>
            <w:shd w:val="clear" w:color="auto" w:fill="auto"/>
            <w:vAlign w:val="center"/>
          </w:tcPr>
          <w:p>
            <w:pPr>
              <w:jc w:val="center"/>
              <w:rPr>
                <w:sz w:val="18"/>
                <w:szCs w:val="18"/>
              </w:rPr>
            </w:pPr>
            <w:r>
              <w:rPr>
                <w:rFonts w:hint="eastAsia"/>
                <w:sz w:val="18"/>
                <w:szCs w:val="18"/>
              </w:rPr>
              <w:t>项目开始时间-项目完成时间</w:t>
            </w:r>
          </w:p>
        </w:tc>
        <w:tc>
          <w:tcPr>
            <w:tcW w:w="2720" w:type="dxa"/>
            <w:gridSpan w:val="2"/>
            <w:shd w:val="clear" w:color="auto" w:fill="auto"/>
            <w:vAlign w:val="center"/>
          </w:tcPr>
          <w:p>
            <w:pPr>
              <w:jc w:val="center"/>
              <w:rPr>
                <w:sz w:val="18"/>
                <w:szCs w:val="18"/>
              </w:rPr>
            </w:pPr>
            <w:r>
              <w:rPr>
                <w:rFonts w:hint="eastAsia"/>
                <w:sz w:val="18"/>
                <w:szCs w:val="18"/>
              </w:rPr>
              <w:t>2026.1-2026.12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成本指标</w:t>
            </w:r>
          </w:p>
        </w:tc>
        <w:tc>
          <w:tcPr>
            <w:tcW w:w="3400" w:type="dxa"/>
            <w:gridSpan w:val="3"/>
            <w:shd w:val="clear" w:color="auto" w:fill="auto"/>
            <w:vAlign w:val="center"/>
          </w:tcPr>
          <w:p>
            <w:pPr>
              <w:jc w:val="center"/>
              <w:rPr>
                <w:sz w:val="18"/>
                <w:szCs w:val="18"/>
              </w:rPr>
            </w:pPr>
            <w:r>
              <w:rPr>
                <w:rFonts w:hint="eastAsia"/>
                <w:sz w:val="18"/>
                <w:szCs w:val="18"/>
              </w:rPr>
              <w:t>发放标准（元/亩）</w:t>
            </w:r>
          </w:p>
        </w:tc>
        <w:tc>
          <w:tcPr>
            <w:tcW w:w="2720" w:type="dxa"/>
            <w:gridSpan w:val="2"/>
            <w:shd w:val="clear" w:color="auto" w:fill="auto"/>
            <w:vAlign w:val="center"/>
          </w:tcPr>
          <w:p>
            <w:pPr>
              <w:jc w:val="center"/>
              <w:rPr>
                <w:sz w:val="18"/>
                <w:szCs w:val="18"/>
              </w:rPr>
            </w:pPr>
            <w:r>
              <w:rPr>
                <w:rFonts w:hint="eastAsia"/>
                <w:sz w:val="18"/>
                <w:szCs w:val="18"/>
              </w:rPr>
              <w:t>100元/亩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效果目标</w:t>
            </w:r>
          </w:p>
        </w:tc>
        <w:tc>
          <w:tcPr>
            <w:tcW w:w="2040" w:type="dxa"/>
            <w:gridSpan w:val="2"/>
            <w:vMerge w:val="restart"/>
            <w:shd w:val="clear" w:color="auto" w:fill="auto"/>
            <w:vAlign w:val="center"/>
          </w:tcPr>
          <w:p>
            <w:pPr>
              <w:jc w:val="center"/>
              <w:rPr>
                <w:sz w:val="18"/>
                <w:szCs w:val="18"/>
              </w:rPr>
            </w:pPr>
            <w:r>
              <w:rPr>
                <w:rFonts w:hint="eastAsia"/>
                <w:sz w:val="18"/>
                <w:szCs w:val="18"/>
              </w:rPr>
              <w:t>社会效益</w:t>
            </w:r>
          </w:p>
        </w:tc>
        <w:tc>
          <w:tcPr>
            <w:tcW w:w="3400" w:type="dxa"/>
            <w:gridSpan w:val="3"/>
            <w:shd w:val="clear" w:color="auto" w:fill="auto"/>
            <w:vAlign w:val="center"/>
          </w:tcPr>
          <w:p>
            <w:pPr>
              <w:jc w:val="center"/>
              <w:rPr>
                <w:sz w:val="18"/>
                <w:szCs w:val="18"/>
              </w:rPr>
            </w:pPr>
            <w:r>
              <w:rPr>
                <w:rFonts w:hint="eastAsia"/>
                <w:sz w:val="18"/>
                <w:szCs w:val="18"/>
              </w:rPr>
              <w:t>改善林区面貌，带动经济发展，树立林业形象，建设和谐林区</w:t>
            </w:r>
          </w:p>
        </w:tc>
        <w:tc>
          <w:tcPr>
            <w:tcW w:w="2720" w:type="dxa"/>
            <w:gridSpan w:val="2"/>
            <w:shd w:val="clear" w:color="auto" w:fill="auto"/>
            <w:vAlign w:val="center"/>
          </w:tcPr>
          <w:p>
            <w:pPr>
              <w:jc w:val="center"/>
              <w:rPr>
                <w:sz w:val="18"/>
                <w:szCs w:val="18"/>
              </w:rPr>
            </w:pPr>
            <w:r>
              <w:rPr>
                <w:rFonts w:hint="eastAsia"/>
                <w:sz w:val="18"/>
                <w:szCs w:val="18"/>
              </w:rPr>
              <w:t>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环境效益</w:t>
            </w:r>
          </w:p>
        </w:tc>
        <w:tc>
          <w:tcPr>
            <w:tcW w:w="3400" w:type="dxa"/>
            <w:gridSpan w:val="3"/>
            <w:shd w:val="clear" w:color="auto" w:fill="auto"/>
            <w:vAlign w:val="center"/>
          </w:tcPr>
          <w:p>
            <w:pPr>
              <w:jc w:val="center"/>
              <w:rPr>
                <w:sz w:val="18"/>
                <w:szCs w:val="18"/>
              </w:rPr>
            </w:pPr>
            <w:r>
              <w:rPr>
                <w:rFonts w:hint="eastAsia"/>
                <w:sz w:val="18"/>
                <w:szCs w:val="18"/>
              </w:rPr>
              <w:t>涵养水源，防止水土流失，优化森林结构，维护生态平衡</w:t>
            </w:r>
          </w:p>
        </w:tc>
        <w:tc>
          <w:tcPr>
            <w:tcW w:w="2720" w:type="dxa"/>
            <w:gridSpan w:val="2"/>
            <w:shd w:val="clear" w:color="auto" w:fill="auto"/>
            <w:vAlign w:val="center"/>
          </w:tcPr>
          <w:p>
            <w:pPr>
              <w:jc w:val="center"/>
              <w:rPr>
                <w:sz w:val="18"/>
                <w:szCs w:val="18"/>
              </w:rPr>
            </w:pPr>
            <w:r>
              <w:rPr>
                <w:rFonts w:hint="eastAsia"/>
                <w:sz w:val="18"/>
                <w:szCs w:val="18"/>
              </w:rPr>
              <w:t>保持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可持续影响指标</w:t>
            </w:r>
          </w:p>
        </w:tc>
        <w:tc>
          <w:tcPr>
            <w:tcW w:w="3400" w:type="dxa"/>
            <w:gridSpan w:val="3"/>
            <w:shd w:val="clear" w:color="auto" w:fill="auto"/>
            <w:vAlign w:val="center"/>
          </w:tcPr>
          <w:p>
            <w:pPr>
              <w:jc w:val="center"/>
              <w:rPr>
                <w:sz w:val="18"/>
                <w:szCs w:val="18"/>
              </w:rPr>
            </w:pPr>
            <w:r>
              <w:rPr>
                <w:rFonts w:hint="eastAsia"/>
                <w:sz w:val="18"/>
                <w:szCs w:val="18"/>
              </w:rPr>
              <w:t>项目持续发挥作用</w:t>
            </w:r>
          </w:p>
        </w:tc>
        <w:tc>
          <w:tcPr>
            <w:tcW w:w="2720" w:type="dxa"/>
            <w:gridSpan w:val="2"/>
            <w:shd w:val="clear" w:color="auto" w:fill="auto"/>
            <w:vAlign w:val="center"/>
          </w:tcPr>
          <w:p>
            <w:pPr>
              <w:jc w:val="center"/>
              <w:rPr>
                <w:sz w:val="18"/>
                <w:szCs w:val="18"/>
              </w:rPr>
            </w:pPr>
            <w:r>
              <w:rPr>
                <w:rFonts w:hint="eastAsia"/>
                <w:sz w:val="18"/>
                <w:szCs w:val="18"/>
              </w:rPr>
              <w:t>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sz w:val="18"/>
                <w:szCs w:val="18"/>
              </w:rPr>
            </w:pPr>
            <w:r>
              <w:rPr>
                <w:rFonts w:hint="eastAsia"/>
                <w:sz w:val="18"/>
                <w:szCs w:val="18"/>
              </w:rPr>
              <w:t>满意度指标</w:t>
            </w:r>
          </w:p>
        </w:tc>
        <w:tc>
          <w:tcPr>
            <w:tcW w:w="2040" w:type="dxa"/>
            <w:gridSpan w:val="2"/>
            <w:shd w:val="clear" w:color="auto" w:fill="auto"/>
            <w:vAlign w:val="center"/>
          </w:tcPr>
          <w:p>
            <w:pPr>
              <w:jc w:val="center"/>
              <w:rPr>
                <w:sz w:val="18"/>
                <w:szCs w:val="18"/>
              </w:rPr>
            </w:pPr>
            <w:r>
              <w:rPr>
                <w:rFonts w:hint="eastAsia"/>
                <w:sz w:val="18"/>
                <w:szCs w:val="18"/>
              </w:rPr>
              <w:t>满意度指标</w:t>
            </w:r>
          </w:p>
        </w:tc>
        <w:tc>
          <w:tcPr>
            <w:tcW w:w="3400" w:type="dxa"/>
            <w:gridSpan w:val="3"/>
            <w:shd w:val="clear" w:color="auto" w:fill="auto"/>
            <w:vAlign w:val="center"/>
          </w:tcPr>
          <w:p>
            <w:pPr>
              <w:jc w:val="center"/>
              <w:rPr>
                <w:sz w:val="18"/>
                <w:szCs w:val="18"/>
              </w:rPr>
            </w:pPr>
            <w:r>
              <w:rPr>
                <w:rFonts w:hint="eastAsia"/>
                <w:sz w:val="18"/>
                <w:szCs w:val="18"/>
              </w:rPr>
              <w:t>受益林农满意度</w:t>
            </w:r>
          </w:p>
        </w:tc>
        <w:tc>
          <w:tcPr>
            <w:tcW w:w="2720" w:type="dxa"/>
            <w:gridSpan w:val="2"/>
            <w:shd w:val="clear" w:color="auto" w:fill="auto"/>
            <w:vAlign w:val="center"/>
          </w:tcPr>
          <w:p>
            <w:pPr>
              <w:jc w:val="center"/>
              <w:rPr>
                <w:sz w:val="18"/>
                <w:szCs w:val="18"/>
              </w:rPr>
            </w:pPr>
            <w:r>
              <w:rPr>
                <w:rFonts w:hint="eastAsia"/>
                <w:sz w:val="18"/>
                <w:szCs w:val="18"/>
              </w:rPr>
              <w:t>≧90%</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0"/>
        <w:gridCol w:w="680"/>
        <w:gridCol w:w="680"/>
        <w:gridCol w:w="1360"/>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rFonts w:hint="eastAsia" w:eastAsia="宋体"/>
                <w:b/>
                <w:sz w:val="18"/>
                <w:szCs w:val="18"/>
                <w:lang w:eastAsia="zh-CN"/>
              </w:rPr>
            </w:pPr>
            <w:r>
              <w:rPr>
                <w:rFonts w:hint="eastAsia"/>
                <w:b/>
                <w:sz w:val="18"/>
                <w:szCs w:val="18"/>
              </w:rPr>
              <w:t>预算</w:t>
            </w:r>
            <w:r>
              <w:rPr>
                <w:rFonts w:hint="eastAsia"/>
                <w:b/>
                <w:sz w:val="18"/>
                <w:szCs w:val="18"/>
                <w:lang w:eastAsia="zh-CN"/>
              </w:rPr>
              <w:t>部门</w:t>
            </w:r>
          </w:p>
        </w:tc>
        <w:tc>
          <w:tcPr>
            <w:tcW w:w="8160" w:type="dxa"/>
            <w:gridSpan w:val="7"/>
            <w:shd w:val="clear" w:color="auto" w:fill="auto"/>
            <w:vAlign w:val="center"/>
          </w:tcPr>
          <w:p>
            <w:pPr>
              <w:jc w:val="center"/>
              <w:rPr>
                <w:sz w:val="18"/>
                <w:szCs w:val="18"/>
              </w:rPr>
            </w:pPr>
            <w:r>
              <w:rPr>
                <w:rFonts w:hint="eastAsia"/>
                <w:sz w:val="18"/>
                <w:szCs w:val="18"/>
              </w:rPr>
              <w:t>呼图壁县林业和草原局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项目名称</w:t>
            </w:r>
          </w:p>
        </w:tc>
        <w:tc>
          <w:tcPr>
            <w:tcW w:w="5440" w:type="dxa"/>
            <w:gridSpan w:val="5"/>
            <w:shd w:val="clear" w:color="auto" w:fill="auto"/>
            <w:vAlign w:val="center"/>
          </w:tcPr>
          <w:p>
            <w:pPr>
              <w:jc w:val="center"/>
              <w:rPr>
                <w:b/>
                <w:sz w:val="18"/>
                <w:szCs w:val="18"/>
              </w:rPr>
            </w:pPr>
            <w:r>
              <w:rPr>
                <w:rFonts w:hint="eastAsia"/>
                <w:sz w:val="18"/>
                <w:szCs w:val="18"/>
              </w:rPr>
              <w:t>2026年自治区财政呼图壁县苹果小吉丁虫综合防治项目</w:t>
            </w:r>
          </w:p>
        </w:tc>
        <w:tc>
          <w:tcPr>
            <w:tcW w:w="1360" w:type="dxa"/>
            <w:shd w:val="clear" w:color="auto" w:fill="auto"/>
            <w:vAlign w:val="center"/>
          </w:tcPr>
          <w:p>
            <w:pPr>
              <w:jc w:val="center"/>
              <w:rPr>
                <w:sz w:val="18"/>
                <w:szCs w:val="18"/>
              </w:rPr>
            </w:pPr>
            <w:r>
              <w:rPr>
                <w:rFonts w:hint="eastAsia"/>
                <w:b/>
                <w:sz w:val="18"/>
                <w:szCs w:val="18"/>
              </w:rPr>
              <w:t>项目负责人</w:t>
            </w:r>
          </w:p>
        </w:tc>
        <w:tc>
          <w:tcPr>
            <w:tcW w:w="1360" w:type="dxa"/>
            <w:shd w:val="clear" w:color="auto" w:fill="auto"/>
            <w:vAlign w:val="center"/>
          </w:tcPr>
          <w:p>
            <w:pPr>
              <w:jc w:val="center"/>
              <w:rPr>
                <w:sz w:val="18"/>
                <w:szCs w:val="18"/>
              </w:rPr>
            </w:pPr>
            <w:r>
              <w:rPr>
                <w:rFonts w:hint="eastAsia"/>
                <w:sz w:val="18"/>
                <w:szCs w:val="18"/>
              </w:rPr>
              <w:t>王新刚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中央补助：</w:t>
            </w:r>
          </w:p>
        </w:tc>
        <w:tc>
          <w:tcPr>
            <w:tcW w:w="1360" w:type="dxa"/>
            <w:gridSpan w:val="2"/>
            <w:shd w:val="clear" w:color="auto" w:fill="auto"/>
            <w:vAlign w:val="center"/>
          </w:tcPr>
          <w:p>
            <w:pPr>
              <w:jc w:val="center"/>
              <w:rPr>
                <w:sz w:val="18"/>
                <w:szCs w:val="18"/>
              </w:rPr>
            </w:pPr>
            <w:r>
              <w:rPr>
                <w:rFonts w:hint="eastAsia"/>
                <w:sz w:val="18"/>
                <w:szCs w:val="18"/>
              </w:rPr>
              <w:t>12.00</w:t>
            </w:r>
          </w:p>
        </w:tc>
        <w:tc>
          <w:tcPr>
            <w:tcW w:w="1360" w:type="dxa"/>
            <w:shd w:val="clear" w:color="auto" w:fill="auto"/>
            <w:vAlign w:val="center"/>
          </w:tcPr>
          <w:p>
            <w:pPr>
              <w:jc w:val="center"/>
              <w:rPr>
                <w:sz w:val="18"/>
                <w:szCs w:val="18"/>
              </w:rPr>
            </w:pPr>
            <w:r>
              <w:rPr>
                <w:rFonts w:hint="eastAsia"/>
                <w:sz w:val="18"/>
                <w:szCs w:val="18"/>
              </w:rPr>
              <w:t>本级配套：</w:t>
            </w:r>
          </w:p>
        </w:tc>
        <w:tc>
          <w:tcPr>
            <w:tcW w:w="1360" w:type="dxa"/>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shd w:val="clear" w:color="auto" w:fill="auto"/>
            <w:vAlign w:val="center"/>
          </w:tcPr>
          <w:p>
            <w:pPr>
              <w:jc w:val="center"/>
              <w:rPr>
                <w:b/>
                <w:sz w:val="18"/>
                <w:szCs w:val="18"/>
              </w:rPr>
            </w:pPr>
            <w:r>
              <w:rPr>
                <w:rFonts w:hint="eastAsia"/>
                <w:b/>
                <w:sz w:val="18"/>
                <w:szCs w:val="18"/>
              </w:rPr>
              <w:t>项目总体目标</w:t>
            </w:r>
          </w:p>
        </w:tc>
        <w:tc>
          <w:tcPr>
            <w:tcW w:w="8160" w:type="dxa"/>
            <w:gridSpan w:val="7"/>
            <w:shd w:val="clear" w:color="auto" w:fill="auto"/>
            <w:vAlign w:val="center"/>
          </w:tcPr>
          <w:p>
            <w:pPr>
              <w:rPr>
                <w:b/>
                <w:sz w:val="18"/>
                <w:szCs w:val="18"/>
              </w:rPr>
            </w:pPr>
            <w:r>
              <w:rPr>
                <w:rFonts w:hint="eastAsia"/>
                <w:color w:val="000000"/>
                <w:sz w:val="18"/>
                <w:szCs w:val="18"/>
              </w:rPr>
              <w:t>本项目总投资12万元，主要用于呼图壁县二十里店镇头工林场村苹果小吉丁虫综合防控及生态安全保障，其中，药剂费6.42万元，主要用于采购成虫期消杀专用药剂，按科学配比对1200亩虫害区域实施精准喷药；防治服务费5.58万元，主要用于专业化防治作业实施，包括设备操作、疫情监测及隔离带建设（清理植被、设置物理屏障），阻断虫害跨区域传播。项目通过“药剂消杀+隔离阻断”双重措施，有效降低虫口密度，防控面积达0.12万亩，保护果园生态健康与农户经济收益，筑牢林业有害生物防治屏障，助力区域林业可持续发展。通过项目的实施，将为我县林木种苗产业健康持续发展提供强有力的保障支撑，为我县加快林业产业化发展，增加农民收入保驾护航，潜在的经济效益明显。项目实施后将有效遏制苹果小吉丁害虫对林木的危害，确保造林成果，保护广大果农的积极性，从而产生巨大的社会效益。将有效遏制作业区苹果小吉丁虫对林木的危害，保障造林成果，维护和修复森林生态系统，为我县农林牧业的发展、促进区域经济和社会可持续发展提供优良的生态环境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一级指标</w:t>
            </w:r>
          </w:p>
        </w:tc>
        <w:tc>
          <w:tcPr>
            <w:tcW w:w="2040" w:type="dxa"/>
            <w:gridSpan w:val="2"/>
            <w:shd w:val="clear" w:color="auto" w:fill="auto"/>
            <w:vAlign w:val="center"/>
          </w:tcPr>
          <w:p>
            <w:pPr>
              <w:jc w:val="center"/>
              <w:rPr>
                <w:b/>
                <w:sz w:val="18"/>
                <w:szCs w:val="18"/>
              </w:rPr>
            </w:pPr>
            <w:r>
              <w:rPr>
                <w:rFonts w:hint="eastAsia"/>
                <w:b/>
                <w:sz w:val="18"/>
                <w:szCs w:val="18"/>
              </w:rPr>
              <w:t>二级指标</w:t>
            </w:r>
          </w:p>
        </w:tc>
        <w:tc>
          <w:tcPr>
            <w:tcW w:w="3400" w:type="dxa"/>
            <w:gridSpan w:val="3"/>
            <w:shd w:val="clear" w:color="auto" w:fill="auto"/>
            <w:vAlign w:val="center"/>
          </w:tcPr>
          <w:p>
            <w:pPr>
              <w:jc w:val="center"/>
              <w:rPr>
                <w:b/>
                <w:sz w:val="18"/>
                <w:szCs w:val="18"/>
              </w:rPr>
            </w:pPr>
            <w:r>
              <w:rPr>
                <w:rFonts w:hint="eastAsia"/>
                <w:b/>
                <w:sz w:val="18"/>
                <w:szCs w:val="18"/>
              </w:rPr>
              <w:t>三级指标</w:t>
            </w:r>
          </w:p>
        </w:tc>
        <w:tc>
          <w:tcPr>
            <w:tcW w:w="2720" w:type="dxa"/>
            <w:gridSpan w:val="2"/>
            <w:shd w:val="clear" w:color="auto" w:fill="auto"/>
            <w:vAlign w:val="center"/>
          </w:tcPr>
          <w:p>
            <w:pPr>
              <w:jc w:val="center"/>
              <w:rPr>
                <w:b/>
                <w:sz w:val="18"/>
                <w:szCs w:val="18"/>
              </w:rPr>
            </w:pPr>
            <w:r>
              <w:rPr>
                <w:rFonts w:hint="eastAsia"/>
                <w:b/>
                <w:sz w:val="18"/>
                <w:szCs w:val="18"/>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产出目标</w:t>
            </w:r>
          </w:p>
        </w:tc>
        <w:tc>
          <w:tcPr>
            <w:tcW w:w="2040" w:type="dxa"/>
            <w:gridSpan w:val="2"/>
            <w:vMerge w:val="restart"/>
            <w:shd w:val="clear" w:color="auto" w:fill="auto"/>
            <w:vAlign w:val="center"/>
          </w:tcPr>
          <w:p>
            <w:pPr>
              <w:jc w:val="center"/>
              <w:rPr>
                <w:sz w:val="18"/>
                <w:szCs w:val="18"/>
              </w:rPr>
            </w:pPr>
            <w:r>
              <w:rPr>
                <w:rFonts w:hint="eastAsia"/>
                <w:sz w:val="18"/>
                <w:szCs w:val="18"/>
              </w:rPr>
              <w:t>数量指标</w:t>
            </w:r>
          </w:p>
        </w:tc>
        <w:tc>
          <w:tcPr>
            <w:tcW w:w="3400" w:type="dxa"/>
            <w:gridSpan w:val="3"/>
            <w:shd w:val="clear" w:color="auto" w:fill="auto"/>
            <w:vAlign w:val="center"/>
          </w:tcPr>
          <w:p>
            <w:pPr>
              <w:jc w:val="center"/>
              <w:rPr>
                <w:sz w:val="18"/>
                <w:szCs w:val="18"/>
              </w:rPr>
            </w:pPr>
            <w:r>
              <w:rPr>
                <w:rFonts w:hint="eastAsia"/>
                <w:sz w:val="18"/>
                <w:szCs w:val="18"/>
              </w:rPr>
              <w:t>林业有害生物苹果小吉丁虫防治面积（万亩）</w:t>
            </w:r>
          </w:p>
        </w:tc>
        <w:tc>
          <w:tcPr>
            <w:tcW w:w="2720" w:type="dxa"/>
            <w:gridSpan w:val="2"/>
            <w:shd w:val="clear" w:color="auto" w:fill="auto"/>
            <w:vAlign w:val="center"/>
          </w:tcPr>
          <w:p>
            <w:pPr>
              <w:jc w:val="center"/>
              <w:rPr>
                <w:sz w:val="18"/>
                <w:szCs w:val="18"/>
              </w:rPr>
            </w:pPr>
            <w:r>
              <w:rPr>
                <w:rFonts w:hint="eastAsia"/>
                <w:sz w:val="18"/>
                <w:szCs w:val="18"/>
              </w:rPr>
              <w:t>=0.12万亩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质量指标</w:t>
            </w:r>
          </w:p>
        </w:tc>
        <w:tc>
          <w:tcPr>
            <w:tcW w:w="3400" w:type="dxa"/>
            <w:gridSpan w:val="3"/>
            <w:shd w:val="clear" w:color="auto" w:fill="auto"/>
            <w:vAlign w:val="center"/>
          </w:tcPr>
          <w:p>
            <w:pPr>
              <w:jc w:val="center"/>
              <w:rPr>
                <w:sz w:val="18"/>
                <w:szCs w:val="18"/>
              </w:rPr>
            </w:pPr>
            <w:r>
              <w:rPr>
                <w:rFonts w:hint="eastAsia"/>
                <w:sz w:val="18"/>
                <w:szCs w:val="18"/>
              </w:rPr>
              <w:t>主要林业有害生物成灾率</w:t>
            </w:r>
          </w:p>
        </w:tc>
        <w:tc>
          <w:tcPr>
            <w:tcW w:w="2720" w:type="dxa"/>
            <w:gridSpan w:val="2"/>
            <w:shd w:val="clear" w:color="auto" w:fill="auto"/>
            <w:vAlign w:val="center"/>
          </w:tcPr>
          <w:p>
            <w:pPr>
              <w:jc w:val="center"/>
              <w:rPr>
                <w:sz w:val="18"/>
                <w:szCs w:val="18"/>
              </w:rPr>
            </w:pPr>
            <w:r>
              <w:rPr>
                <w:rFonts w:hint="eastAsia"/>
                <w:sz w:val="18"/>
                <w:szCs w:val="18"/>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防治效果</w:t>
            </w:r>
          </w:p>
        </w:tc>
        <w:tc>
          <w:tcPr>
            <w:tcW w:w="2720" w:type="dxa"/>
            <w:gridSpan w:val="2"/>
            <w:shd w:val="clear" w:color="auto" w:fill="auto"/>
            <w:vAlign w:val="center"/>
          </w:tcPr>
          <w:p>
            <w:pPr>
              <w:jc w:val="center"/>
              <w:rPr>
                <w:sz w:val="18"/>
                <w:szCs w:val="18"/>
              </w:rPr>
            </w:pPr>
            <w:r>
              <w:rPr>
                <w:rFonts w:hint="eastAsia"/>
                <w:sz w:val="18"/>
                <w:szCs w:val="18"/>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时效指标</w:t>
            </w:r>
          </w:p>
        </w:tc>
        <w:tc>
          <w:tcPr>
            <w:tcW w:w="3400" w:type="dxa"/>
            <w:gridSpan w:val="3"/>
            <w:shd w:val="clear" w:color="auto" w:fill="auto"/>
            <w:vAlign w:val="center"/>
          </w:tcPr>
          <w:p>
            <w:pPr>
              <w:jc w:val="center"/>
              <w:rPr>
                <w:sz w:val="18"/>
                <w:szCs w:val="18"/>
              </w:rPr>
            </w:pPr>
            <w:r>
              <w:rPr>
                <w:rFonts w:hint="eastAsia"/>
                <w:sz w:val="18"/>
                <w:szCs w:val="18"/>
              </w:rPr>
              <w:t>按期完成项目建设任务</w:t>
            </w:r>
          </w:p>
        </w:tc>
        <w:tc>
          <w:tcPr>
            <w:tcW w:w="2720" w:type="dxa"/>
            <w:gridSpan w:val="2"/>
            <w:shd w:val="clear" w:color="auto" w:fill="auto"/>
            <w:vAlign w:val="center"/>
          </w:tcPr>
          <w:p>
            <w:pPr>
              <w:jc w:val="center"/>
              <w:rPr>
                <w:sz w:val="18"/>
                <w:szCs w:val="18"/>
              </w:rPr>
            </w:pPr>
            <w:r>
              <w:rPr>
                <w:rFonts w:hint="eastAsia"/>
                <w:sz w:val="18"/>
                <w:szCs w:val="18"/>
              </w:rPr>
              <w:t>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成本指标</w:t>
            </w:r>
          </w:p>
        </w:tc>
        <w:tc>
          <w:tcPr>
            <w:tcW w:w="3400" w:type="dxa"/>
            <w:gridSpan w:val="3"/>
            <w:shd w:val="clear" w:color="auto" w:fill="auto"/>
            <w:vAlign w:val="center"/>
          </w:tcPr>
          <w:p>
            <w:pPr>
              <w:jc w:val="center"/>
              <w:rPr>
                <w:sz w:val="18"/>
                <w:szCs w:val="18"/>
              </w:rPr>
            </w:pPr>
            <w:r>
              <w:rPr>
                <w:rFonts w:hint="eastAsia"/>
                <w:sz w:val="18"/>
                <w:szCs w:val="18"/>
              </w:rPr>
              <w:t>防治成本（元）</w:t>
            </w:r>
          </w:p>
        </w:tc>
        <w:tc>
          <w:tcPr>
            <w:tcW w:w="2720" w:type="dxa"/>
            <w:gridSpan w:val="2"/>
            <w:shd w:val="clear" w:color="auto" w:fill="auto"/>
            <w:vAlign w:val="center"/>
          </w:tcPr>
          <w:p>
            <w:pPr>
              <w:jc w:val="center"/>
              <w:rPr>
                <w:sz w:val="18"/>
                <w:szCs w:val="18"/>
              </w:rPr>
            </w:pPr>
            <w:r>
              <w:rPr>
                <w:rFonts w:hint="eastAsia"/>
                <w:sz w:val="18"/>
                <w:szCs w:val="18"/>
              </w:rPr>
              <w:t>＜=100元/亩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林业有害生物无公害防治率</w:t>
            </w:r>
          </w:p>
        </w:tc>
        <w:tc>
          <w:tcPr>
            <w:tcW w:w="2720" w:type="dxa"/>
            <w:gridSpan w:val="2"/>
            <w:shd w:val="clear" w:color="auto" w:fill="auto"/>
            <w:vAlign w:val="center"/>
          </w:tcPr>
          <w:p>
            <w:pPr>
              <w:jc w:val="center"/>
              <w:rPr>
                <w:sz w:val="18"/>
                <w:szCs w:val="18"/>
              </w:rPr>
            </w:pPr>
            <w:r>
              <w:rPr>
                <w:rFonts w:hint="eastAsia"/>
                <w:sz w:val="18"/>
                <w:szCs w:val="18"/>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效果目标</w:t>
            </w:r>
          </w:p>
        </w:tc>
        <w:tc>
          <w:tcPr>
            <w:tcW w:w="2040" w:type="dxa"/>
            <w:gridSpan w:val="2"/>
            <w:vMerge w:val="restart"/>
            <w:shd w:val="clear" w:color="auto" w:fill="auto"/>
            <w:vAlign w:val="center"/>
          </w:tcPr>
          <w:p>
            <w:pPr>
              <w:jc w:val="center"/>
              <w:rPr>
                <w:sz w:val="18"/>
                <w:szCs w:val="18"/>
              </w:rPr>
            </w:pPr>
            <w:r>
              <w:rPr>
                <w:rFonts w:hint="eastAsia"/>
                <w:sz w:val="18"/>
                <w:szCs w:val="18"/>
              </w:rPr>
              <w:t>环境效益</w:t>
            </w:r>
          </w:p>
        </w:tc>
        <w:tc>
          <w:tcPr>
            <w:tcW w:w="3400" w:type="dxa"/>
            <w:gridSpan w:val="3"/>
            <w:shd w:val="clear" w:color="auto" w:fill="auto"/>
            <w:vAlign w:val="center"/>
          </w:tcPr>
          <w:p>
            <w:pPr>
              <w:jc w:val="center"/>
              <w:rPr>
                <w:sz w:val="18"/>
                <w:szCs w:val="18"/>
              </w:rPr>
            </w:pPr>
            <w:r>
              <w:rPr>
                <w:rFonts w:hint="eastAsia"/>
                <w:sz w:val="18"/>
                <w:szCs w:val="18"/>
              </w:rPr>
              <w:t>自然生态系统是否保持完好（是否）</w:t>
            </w:r>
          </w:p>
        </w:tc>
        <w:tc>
          <w:tcPr>
            <w:tcW w:w="2720" w:type="dxa"/>
            <w:gridSpan w:val="2"/>
            <w:shd w:val="clear" w:color="auto" w:fill="auto"/>
            <w:vAlign w:val="center"/>
          </w:tcPr>
          <w:p>
            <w:pPr>
              <w:jc w:val="center"/>
              <w:rPr>
                <w:sz w:val="18"/>
                <w:szCs w:val="18"/>
              </w:rPr>
            </w:pPr>
            <w:r>
              <w:rPr>
                <w:rFonts w:hint="eastAsia"/>
                <w:sz w:val="18"/>
                <w:szCs w:val="18"/>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sz w:val="18"/>
                <w:szCs w:val="18"/>
              </w:rPr>
            </w:pPr>
            <w:r>
              <w:rPr>
                <w:rFonts w:hint="eastAsia"/>
                <w:sz w:val="18"/>
                <w:szCs w:val="18"/>
              </w:rPr>
              <w:t>满意度指标</w:t>
            </w:r>
          </w:p>
        </w:tc>
        <w:tc>
          <w:tcPr>
            <w:tcW w:w="2040" w:type="dxa"/>
            <w:gridSpan w:val="2"/>
            <w:shd w:val="clear" w:color="auto" w:fill="auto"/>
            <w:vAlign w:val="center"/>
          </w:tcPr>
          <w:p>
            <w:pPr>
              <w:jc w:val="center"/>
              <w:rPr>
                <w:sz w:val="18"/>
                <w:szCs w:val="18"/>
              </w:rPr>
            </w:pPr>
            <w:r>
              <w:rPr>
                <w:rFonts w:hint="eastAsia"/>
                <w:sz w:val="18"/>
                <w:szCs w:val="18"/>
              </w:rPr>
              <w:t>满意度指标</w:t>
            </w:r>
          </w:p>
        </w:tc>
        <w:tc>
          <w:tcPr>
            <w:tcW w:w="3400" w:type="dxa"/>
            <w:gridSpan w:val="3"/>
            <w:shd w:val="clear" w:color="auto" w:fill="auto"/>
            <w:vAlign w:val="center"/>
          </w:tcPr>
          <w:p>
            <w:pPr>
              <w:jc w:val="center"/>
              <w:rPr>
                <w:sz w:val="18"/>
                <w:szCs w:val="18"/>
              </w:rPr>
            </w:pPr>
            <w:r>
              <w:rPr>
                <w:rFonts w:hint="eastAsia"/>
                <w:sz w:val="18"/>
                <w:szCs w:val="18"/>
              </w:rPr>
              <w:t>林业有害生物防治辖区民众满意度</w:t>
            </w:r>
          </w:p>
        </w:tc>
        <w:tc>
          <w:tcPr>
            <w:tcW w:w="2720" w:type="dxa"/>
            <w:gridSpan w:val="2"/>
            <w:shd w:val="clear" w:color="auto" w:fill="auto"/>
            <w:vAlign w:val="center"/>
          </w:tcPr>
          <w:p>
            <w:pPr>
              <w:jc w:val="center"/>
              <w:rPr>
                <w:sz w:val="18"/>
                <w:szCs w:val="18"/>
              </w:rPr>
            </w:pPr>
            <w:r>
              <w:rPr>
                <w:rFonts w:hint="eastAsia"/>
                <w:sz w:val="18"/>
                <w:szCs w:val="18"/>
              </w:rPr>
              <w:t>＞=90%</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60"/>
        <w:gridCol w:w="680"/>
        <w:gridCol w:w="680"/>
        <w:gridCol w:w="1360"/>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rFonts w:hint="eastAsia" w:eastAsia="宋体"/>
                <w:b/>
                <w:sz w:val="18"/>
                <w:szCs w:val="18"/>
                <w:lang w:eastAsia="zh-CN"/>
              </w:rPr>
            </w:pPr>
            <w:r>
              <w:rPr>
                <w:rFonts w:hint="eastAsia"/>
                <w:b/>
                <w:sz w:val="18"/>
                <w:szCs w:val="18"/>
              </w:rPr>
              <w:t>预算</w:t>
            </w:r>
            <w:r>
              <w:rPr>
                <w:rFonts w:hint="eastAsia"/>
                <w:b/>
                <w:sz w:val="18"/>
                <w:szCs w:val="18"/>
                <w:lang w:eastAsia="zh-CN"/>
              </w:rPr>
              <w:t>部门</w:t>
            </w:r>
          </w:p>
        </w:tc>
        <w:tc>
          <w:tcPr>
            <w:tcW w:w="8160" w:type="dxa"/>
            <w:gridSpan w:val="7"/>
            <w:shd w:val="clear" w:color="auto" w:fill="auto"/>
            <w:vAlign w:val="center"/>
          </w:tcPr>
          <w:p>
            <w:pPr>
              <w:jc w:val="center"/>
              <w:rPr>
                <w:sz w:val="18"/>
                <w:szCs w:val="18"/>
              </w:rPr>
            </w:pPr>
            <w:r>
              <w:rPr>
                <w:rFonts w:hint="eastAsia"/>
                <w:sz w:val="18"/>
                <w:szCs w:val="18"/>
              </w:rPr>
              <w:t>呼图壁县林业和草原局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项目名称</w:t>
            </w:r>
          </w:p>
        </w:tc>
        <w:tc>
          <w:tcPr>
            <w:tcW w:w="5440" w:type="dxa"/>
            <w:gridSpan w:val="5"/>
            <w:shd w:val="clear" w:color="auto" w:fill="auto"/>
            <w:vAlign w:val="center"/>
          </w:tcPr>
          <w:p>
            <w:pPr>
              <w:jc w:val="center"/>
              <w:rPr>
                <w:b/>
                <w:sz w:val="18"/>
                <w:szCs w:val="18"/>
              </w:rPr>
            </w:pPr>
            <w:r>
              <w:rPr>
                <w:rFonts w:hint="eastAsia"/>
                <w:sz w:val="18"/>
                <w:szCs w:val="18"/>
              </w:rPr>
              <w:t>昌吉州呼图壁县2026年香妃海棠简约化栽培提质增效项目</w:t>
            </w:r>
          </w:p>
        </w:tc>
        <w:tc>
          <w:tcPr>
            <w:tcW w:w="1360" w:type="dxa"/>
            <w:shd w:val="clear" w:color="auto" w:fill="auto"/>
            <w:vAlign w:val="center"/>
          </w:tcPr>
          <w:p>
            <w:pPr>
              <w:jc w:val="center"/>
              <w:rPr>
                <w:sz w:val="18"/>
                <w:szCs w:val="18"/>
              </w:rPr>
            </w:pPr>
            <w:r>
              <w:rPr>
                <w:rFonts w:hint="eastAsia"/>
                <w:b/>
                <w:sz w:val="18"/>
                <w:szCs w:val="18"/>
              </w:rPr>
              <w:t>项目负责人</w:t>
            </w:r>
          </w:p>
        </w:tc>
        <w:tc>
          <w:tcPr>
            <w:tcW w:w="1360" w:type="dxa"/>
            <w:shd w:val="clear" w:color="auto" w:fill="auto"/>
            <w:vAlign w:val="center"/>
          </w:tcPr>
          <w:p>
            <w:pPr>
              <w:jc w:val="center"/>
              <w:rPr>
                <w:sz w:val="18"/>
                <w:szCs w:val="18"/>
              </w:rPr>
            </w:pPr>
            <w:r>
              <w:rPr>
                <w:rFonts w:hint="eastAsia"/>
                <w:sz w:val="18"/>
                <w:szCs w:val="18"/>
              </w:rPr>
              <w:t>何国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中央补助：</w:t>
            </w:r>
          </w:p>
        </w:tc>
        <w:tc>
          <w:tcPr>
            <w:tcW w:w="1360" w:type="dxa"/>
            <w:gridSpan w:val="2"/>
            <w:shd w:val="clear" w:color="auto" w:fill="auto"/>
            <w:vAlign w:val="center"/>
          </w:tcPr>
          <w:p>
            <w:pPr>
              <w:jc w:val="center"/>
              <w:rPr>
                <w:sz w:val="18"/>
                <w:szCs w:val="18"/>
              </w:rPr>
            </w:pPr>
            <w:r>
              <w:rPr>
                <w:rFonts w:hint="eastAsia"/>
                <w:sz w:val="18"/>
                <w:szCs w:val="18"/>
              </w:rPr>
              <w:t>15.00</w:t>
            </w:r>
          </w:p>
        </w:tc>
        <w:tc>
          <w:tcPr>
            <w:tcW w:w="1360" w:type="dxa"/>
            <w:shd w:val="clear" w:color="auto" w:fill="auto"/>
            <w:vAlign w:val="center"/>
          </w:tcPr>
          <w:p>
            <w:pPr>
              <w:jc w:val="center"/>
              <w:rPr>
                <w:sz w:val="18"/>
                <w:szCs w:val="18"/>
              </w:rPr>
            </w:pPr>
            <w:r>
              <w:rPr>
                <w:rFonts w:hint="eastAsia"/>
                <w:sz w:val="18"/>
                <w:szCs w:val="18"/>
              </w:rPr>
              <w:t>本级配套：</w:t>
            </w:r>
          </w:p>
        </w:tc>
        <w:tc>
          <w:tcPr>
            <w:tcW w:w="1360" w:type="dxa"/>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shd w:val="clear" w:color="auto" w:fill="auto"/>
            <w:vAlign w:val="center"/>
          </w:tcPr>
          <w:p>
            <w:pPr>
              <w:jc w:val="center"/>
              <w:rPr>
                <w:b/>
                <w:sz w:val="18"/>
                <w:szCs w:val="18"/>
              </w:rPr>
            </w:pPr>
            <w:r>
              <w:rPr>
                <w:rFonts w:hint="eastAsia"/>
                <w:b/>
                <w:sz w:val="18"/>
                <w:szCs w:val="18"/>
              </w:rPr>
              <w:t>项目总体目标</w:t>
            </w:r>
          </w:p>
        </w:tc>
        <w:tc>
          <w:tcPr>
            <w:tcW w:w="8160" w:type="dxa"/>
            <w:gridSpan w:val="7"/>
            <w:shd w:val="clear" w:color="auto" w:fill="auto"/>
            <w:vAlign w:val="center"/>
          </w:tcPr>
          <w:p>
            <w:pPr>
              <w:rPr>
                <w:b/>
                <w:sz w:val="18"/>
                <w:szCs w:val="18"/>
              </w:rPr>
            </w:pPr>
            <w:r>
              <w:rPr>
                <w:rFonts w:hint="eastAsia"/>
                <w:color w:val="000000"/>
                <w:sz w:val="18"/>
                <w:szCs w:val="18"/>
              </w:rPr>
              <w:t>本项目拟投入15（项目预算）万元用于完成香妃海棠简约化示范园补助发放工作，具体为：呼图壁县林海苗木种植农民专业合作社采购了牵引式风送喷雾机、抓枝机、避障式割草机各1台、果园运输拖车1辆，通过专业设备，改造了滴灌设施，建设了100亩的香妃海棠简约化栽培标准示范园，我们对其香妃海棠简约化栽培标准示范园进行验收，验收通过后，按照1500元/亩的标准，为其发放补助。通过项目的实施，实现农户增收，形成经济、社会与生态效益兼具的示范工程，促进周边各种相关产业发展，增加就业岗位，提高就业人员的生活质量与消费水平，推动新疆林果产业高质量发展。通过香妃海棠种植改善区域气候、增加空气湿度与生物多样性，打造绿色景观，助力生态旅游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b/>
                <w:sz w:val="18"/>
                <w:szCs w:val="18"/>
              </w:rPr>
            </w:pPr>
            <w:r>
              <w:rPr>
                <w:rFonts w:hint="eastAsia"/>
                <w:b/>
                <w:sz w:val="18"/>
                <w:szCs w:val="18"/>
              </w:rPr>
              <w:t>一级指标</w:t>
            </w:r>
          </w:p>
        </w:tc>
        <w:tc>
          <w:tcPr>
            <w:tcW w:w="2040" w:type="dxa"/>
            <w:gridSpan w:val="2"/>
            <w:shd w:val="clear" w:color="auto" w:fill="auto"/>
            <w:vAlign w:val="center"/>
          </w:tcPr>
          <w:p>
            <w:pPr>
              <w:jc w:val="center"/>
              <w:rPr>
                <w:b/>
                <w:sz w:val="18"/>
                <w:szCs w:val="18"/>
              </w:rPr>
            </w:pPr>
            <w:r>
              <w:rPr>
                <w:rFonts w:hint="eastAsia"/>
                <w:b/>
                <w:sz w:val="18"/>
                <w:szCs w:val="18"/>
              </w:rPr>
              <w:t>二级指标</w:t>
            </w:r>
          </w:p>
        </w:tc>
        <w:tc>
          <w:tcPr>
            <w:tcW w:w="3400" w:type="dxa"/>
            <w:gridSpan w:val="3"/>
            <w:shd w:val="clear" w:color="auto" w:fill="auto"/>
            <w:vAlign w:val="center"/>
          </w:tcPr>
          <w:p>
            <w:pPr>
              <w:jc w:val="center"/>
              <w:rPr>
                <w:b/>
                <w:sz w:val="18"/>
                <w:szCs w:val="18"/>
              </w:rPr>
            </w:pPr>
            <w:r>
              <w:rPr>
                <w:rFonts w:hint="eastAsia"/>
                <w:b/>
                <w:sz w:val="18"/>
                <w:szCs w:val="18"/>
              </w:rPr>
              <w:t>三级指标</w:t>
            </w:r>
          </w:p>
        </w:tc>
        <w:tc>
          <w:tcPr>
            <w:tcW w:w="2720" w:type="dxa"/>
            <w:gridSpan w:val="2"/>
            <w:shd w:val="clear" w:color="auto" w:fill="auto"/>
            <w:vAlign w:val="center"/>
          </w:tcPr>
          <w:p>
            <w:pPr>
              <w:jc w:val="center"/>
              <w:rPr>
                <w:b/>
                <w:sz w:val="18"/>
                <w:szCs w:val="18"/>
              </w:rPr>
            </w:pPr>
            <w:r>
              <w:rPr>
                <w:rFonts w:hint="eastAsia"/>
                <w:b/>
                <w:sz w:val="18"/>
                <w:szCs w:val="18"/>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产出目标</w:t>
            </w:r>
          </w:p>
        </w:tc>
        <w:tc>
          <w:tcPr>
            <w:tcW w:w="2040" w:type="dxa"/>
            <w:gridSpan w:val="2"/>
            <w:vMerge w:val="restart"/>
            <w:shd w:val="clear" w:color="auto" w:fill="auto"/>
            <w:vAlign w:val="center"/>
          </w:tcPr>
          <w:p>
            <w:pPr>
              <w:jc w:val="center"/>
              <w:rPr>
                <w:sz w:val="18"/>
                <w:szCs w:val="18"/>
              </w:rPr>
            </w:pPr>
            <w:r>
              <w:rPr>
                <w:rFonts w:hint="eastAsia"/>
                <w:sz w:val="18"/>
                <w:szCs w:val="18"/>
              </w:rPr>
              <w:t>数量指标</w:t>
            </w:r>
          </w:p>
        </w:tc>
        <w:tc>
          <w:tcPr>
            <w:tcW w:w="3400" w:type="dxa"/>
            <w:gridSpan w:val="3"/>
            <w:shd w:val="clear" w:color="auto" w:fill="auto"/>
            <w:vAlign w:val="center"/>
          </w:tcPr>
          <w:p>
            <w:pPr>
              <w:jc w:val="center"/>
              <w:rPr>
                <w:sz w:val="18"/>
                <w:szCs w:val="18"/>
              </w:rPr>
            </w:pPr>
            <w:r>
              <w:rPr>
                <w:rFonts w:hint="eastAsia"/>
                <w:sz w:val="18"/>
                <w:szCs w:val="18"/>
              </w:rPr>
              <w:t>林果基地示范园建设数量</w:t>
            </w:r>
          </w:p>
        </w:tc>
        <w:tc>
          <w:tcPr>
            <w:tcW w:w="2720" w:type="dxa"/>
            <w:gridSpan w:val="2"/>
            <w:shd w:val="clear" w:color="auto" w:fill="auto"/>
            <w:vAlign w:val="center"/>
          </w:tcPr>
          <w:p>
            <w:pPr>
              <w:jc w:val="center"/>
              <w:rPr>
                <w:sz w:val="18"/>
                <w:szCs w:val="18"/>
              </w:rPr>
            </w:pPr>
            <w:r>
              <w:rPr>
                <w:rFonts w:hint="eastAsia"/>
                <w:sz w:val="18"/>
                <w:szCs w:val="18"/>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continue"/>
            <w:shd w:val="clear" w:color="auto" w:fill="auto"/>
            <w:vAlign w:val="center"/>
          </w:tcPr>
          <w:p>
            <w:pPr>
              <w:jc w:val="center"/>
              <w:rPr>
                <w:sz w:val="18"/>
                <w:szCs w:val="18"/>
              </w:rPr>
            </w:pPr>
          </w:p>
        </w:tc>
        <w:tc>
          <w:tcPr>
            <w:tcW w:w="3400" w:type="dxa"/>
            <w:gridSpan w:val="3"/>
            <w:shd w:val="clear" w:color="auto" w:fill="auto"/>
            <w:vAlign w:val="center"/>
          </w:tcPr>
          <w:p>
            <w:pPr>
              <w:jc w:val="center"/>
              <w:rPr>
                <w:sz w:val="18"/>
                <w:szCs w:val="18"/>
              </w:rPr>
            </w:pPr>
            <w:r>
              <w:rPr>
                <w:rFonts w:hint="eastAsia"/>
                <w:sz w:val="18"/>
                <w:szCs w:val="18"/>
              </w:rPr>
              <w:t>补助发放面积</w:t>
            </w:r>
          </w:p>
        </w:tc>
        <w:tc>
          <w:tcPr>
            <w:tcW w:w="2720" w:type="dxa"/>
            <w:gridSpan w:val="2"/>
            <w:shd w:val="clear" w:color="auto" w:fill="auto"/>
            <w:vAlign w:val="center"/>
          </w:tcPr>
          <w:p>
            <w:pPr>
              <w:jc w:val="center"/>
              <w:rPr>
                <w:sz w:val="18"/>
                <w:szCs w:val="18"/>
              </w:rPr>
            </w:pPr>
            <w:r>
              <w:rPr>
                <w:rFonts w:hint="eastAsia"/>
                <w:sz w:val="18"/>
                <w:szCs w:val="18"/>
              </w:rPr>
              <w:t>＞=100亩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质量指标</w:t>
            </w:r>
          </w:p>
        </w:tc>
        <w:tc>
          <w:tcPr>
            <w:tcW w:w="3400" w:type="dxa"/>
            <w:gridSpan w:val="3"/>
            <w:shd w:val="clear" w:color="auto" w:fill="auto"/>
            <w:vAlign w:val="center"/>
          </w:tcPr>
          <w:p>
            <w:pPr>
              <w:jc w:val="center"/>
              <w:rPr>
                <w:sz w:val="18"/>
                <w:szCs w:val="18"/>
              </w:rPr>
            </w:pPr>
            <w:r>
              <w:rPr>
                <w:rFonts w:hint="eastAsia"/>
                <w:sz w:val="18"/>
                <w:szCs w:val="18"/>
              </w:rPr>
              <w:t>林果基地示范园建设数量项目验收合格率</w:t>
            </w:r>
          </w:p>
        </w:tc>
        <w:tc>
          <w:tcPr>
            <w:tcW w:w="2720" w:type="dxa"/>
            <w:gridSpan w:val="2"/>
            <w:shd w:val="clear" w:color="auto" w:fill="auto"/>
            <w:vAlign w:val="center"/>
          </w:tcPr>
          <w:p>
            <w:pPr>
              <w:jc w:val="center"/>
              <w:rPr>
                <w:sz w:val="18"/>
                <w:szCs w:val="18"/>
              </w:rPr>
            </w:pPr>
            <w:r>
              <w:rPr>
                <w:rFonts w:hint="eastAsia"/>
                <w:sz w:val="18"/>
                <w:szCs w:val="18"/>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时效指标</w:t>
            </w:r>
          </w:p>
        </w:tc>
        <w:tc>
          <w:tcPr>
            <w:tcW w:w="3400" w:type="dxa"/>
            <w:gridSpan w:val="3"/>
            <w:shd w:val="clear" w:color="auto" w:fill="auto"/>
            <w:vAlign w:val="center"/>
          </w:tcPr>
          <w:p>
            <w:pPr>
              <w:jc w:val="center"/>
              <w:rPr>
                <w:sz w:val="18"/>
                <w:szCs w:val="18"/>
              </w:rPr>
            </w:pPr>
            <w:r>
              <w:rPr>
                <w:rFonts w:hint="eastAsia"/>
                <w:sz w:val="18"/>
                <w:szCs w:val="18"/>
              </w:rPr>
              <w:t>补助发放完成时限</w:t>
            </w:r>
          </w:p>
        </w:tc>
        <w:tc>
          <w:tcPr>
            <w:tcW w:w="2720" w:type="dxa"/>
            <w:gridSpan w:val="2"/>
            <w:shd w:val="clear" w:color="auto" w:fill="auto"/>
            <w:vAlign w:val="center"/>
          </w:tcPr>
          <w:p>
            <w:pPr>
              <w:jc w:val="center"/>
              <w:rPr>
                <w:sz w:val="18"/>
                <w:szCs w:val="18"/>
              </w:rPr>
            </w:pPr>
            <w:r>
              <w:rPr>
                <w:rFonts w:hint="eastAsia"/>
                <w:sz w:val="18"/>
                <w:szCs w:val="18"/>
              </w:rPr>
              <w:t>2026年12月10日前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continue"/>
            <w:shd w:val="clear" w:color="auto" w:fill="auto"/>
            <w:vAlign w:val="center"/>
          </w:tcPr>
          <w:p>
            <w:pPr>
              <w:jc w:val="center"/>
              <w:rPr>
                <w:sz w:val="18"/>
                <w:szCs w:val="18"/>
              </w:rPr>
            </w:pPr>
          </w:p>
        </w:tc>
        <w:tc>
          <w:tcPr>
            <w:tcW w:w="2040" w:type="dxa"/>
            <w:gridSpan w:val="2"/>
            <w:vMerge w:val="restart"/>
            <w:shd w:val="clear" w:color="auto" w:fill="auto"/>
            <w:vAlign w:val="center"/>
          </w:tcPr>
          <w:p>
            <w:pPr>
              <w:jc w:val="center"/>
              <w:rPr>
                <w:sz w:val="18"/>
                <w:szCs w:val="18"/>
              </w:rPr>
            </w:pPr>
            <w:r>
              <w:rPr>
                <w:rFonts w:hint="eastAsia"/>
                <w:sz w:val="18"/>
                <w:szCs w:val="18"/>
              </w:rPr>
              <w:t>成本指标</w:t>
            </w:r>
          </w:p>
        </w:tc>
        <w:tc>
          <w:tcPr>
            <w:tcW w:w="3400" w:type="dxa"/>
            <w:gridSpan w:val="3"/>
            <w:shd w:val="clear" w:color="auto" w:fill="auto"/>
            <w:vAlign w:val="center"/>
          </w:tcPr>
          <w:p>
            <w:pPr>
              <w:jc w:val="center"/>
              <w:rPr>
                <w:sz w:val="18"/>
                <w:szCs w:val="18"/>
              </w:rPr>
            </w:pPr>
            <w:r>
              <w:rPr>
                <w:rFonts w:hint="eastAsia"/>
                <w:sz w:val="18"/>
                <w:szCs w:val="18"/>
              </w:rPr>
              <w:t>林果基地示范园补助标准（元/亩）</w:t>
            </w:r>
          </w:p>
        </w:tc>
        <w:tc>
          <w:tcPr>
            <w:tcW w:w="2720" w:type="dxa"/>
            <w:gridSpan w:val="2"/>
            <w:shd w:val="clear" w:color="auto" w:fill="auto"/>
            <w:vAlign w:val="center"/>
          </w:tcPr>
          <w:p>
            <w:pPr>
              <w:jc w:val="center"/>
              <w:rPr>
                <w:sz w:val="18"/>
                <w:szCs w:val="18"/>
              </w:rPr>
            </w:pPr>
            <w:r>
              <w:rPr>
                <w:rFonts w:hint="eastAsia"/>
                <w:sz w:val="18"/>
                <w:szCs w:val="18"/>
              </w:rPr>
              <w:t>＜=1500元/亩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vMerge w:val="restart"/>
            <w:shd w:val="clear" w:color="auto" w:fill="auto"/>
            <w:vAlign w:val="center"/>
          </w:tcPr>
          <w:p>
            <w:pPr>
              <w:jc w:val="center"/>
              <w:rPr>
                <w:sz w:val="18"/>
                <w:szCs w:val="18"/>
              </w:rPr>
            </w:pPr>
            <w:r>
              <w:rPr>
                <w:rFonts w:hint="eastAsia"/>
                <w:sz w:val="18"/>
                <w:szCs w:val="18"/>
              </w:rPr>
              <w:t>效果目标</w:t>
            </w:r>
          </w:p>
        </w:tc>
        <w:tc>
          <w:tcPr>
            <w:tcW w:w="2040" w:type="dxa"/>
            <w:gridSpan w:val="2"/>
            <w:vMerge w:val="restart"/>
            <w:shd w:val="clear" w:color="auto" w:fill="auto"/>
            <w:vAlign w:val="center"/>
          </w:tcPr>
          <w:p>
            <w:pPr>
              <w:jc w:val="center"/>
              <w:rPr>
                <w:sz w:val="18"/>
                <w:szCs w:val="18"/>
              </w:rPr>
            </w:pPr>
            <w:r>
              <w:rPr>
                <w:rFonts w:hint="eastAsia"/>
                <w:sz w:val="18"/>
                <w:szCs w:val="18"/>
              </w:rPr>
              <w:t>社会效益</w:t>
            </w:r>
          </w:p>
        </w:tc>
        <w:tc>
          <w:tcPr>
            <w:tcW w:w="3400" w:type="dxa"/>
            <w:gridSpan w:val="3"/>
            <w:shd w:val="clear" w:color="auto" w:fill="auto"/>
            <w:vAlign w:val="center"/>
          </w:tcPr>
          <w:p>
            <w:pPr>
              <w:jc w:val="center"/>
              <w:rPr>
                <w:sz w:val="18"/>
                <w:szCs w:val="18"/>
              </w:rPr>
            </w:pPr>
            <w:r>
              <w:rPr>
                <w:rFonts w:hint="eastAsia"/>
                <w:sz w:val="18"/>
                <w:szCs w:val="18"/>
              </w:rPr>
              <w:t>有效推动林果全产业链提质增效</w:t>
            </w:r>
          </w:p>
        </w:tc>
        <w:tc>
          <w:tcPr>
            <w:tcW w:w="2720" w:type="dxa"/>
            <w:gridSpan w:val="2"/>
            <w:shd w:val="clear" w:color="auto" w:fill="auto"/>
            <w:vAlign w:val="center"/>
          </w:tcPr>
          <w:p>
            <w:pPr>
              <w:jc w:val="center"/>
              <w:rPr>
                <w:sz w:val="18"/>
                <w:szCs w:val="18"/>
              </w:rPr>
            </w:pPr>
            <w:r>
              <w:rPr>
                <w:rFonts w:hint="eastAsia"/>
                <w:sz w:val="18"/>
                <w:szCs w:val="18"/>
              </w:rPr>
              <w:t>进一步提升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1" w:type="dxa"/>
            <w:shd w:val="clear" w:color="auto" w:fill="auto"/>
            <w:vAlign w:val="center"/>
          </w:tcPr>
          <w:p>
            <w:pPr>
              <w:jc w:val="center"/>
              <w:rPr>
                <w:sz w:val="18"/>
                <w:szCs w:val="18"/>
              </w:rPr>
            </w:pPr>
            <w:r>
              <w:rPr>
                <w:rFonts w:hint="eastAsia"/>
                <w:sz w:val="18"/>
                <w:szCs w:val="18"/>
              </w:rPr>
              <w:t>满意度指标</w:t>
            </w:r>
          </w:p>
        </w:tc>
        <w:tc>
          <w:tcPr>
            <w:tcW w:w="2040" w:type="dxa"/>
            <w:gridSpan w:val="2"/>
            <w:shd w:val="clear" w:color="auto" w:fill="auto"/>
            <w:vAlign w:val="center"/>
          </w:tcPr>
          <w:p>
            <w:pPr>
              <w:jc w:val="center"/>
              <w:rPr>
                <w:sz w:val="18"/>
                <w:szCs w:val="18"/>
              </w:rPr>
            </w:pPr>
            <w:r>
              <w:rPr>
                <w:rFonts w:hint="eastAsia"/>
                <w:sz w:val="18"/>
                <w:szCs w:val="18"/>
              </w:rPr>
              <w:t>满意度指标</w:t>
            </w:r>
          </w:p>
        </w:tc>
        <w:tc>
          <w:tcPr>
            <w:tcW w:w="3400" w:type="dxa"/>
            <w:gridSpan w:val="3"/>
            <w:shd w:val="clear" w:color="auto" w:fill="auto"/>
            <w:vAlign w:val="center"/>
          </w:tcPr>
          <w:p>
            <w:pPr>
              <w:jc w:val="center"/>
              <w:rPr>
                <w:sz w:val="18"/>
                <w:szCs w:val="18"/>
              </w:rPr>
            </w:pPr>
            <w:r>
              <w:rPr>
                <w:rFonts w:hint="eastAsia"/>
                <w:sz w:val="18"/>
                <w:szCs w:val="18"/>
              </w:rPr>
              <w:t>林果服务对象满意度</w:t>
            </w:r>
          </w:p>
        </w:tc>
        <w:tc>
          <w:tcPr>
            <w:tcW w:w="2720" w:type="dxa"/>
            <w:gridSpan w:val="2"/>
            <w:shd w:val="clear" w:color="auto" w:fill="auto"/>
            <w:vAlign w:val="center"/>
          </w:tcPr>
          <w:p>
            <w:pPr>
              <w:jc w:val="center"/>
              <w:rPr>
                <w:sz w:val="18"/>
                <w:szCs w:val="18"/>
              </w:rPr>
            </w:pPr>
            <w:r>
              <w:rPr>
                <w:rFonts w:hint="eastAsia"/>
                <w:sz w:val="18"/>
                <w:szCs w:val="18"/>
              </w:rPr>
              <w:t>＞=100%</w:t>
            </w:r>
          </w:p>
        </w:tc>
      </w:tr>
    </w:tbl>
    <w:p/>
    <w:p>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w:t>
      </w:r>
      <w:r>
        <w:rPr>
          <w:rFonts w:hint="eastAsia" w:ascii="仿宋" w:hAnsi="微软雅黑" w:eastAsia="仿宋"/>
          <w:sz w:val="28"/>
          <w:szCs w:val="28"/>
          <w:lang w:eastAsia="zh-CN"/>
        </w:rPr>
        <w:t>部门</w:t>
      </w:r>
      <w:r>
        <w:rPr>
          <w:rFonts w:hint="eastAsia" w:ascii="仿宋" w:hAnsi="微软雅黑" w:eastAsia="仿宋"/>
          <w:sz w:val="28"/>
          <w:szCs w:val="28"/>
        </w:rPr>
        <w:t>非财政拨款项目1个，涉及金额494万元，主要用于菌草种植项目，不公开绩效目标表。未安排小微企业预留政府采购项目预算的原因是框架协议采购项目。</w:t>
      </w:r>
    </w:p>
    <w:p>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w:t>
      </w:r>
      <w:r>
        <w:rPr>
          <w:rFonts w:hint="eastAsia" w:ascii="仿宋" w:hAnsi="CIDFont+F6" w:eastAsia="仿宋"/>
          <w:color w:val="000000"/>
          <w:sz w:val="28"/>
          <w:szCs w:val="28"/>
          <w:lang w:eastAsia="zh-CN"/>
        </w:rPr>
        <w:t>部门</w:t>
      </w:r>
      <w:r>
        <w:rPr>
          <w:rFonts w:hint="eastAsia" w:ascii="仿宋" w:hAnsi="CIDFont+F6" w:eastAsia="仿宋"/>
          <w:color w:val="000000"/>
          <w:sz w:val="28"/>
          <w:szCs w:val="28"/>
        </w:rPr>
        <w:t>）支出预算的组成部分，是各部门（</w:t>
      </w:r>
      <w:r>
        <w:rPr>
          <w:rFonts w:hint="eastAsia" w:ascii="仿宋" w:hAnsi="CIDFont+F6" w:eastAsia="仿宋"/>
          <w:color w:val="000000"/>
          <w:sz w:val="28"/>
          <w:szCs w:val="28"/>
          <w:lang w:eastAsia="zh-CN"/>
        </w:rPr>
        <w:t>部门</w:t>
      </w:r>
      <w:r>
        <w:rPr>
          <w:rFonts w:hint="eastAsia" w:ascii="仿宋" w:hAnsi="CIDFont+F6" w:eastAsia="仿宋"/>
          <w:color w:val="000000"/>
          <w:sz w:val="28"/>
          <w:szCs w:val="28"/>
        </w:rPr>
        <w:t>）为完成其特定的行政任务或事业发展目标，在基本支出预算之外编制的年度项目支出计划。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w:t>
      </w:r>
      <w:r>
        <w:rPr>
          <w:rFonts w:hint="eastAsia" w:ascii="仿宋" w:hAnsi="CIDFont+F6" w:eastAsia="仿宋"/>
          <w:color w:val="000000"/>
          <w:sz w:val="28"/>
          <w:szCs w:val="28"/>
          <w:lang w:eastAsia="zh-CN"/>
        </w:rPr>
        <w:t>部门</w:t>
      </w:r>
      <w:r>
        <w:rPr>
          <w:rFonts w:hint="eastAsia" w:ascii="仿宋" w:hAnsi="CIDFont+F6" w:eastAsia="仿宋"/>
          <w:color w:val="000000"/>
          <w:sz w:val="28"/>
          <w:szCs w:val="28"/>
        </w:rPr>
        <w:t>）因公出国（境）费用、公务用车购置及运行维护费和公务接待费。其中:因公出国（境）费用反映</w:t>
      </w:r>
      <w:r>
        <w:rPr>
          <w:rFonts w:hint="eastAsia" w:ascii="仿宋" w:hAnsi="CIDFont+F6" w:eastAsia="仿宋"/>
          <w:color w:val="000000"/>
          <w:sz w:val="28"/>
          <w:szCs w:val="28"/>
          <w:lang w:eastAsia="zh-CN"/>
        </w:rPr>
        <w:t>部门</w:t>
      </w:r>
      <w:r>
        <w:rPr>
          <w:rFonts w:hint="eastAsia" w:ascii="仿宋" w:hAnsi="CIDFont+F6" w:eastAsia="仿宋"/>
          <w:color w:val="000000"/>
          <w:sz w:val="28"/>
          <w:szCs w:val="28"/>
        </w:rPr>
        <w:t>公务出国（境）的国际旅费、国外城市间交通费、住宿费、伙食费、培训费、公杂费等支出；公务用车购置反映公务用车购置支出（含车辆购置税、牌照费）；公务用车运行维护费反映</w:t>
      </w:r>
      <w:r>
        <w:rPr>
          <w:rFonts w:hint="eastAsia" w:ascii="仿宋" w:hAnsi="CIDFont+F6" w:eastAsia="仿宋"/>
          <w:color w:val="000000"/>
          <w:sz w:val="28"/>
          <w:szCs w:val="28"/>
          <w:lang w:eastAsia="zh-CN"/>
        </w:rPr>
        <w:t>部门</w:t>
      </w:r>
      <w:r>
        <w:rPr>
          <w:rFonts w:hint="eastAsia" w:ascii="仿宋" w:hAnsi="CIDFont+F6" w:eastAsia="仿宋"/>
          <w:color w:val="000000"/>
          <w:sz w:val="28"/>
          <w:szCs w:val="28"/>
        </w:rPr>
        <w:t>按规定保留的公务用车燃料费、新能源汽车充电费、维修费、过桥过路费、保险费、安全奖励费用等支出；公务接待费反映</w:t>
      </w:r>
      <w:r>
        <w:rPr>
          <w:rFonts w:hint="eastAsia" w:ascii="仿宋" w:hAnsi="CIDFont+F6" w:eastAsia="仿宋"/>
          <w:color w:val="000000"/>
          <w:sz w:val="28"/>
          <w:szCs w:val="28"/>
          <w:lang w:eastAsia="zh-CN"/>
        </w:rPr>
        <w:t>部门</w:t>
      </w:r>
      <w:r>
        <w:rPr>
          <w:rFonts w:hint="eastAsia" w:ascii="仿宋" w:hAnsi="CIDFont+F6" w:eastAsia="仿宋"/>
          <w:color w:val="000000"/>
          <w:sz w:val="28"/>
          <w:szCs w:val="28"/>
        </w:rPr>
        <w:t>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w:t>
      </w:r>
      <w:r>
        <w:rPr>
          <w:rFonts w:hint="eastAsia" w:ascii="仿宋" w:hAnsi="CIDFont+F6" w:eastAsia="仿宋"/>
          <w:color w:val="000000"/>
          <w:sz w:val="28"/>
          <w:szCs w:val="28"/>
          <w:lang w:eastAsia="zh-CN"/>
        </w:rPr>
        <w:t>部门</w:t>
      </w:r>
      <w:r>
        <w:rPr>
          <w:rFonts w:hint="eastAsia" w:ascii="仿宋" w:hAnsi="CIDFont+F6" w:eastAsia="仿宋"/>
          <w:color w:val="000000"/>
          <w:sz w:val="28"/>
          <w:szCs w:val="28"/>
        </w:rPr>
        <w:t>（含参照公务员法管理事业</w:t>
      </w:r>
      <w:r>
        <w:rPr>
          <w:rFonts w:hint="eastAsia" w:ascii="仿宋" w:hAnsi="CIDFont+F6" w:eastAsia="仿宋"/>
          <w:color w:val="000000"/>
          <w:sz w:val="28"/>
          <w:szCs w:val="28"/>
          <w:lang w:eastAsia="zh-CN"/>
        </w:rPr>
        <w:t>部门</w:t>
      </w:r>
      <w:r>
        <w:rPr>
          <w:rFonts w:hint="eastAsia" w:ascii="仿宋" w:hAnsi="CIDFont+F6" w:eastAsia="仿宋"/>
          <w:color w:val="000000"/>
          <w:sz w:val="28"/>
          <w:szCs w:val="28"/>
        </w:rPr>
        <w:t>）的公用经费，包括办公及印刷费、邮电费、差旅费、会议费、福利费、日常维修费、专用材料及一般设备购置费、办公用房水电费、办公用房取暖费、办公用房物业管理费、公务用车运行维护费及其他费用。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w:t>
      </w:r>
      <w:r>
        <w:rPr>
          <w:rFonts w:hint="eastAsia" w:ascii="仿宋" w:hAnsi="CIDFont+F6" w:eastAsia="仿宋"/>
          <w:color w:val="000000"/>
          <w:sz w:val="28"/>
          <w:szCs w:val="28"/>
          <w:lang w:eastAsia="zh-CN"/>
        </w:rPr>
        <w:t>部门</w:t>
      </w:r>
      <w:r>
        <w:rPr>
          <w:rFonts w:hint="eastAsia" w:ascii="仿宋" w:hAnsi="CIDFont+F6" w:eastAsia="仿宋"/>
          <w:color w:val="000000"/>
          <w:sz w:val="28"/>
          <w:szCs w:val="28"/>
        </w:rPr>
        <w:t>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呼图壁县林业和草原局</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auto"/>
    <w:pitch w:val="default"/>
    <w:sig w:usb0="E0002A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 w:name="Cambria Math">
    <w:altName w:val="DejaVu Math TeX Gyre"/>
    <w:panose1 w:val="00000000000000000000"/>
    <w:charset w:val="00"/>
    <w:family w:val="auto"/>
    <w:pitch w:val="default"/>
    <w:sig w:usb0="E00006FF" w:usb1="420024FF" w:usb2="02000000" w:usb3="00000000" w:csb0="2000019F" w:csb1="00000000"/>
  </w:font>
  <w:font w:name="Cambria">
    <w:panose1 w:val="020405030504060A0204"/>
    <w:charset w:val="00"/>
    <w:family w:val="auto"/>
    <w:pitch w:val="default"/>
    <w:sig w:usb0="E00002FF" w:usb1="4000045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宋体">
    <w:panose1 w:val="02010600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黑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IDFont+F4">
    <w:altName w:val="Times New Roman"/>
    <w:panose1 w:val="00000000000000000000"/>
    <w:charset w:val="00"/>
    <w:family w:val="auto"/>
    <w:pitch w:val="default"/>
    <w:sig w:usb0="00000000" w:usb1="00000000" w:usb2="00000000" w:usb3="00000000" w:csb0="00000000" w:csb1="00000000"/>
  </w:font>
  <w:font w:name="CIDFont+F6">
    <w:altName w:val="Times New Roman"/>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7"/>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71BFEB"/>
    <w:multiLevelType w:val="multilevel"/>
    <w:tmpl w:val="B671BFEB"/>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EC2D9CAB"/>
    <w:multiLevelType w:val="multilevel"/>
    <w:tmpl w:val="EC2D9CAB"/>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9905E9C"/>
    <w:multiLevelType w:val="multilevel"/>
    <w:tmpl w:val="79905E9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C32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kern w:val="2"/>
      <w:sz w:val="21"/>
      <w:szCs w:val="22"/>
      <w:lang w:val="en-US" w:eastAsia="zh-CN" w:bidi="ar-SA"/>
    </w:rPr>
  </w:style>
  <w:style w:type="paragraph" w:styleId="3">
    <w:name w:val="heading 1"/>
    <w:basedOn w:val="1"/>
    <w:next w:val="1"/>
    <w:link w:val="13"/>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link w:val="14"/>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link w:val="15"/>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uiPriority w:val="0"/>
  </w:style>
  <w:style w:type="table" w:default="1" w:styleId="9">
    <w:name w:val="Normal Table"/>
    <w:uiPriority w:val="0"/>
    <w:rPr>
      <w:lang w:val="en-US" w:eastAsia="zh-CN" w:bidi="ar-SA"/>
    </w:rPr>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annotation text"/>
    <w:basedOn w:val="1"/>
    <w:uiPriority w:val="0"/>
    <w:pPr>
      <w:jc w:val="left"/>
    </w:pPr>
  </w:style>
  <w:style w:type="paragraph" w:styleId="7">
    <w:name w:val="footer"/>
    <w:basedOn w:val="1"/>
    <w:link w:val="17"/>
    <w:uiPriority w:val="0"/>
    <w:pPr>
      <w:snapToGrid w:val="0"/>
      <w:jc w:val="left"/>
    </w:pPr>
    <w:rPr>
      <w:sz w:val="18"/>
      <w:szCs w:val="18"/>
    </w:rPr>
  </w:style>
  <w:style w:type="paragraph" w:styleId="8">
    <w:name w:val="header"/>
    <w:basedOn w:val="1"/>
    <w:link w:val="16"/>
    <w:uiPriority w:val="0"/>
    <w:pPr>
      <w:pBdr>
        <w:bottom w:val="single" w:color="auto" w:sz="6" w:space="1"/>
      </w:pBdr>
      <w:snapToGrid w:val="0"/>
      <w:jc w:val="center"/>
    </w:pPr>
    <w:rPr>
      <w:sz w:val="18"/>
      <w:szCs w:val="18"/>
    </w:rPr>
  </w:style>
  <w:style w:type="table" w:styleId="10">
    <w:name w:val="Table Grid"/>
    <w:basedOn w:val="9"/>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List Paragraph"/>
    <w:basedOn w:val="1"/>
    <w:uiPriority w:val="0"/>
    <w:pPr>
      <w:ind w:firstLine="420" w:firstLineChars="200"/>
    </w:pPr>
  </w:style>
  <w:style w:type="character" w:customStyle="1" w:styleId="13">
    <w:name w:val="标题 1 Char"/>
    <w:link w:val="3"/>
    <w:uiPriority w:val="0"/>
    <w:rPr>
      <w:rFonts w:hint="default" w:ascii="Times New Roman" w:hAnsi="Times New Roman"/>
      <w:b/>
      <w:kern w:val="44"/>
      <w:sz w:val="44"/>
      <w:szCs w:val="44"/>
    </w:rPr>
  </w:style>
  <w:style w:type="character" w:customStyle="1" w:styleId="14">
    <w:name w:val="标题 2 Char"/>
    <w:link w:val="4"/>
    <w:uiPriority w:val="0"/>
    <w:rPr>
      <w:rFonts w:hint="default" w:ascii="Cambria" w:hAnsi="Cambria"/>
      <w:b/>
      <w:kern w:val="2"/>
      <w:sz w:val="32"/>
      <w:szCs w:val="32"/>
    </w:rPr>
  </w:style>
  <w:style w:type="character" w:customStyle="1" w:styleId="15">
    <w:name w:val="标题 3 Char"/>
    <w:link w:val="5"/>
    <w:uiPriority w:val="0"/>
    <w:rPr>
      <w:rFonts w:hint="default" w:ascii="Times New Roman" w:hAnsi="Times New Roman"/>
      <w:b/>
      <w:kern w:val="2"/>
      <w:sz w:val="32"/>
      <w:szCs w:val="32"/>
    </w:rPr>
  </w:style>
  <w:style w:type="character" w:customStyle="1" w:styleId="16">
    <w:name w:val="页眉 Char"/>
    <w:link w:val="8"/>
    <w:uiPriority w:val="0"/>
    <w:rPr>
      <w:kern w:val="2"/>
      <w:sz w:val="18"/>
      <w:szCs w:val="18"/>
    </w:rPr>
  </w:style>
  <w:style w:type="character" w:customStyle="1" w:styleId="17">
    <w:name w:val="页脚 Char"/>
    <w:link w:val="7"/>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beijing</Company>
  <Pages>42</Pages>
  <Words>855</Words>
  <Characters>4878</Characters>
  <Lines>40</Lines>
  <Paragraphs>11</Paragraphs>
  <TotalTime>0</TotalTime>
  <ScaleCrop>false</ScaleCrop>
  <LinksUpToDate>false</LinksUpToDate>
  <CharactersWithSpaces>5722</CharactersWithSpaces>
  <Application>WPS Office_12.8.2.15286_F1E327BC-269C-435d-A152-05C5408002CA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ەسىل</cp:lastModifiedBy>
  <dcterms:modified xsi:type="dcterms:W3CDTF">2026-04-20T10:30:38Z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A8F2E494555943BF97DEDD1C34D34ACE_13</vt:lpwstr>
  </property>
</Properties>
</file>