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2026年呼图壁县财政局</w:t>
      </w:r>
    </w:p>
    <w:p>
      <w:pPr>
        <w:jc w:val="center"/>
        <w:rPr>
          <w:rFonts w:hint="eastAsia" w:ascii="黑体" w:hAnsi="ArialUnicodeMS" w:eastAsia="黑体"/>
          <w:color w:val="000000"/>
          <w:sz w:val="44"/>
          <w:szCs w:val="44"/>
        </w:rPr>
      </w:pPr>
    </w:p>
    <w:p>
      <w:pPr>
        <w:jc w:val="center"/>
        <w:rPr>
          <w:rFonts w:hint="eastAsia" w:ascii="黑体" w:hAnsi="ArialUnicodeMS" w:eastAsia="黑体"/>
          <w:color w:val="000000"/>
          <w:sz w:val="44"/>
          <w:szCs w:val="44"/>
        </w:rPr>
      </w:pPr>
      <w:r>
        <w:rPr>
          <w:rFonts w:hint="eastAsia" w:ascii="黑体" w:hAnsi="ArialUnicodeMS" w:eastAsia="黑体"/>
          <w:color w:val="000000"/>
          <w:sz w:val="44"/>
          <w:szCs w:val="44"/>
        </w:rPr>
        <w:t>部门预算公开</w:t>
      </w:r>
    </w:p>
    <w:p>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pPr>
        <w:spacing w:line="560" w:lineRule="exact"/>
        <w:jc w:val="center"/>
        <w:rPr>
          <w:rFonts w:hint="default" w:ascii="黑体" w:eastAsia="黑体"/>
          <w:color w:val="000000"/>
          <w:sz w:val="36"/>
          <w:szCs w:val="36"/>
        </w:rPr>
      </w:pP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2026年部门概况</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2026年部门预算公开表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部门收支总体情况表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部门收入总体情况表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部门支出总体情况表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2026年部门预算情况说明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关于呼图壁县财政局2026年收支预算情况的总体说明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关于呼图壁县财政局2026年收入预算情况说明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关于呼图壁县财政局2026年支出预算情况说明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关于呼图壁县财政局2026年财政拨款收支预算情况的总体说明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关于呼图壁县财政局2026年一般公共预算当年拨款情况说明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关于呼图壁县财政局2026年一般公共预算基本支出情况说明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关于呼图壁县财政局2026年一般公共预算项目支出情况说明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关于呼图壁县财政局2026年政府性基金预算拨款情况说明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关于呼图壁县财政局2026年国有资本经营预算拨款情况说明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关于呼图壁县财政局2026年财政拨款“三公”经费预算情况说明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关于呼图壁县财政局2026年财政拨款委托业务费支出情况说明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关于呼图壁县财政局2026年上年结转结余预算情况说明</w:t>
      </w:r>
    </w:p>
    <w:p>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pPr>
        <w:jc w:val="left"/>
        <w:rPr>
          <w:rFonts w:hint="default" w:ascii="宋体" w:hAnsi="宋体"/>
          <w:color w:val="000000"/>
          <w:sz w:val="18"/>
          <w:szCs w:val="18"/>
        </w:rPr>
      </w:pPr>
    </w:p>
    <w:p>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2026年部门概况</w:t>
      </w:r>
    </w:p>
    <w:p>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呼图壁县财政局是主管县财政收支、财税政策、国有资产管理、会计资格认定和财务人员继续教育等工作的综合经济管理部门。主要职能：</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1.根据国家有关法律、法规、规章、政策以及本县经济和社会发展战略，编制本县中长期财政计划；参与制定本县重大经济决策，研究提出运用财政、税收政策对经济进行调控和综合平衡的建议；贯彻执行国家有关财政分配政策；拟订和执行县与镇政府、街道和企业间的财政分配政策。</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2.编制本县年度预决算草案并组织执行；受县政府委托，向县人民代表大会报告本县预算及其执行情况，向县人大常委会报告决算；管理本县各项财政收入和预算外资金、财政专户；管理有关政府性基金；确定本县财政税收收入计划。</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3.根据国家有关政策规定，做好本县财政非经营性国有资产、财务、会计的管理和监督工作。</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4.管理本县公共支出；制定行政、事业单位开支标准和支出政策；制定基本建设财务制度。办理和监督本县财政的经济发展支出、本县投资项目的财政拨款、企业挖潜改造和科技支出；支援农业发展支出；农业综合开发支出。</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5.管理本县财政的社会保障支出；拟订并执行社会保障资金的财务管理制度；组织实施对社会保障资金使用的财政监督。</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6.负责企业财务会计数据的统计、分析和报告工作；负责本县县级粮食储备资金的使用管理及粮食直补资金的发放监管工作。</w:t>
      </w:r>
    </w:p>
    <w:p>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pPr>
        <w:pStyle w:val="11"/>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呼图壁县财政局无下属预算单位。</w:t>
      </w:r>
    </w:p>
    <w:p>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2026年部门预算公开表</w:t>
      </w:r>
    </w:p>
    <w:p>
      <w:pPr>
        <w:jc w:val="left"/>
        <w:rPr>
          <w:rFonts w:hint="default" w:ascii="宋体" w:hAnsi="宋体"/>
          <w:color w:val="000000"/>
          <w:sz w:val="18"/>
          <w:szCs w:val="18"/>
        </w:rPr>
      </w:pPr>
      <w:r>
        <w:rPr>
          <w:rFonts w:hint="eastAsia" w:ascii="宋体" w:hAnsi="宋体"/>
          <w:color w:val="000000"/>
          <w:sz w:val="18"/>
          <w:szCs w:val="18"/>
        </w:rPr>
        <w:t>表1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部门收支总体情况表</w:t>
      </w:r>
    </w:p>
    <w:tbl>
      <w:tblPr>
        <w:tblStyle w:val="8"/>
        <w:tblW w:w="95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600"/>
        <w:gridCol w:w="1150"/>
        <w:gridCol w:w="3600"/>
        <w:gridCol w:w="11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pPr>
              <w:jc w:val="left"/>
              <w:rPr>
                <w:rFonts w:hint="default" w:ascii="宋体" w:hAnsi="宋体"/>
                <w:color w:val="000000"/>
                <w:sz w:val="18"/>
                <w:szCs w:val="18"/>
              </w:rPr>
            </w:pPr>
            <w:r>
              <w:rPr>
                <w:rFonts w:hint="eastAsia"/>
                <w:color w:val="000000"/>
                <w:sz w:val="18"/>
                <w:szCs w:val="18"/>
              </w:rPr>
              <w:t>编制部门：呼图壁县财政局</w:t>
            </w:r>
          </w:p>
        </w:tc>
        <w:tc>
          <w:tcPr>
            <w:tcW w:w="1150" w:type="dxa"/>
            <w:tcBorders>
              <w:top w:val="nil"/>
              <w:left w:val="nil"/>
              <w:bottom w:val="single" w:color="auto" w:sz="4" w:space="0"/>
              <w:right w:val="nil"/>
            </w:tcBorders>
            <w:shd w:val="clear" w:color="auto" w:fill="auto"/>
          </w:tcPr>
          <w:p>
            <w:pPr>
              <w:jc w:val="right"/>
              <w:rPr>
                <w:rFonts w:hint="default" w:ascii="宋体" w:hAnsi="宋体"/>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pPr>
              <w:jc w:val="center"/>
              <w:rPr>
                <w:rFonts w:hint="eastAsia" w:ascii="宋体" w:hAnsi="宋体"/>
                <w:b/>
                <w:color w:val="000000"/>
                <w:sz w:val="18"/>
                <w:szCs w:val="18"/>
              </w:rPr>
            </w:pPr>
            <w:r>
              <w:rPr>
                <w:rFonts w:hint="eastAsia" w:ascii="宋体" w:hAnsi="宋体"/>
                <w:b/>
                <w:color w:val="000000"/>
                <w:sz w:val="18"/>
                <w:szCs w:val="18"/>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pPr>
              <w:jc w:val="center"/>
              <w:rPr>
                <w:rFonts w:hint="default" w:ascii="宋体" w:hAnsi="宋体"/>
                <w:b/>
                <w:color w:val="000000"/>
                <w:sz w:val="18"/>
                <w:szCs w:val="18"/>
              </w:rPr>
            </w:pPr>
            <w:r>
              <w:rPr>
                <w:rFonts w:hint="eastAsia" w:ascii="宋体" w:hAnsi="宋体"/>
                <w:b/>
                <w:color w:val="000000"/>
                <w:sz w:val="18"/>
                <w:szCs w:val="18"/>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一、本年收入</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1,800.32</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1,337.87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1,133.82</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50"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其中：一般财力</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1,133.82</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上级一般公共预算安排转移支付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其中：政府性基金收入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 xml:space="preserve">      上级政府性基金安排转移支付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3.国有资本经营预算拨款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216.69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其中：国有资本经营收入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上级国有资本经营预算安排转移支付</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132.33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4.财政专户核拨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5.单位资金</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666.50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其中：事业收入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上级补助收入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附属单位上缴收入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事业单位经营收入</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其他收入</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666.50</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二、上年结转结余</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42.05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1.财政拨款结转</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42.05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其中：一般公共预算拨款</w:t>
            </w:r>
          </w:p>
        </w:tc>
        <w:tc>
          <w:tcPr>
            <w:tcW w:w="1150"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42.05</w:t>
            </w: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50"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155.49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政府性基金预算拨款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国有资本经营预算拨款</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b/>
                <w:color w:val="000000"/>
                <w:sz w:val="18"/>
                <w:szCs w:val="18"/>
              </w:rPr>
              <w:t>2.非财政拨款结转结余</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其中：财政专户核拨</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 xml:space="preserve">      单位资金</w:t>
            </w: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233 债务发行费用支出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21" w:hRule="atLeast"/>
          <w:jc w:val="center"/>
        </w:trPr>
        <w:tc>
          <w:tcPr>
            <w:tcW w:w="3600" w:type="dxa"/>
            <w:shd w:val="clear" w:color="auto" w:fill="auto"/>
          </w:tcPr>
          <w:p>
            <w:pPr>
              <w:rPr>
                <w:rFonts w:hint="default" w:ascii="宋体" w:hAnsi="宋体"/>
                <w:color w:val="000000"/>
                <w:sz w:val="18"/>
                <w:szCs w:val="18"/>
              </w:rPr>
            </w:pPr>
          </w:p>
        </w:tc>
        <w:tc>
          <w:tcPr>
            <w:tcW w:w="1150" w:type="dxa"/>
            <w:shd w:val="clear" w:color="auto" w:fill="auto"/>
          </w:tcPr>
          <w:p>
            <w:pPr>
              <w:jc w:val="right"/>
              <w:rPr>
                <w:rFonts w:hint="default" w:ascii="宋体" w:hAnsi="宋体"/>
                <w:color w:val="000000"/>
                <w:sz w:val="18"/>
                <w:szCs w:val="18"/>
              </w:rPr>
            </w:pPr>
          </w:p>
        </w:tc>
        <w:tc>
          <w:tcPr>
            <w:tcW w:w="3600" w:type="dxa"/>
            <w:shd w:val="clear" w:color="auto" w:fill="auto"/>
            <w:vAlign w:val="center"/>
          </w:tcPr>
          <w:p>
            <w:pPr>
              <w:rPr>
                <w:rFonts w:hint="default" w:ascii="宋体" w:hAnsi="宋体" w:cs="宋体"/>
                <w:color w:val="000000"/>
                <w:sz w:val="18"/>
                <w:szCs w:val="18"/>
              </w:rPr>
            </w:pPr>
            <w:r>
              <w:rPr>
                <w:rFonts w:hint="eastAsia" w:ascii="宋体" w:hAnsi="宋体" w:cs="宋体"/>
                <w:color w:val="000000"/>
                <w:sz w:val="18"/>
                <w:szCs w:val="18"/>
              </w:rPr>
              <w:t>234 抗疫特别国债安排的支出</w:t>
            </w:r>
          </w:p>
        </w:tc>
        <w:tc>
          <w:tcPr>
            <w:tcW w:w="1150"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pPr>
              <w:jc w:val="center"/>
              <w:rPr>
                <w:rFonts w:hint="default" w:ascii="宋体" w:hAnsi="宋体"/>
                <w:color w:val="000000"/>
                <w:sz w:val="18"/>
                <w:szCs w:val="18"/>
              </w:rPr>
            </w:pPr>
            <w:r>
              <w:rPr>
                <w:rFonts w:hint="eastAsia" w:ascii="宋体" w:hAnsi="宋体"/>
                <w:b/>
                <w:color w:val="000000"/>
                <w:sz w:val="18"/>
                <w:szCs w:val="18"/>
              </w:rPr>
              <w:t>收 入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1,842.37</w:t>
            </w:r>
          </w:p>
        </w:tc>
        <w:tc>
          <w:tcPr>
            <w:tcW w:w="3600" w:type="dxa"/>
            <w:shd w:val="clear" w:color="auto" w:fill="auto"/>
          </w:tcPr>
          <w:p>
            <w:pPr>
              <w:jc w:val="center"/>
              <w:rPr>
                <w:rFonts w:hint="default" w:ascii="宋体" w:hAnsi="宋体" w:cs="宋体"/>
                <w:color w:val="000000"/>
                <w:sz w:val="18"/>
                <w:szCs w:val="18"/>
              </w:rPr>
            </w:pPr>
            <w:r>
              <w:rPr>
                <w:rFonts w:hint="eastAsia" w:ascii="宋体" w:hAnsi="宋体"/>
                <w:b/>
                <w:color w:val="000000"/>
                <w:sz w:val="18"/>
                <w:szCs w:val="18"/>
              </w:rPr>
              <w:t>支 出 总 计</w:t>
            </w:r>
          </w:p>
        </w:tc>
        <w:tc>
          <w:tcPr>
            <w:tcW w:w="1150"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1,842.37</w:t>
            </w:r>
          </w:p>
        </w:tc>
      </w:tr>
    </w:tbl>
    <w:p>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部门收入总体情况表</w:t>
      </w:r>
    </w:p>
    <w:tbl>
      <w:tblPr>
        <w:tblStyle w:val="8"/>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pPr>
              <w:jc w:val="left"/>
              <w:rPr>
                <w:rFonts w:hint="default" w:ascii="宋体" w:hAnsi="宋体"/>
                <w:sz w:val="18"/>
                <w:szCs w:val="18"/>
              </w:rPr>
            </w:pPr>
            <w:r>
              <w:rPr>
                <w:rFonts w:hint="eastAsia"/>
                <w:color w:val="000000"/>
                <w:sz w:val="18"/>
                <w:szCs w:val="18"/>
              </w:rPr>
              <w:t>编制部门：呼图壁县财政局</w:t>
            </w:r>
          </w:p>
        </w:tc>
        <w:tc>
          <w:tcPr>
            <w:tcW w:w="1800" w:type="dxa"/>
            <w:gridSpan w:val="2"/>
            <w:tcBorders>
              <w:top w:val="nil"/>
              <w:left w:val="nil"/>
              <w:bottom w:val="single" w:color="auto" w:sz="4" w:space="0"/>
              <w:right w:val="nil"/>
            </w:tcBorders>
            <w:shd w:val="clear" w:color="auto" w:fill="auto"/>
            <w:vAlign w:val="center"/>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pPr>
              <w:jc w:val="center"/>
              <w:rPr>
                <w:rFonts w:hint="eastAsia" w:ascii="宋体" w:hAnsi="宋体"/>
                <w:sz w:val="18"/>
                <w:szCs w:val="18"/>
              </w:rPr>
            </w:pPr>
            <w:r>
              <w:rPr>
                <w:rFonts w:hint="eastAsia" w:ascii="宋体" w:hAnsi="宋体"/>
                <w:sz w:val="18"/>
                <w:szCs w:val="18"/>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pPr>
              <w:jc w:val="center"/>
              <w:rPr>
                <w:rFonts w:hint="default" w:ascii="宋体" w:hAnsi="宋体"/>
                <w:sz w:val="18"/>
                <w:szCs w:val="18"/>
              </w:rPr>
            </w:pPr>
          </w:p>
        </w:tc>
        <w:tc>
          <w:tcPr>
            <w:tcW w:w="1100" w:type="dxa"/>
            <w:vMerge w:val="continue"/>
            <w:shd w:val="clear" w:color="auto" w:fill="auto"/>
            <w:vAlign w:val="center"/>
          </w:tcPr>
          <w:p>
            <w:pPr>
              <w:jc w:val="center"/>
              <w:rPr>
                <w:rFonts w:hint="default" w:ascii="宋体" w:hAnsi="宋体"/>
                <w:sz w:val="18"/>
                <w:szCs w:val="18"/>
              </w:rPr>
            </w:pPr>
          </w:p>
        </w:tc>
        <w:tc>
          <w:tcPr>
            <w:tcW w:w="1048" w:type="dxa"/>
            <w:shd w:val="clear" w:color="auto" w:fill="auto"/>
            <w:vAlign w:val="center"/>
          </w:tcPr>
          <w:p>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c>
          <w:tcPr>
            <w:tcW w:w="900" w:type="dxa"/>
            <w:vMerge w:val="continue"/>
            <w:shd w:val="clear" w:color="auto" w:fill="auto"/>
          </w:tcPr>
          <w:p>
            <w:pPr>
              <w:jc w:val="center"/>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68" w:type="dxa"/>
            <w:shd w:val="clear" w:color="auto" w:fill="auto"/>
            <w:vAlign w:val="center"/>
          </w:tcPr>
          <w:p>
            <w:pPr>
              <w:jc w:val="center"/>
              <w:rPr>
                <w:rFonts w:hint="default" w:ascii="宋体" w:hAnsi="宋体"/>
                <w:b/>
                <w:sz w:val="18"/>
                <w:szCs w:val="18"/>
              </w:rPr>
            </w:pP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一般公共服务支出</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1,337.87</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822.32</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822.32</w:t>
            </w: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473.50</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42.05</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201</w:t>
            </w:r>
          </w:p>
        </w:tc>
        <w:tc>
          <w:tcPr>
            <w:tcW w:w="268"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06</w:t>
            </w: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财政事务</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1,337.87</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822.32</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822.32</w:t>
            </w: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473.50</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42.05</w:t>
            </w: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行政运行</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776.90</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466.40</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466.40</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310.50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一般行政管理事务</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274.06</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145.24</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145.24</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90.00</w:t>
            </w: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38.82</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50</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事业运行</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283.68</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210.68</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210.68</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73.00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201</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其他财政事务支出</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3.23</w:t>
            </w:r>
          </w:p>
        </w:tc>
        <w:tc>
          <w:tcPr>
            <w:tcW w:w="1048" w:type="dxa"/>
            <w:shd w:val="clear" w:color="auto" w:fill="auto"/>
            <w:vAlign w:val="center"/>
          </w:tcPr>
          <w:p>
            <w:pPr>
              <w:jc w:val="right"/>
              <w:rPr>
                <w:rFonts w:hint="default" w:ascii="宋体" w:hAnsi="宋体"/>
                <w:sz w:val="18"/>
                <w:szCs w:val="18"/>
              </w:rPr>
            </w:pPr>
          </w:p>
        </w:tc>
        <w:tc>
          <w:tcPr>
            <w:tcW w:w="925"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r>
              <w:rPr>
                <w:rFonts w:hint="eastAsia" w:ascii="宋体" w:hAnsi="宋体"/>
                <w:color w:val="000000"/>
                <w:sz w:val="15"/>
                <w:szCs w:val="15"/>
              </w:rPr>
              <w:t>3.23</w:t>
            </w: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8" w:type="dxa"/>
            <w:shd w:val="clear" w:color="auto" w:fill="auto"/>
            <w:vAlign w:val="center"/>
          </w:tcPr>
          <w:p>
            <w:pPr>
              <w:jc w:val="center"/>
              <w:rPr>
                <w:rFonts w:hint="default" w:ascii="宋体" w:hAnsi="宋体"/>
                <w:b/>
                <w:sz w:val="18"/>
                <w:szCs w:val="18"/>
              </w:rPr>
            </w:pP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社会保障和就业支出</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216.69</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160.69</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160.69</w:t>
            </w: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56.00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208</w:t>
            </w:r>
          </w:p>
        </w:tc>
        <w:tc>
          <w:tcPr>
            <w:tcW w:w="268"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05</w:t>
            </w: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行政事业单位养老支出</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216.69</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160.69</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160.69</w:t>
            </w: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56.00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行政单位离退休</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27.76</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27.76</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27.76</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机关事业单位基本养老保险缴费支出</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94.62</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88.62</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88.62</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6.00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208</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05</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06</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机关事业单位职业年金缴费支出</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94.31</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44.31</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44.31</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8" w:type="dxa"/>
            <w:shd w:val="clear" w:color="auto" w:fill="auto"/>
            <w:vAlign w:val="center"/>
          </w:tcPr>
          <w:p>
            <w:pPr>
              <w:jc w:val="center"/>
              <w:rPr>
                <w:rFonts w:hint="default" w:ascii="宋体" w:hAnsi="宋体"/>
                <w:b/>
                <w:sz w:val="18"/>
                <w:szCs w:val="18"/>
              </w:rPr>
            </w:pP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卫生健康支出</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132.33</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75.33</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75.33</w:t>
            </w: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57.00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210</w:t>
            </w:r>
          </w:p>
        </w:tc>
        <w:tc>
          <w:tcPr>
            <w:tcW w:w="268"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11</w:t>
            </w: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行政事业单位医疗</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132.33</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75.33</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75.33</w:t>
            </w: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57.00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行政单位医疗</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38.14</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35.14</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35.14</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3.00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事业单位医疗</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19.48</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17.48</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17.48</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03</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公务员医疗补助</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24.16</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22.16</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22.16</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2.00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210</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11</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99</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其他行政事业单位医疗支出</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50.55</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0.55</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0.55</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50.00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8" w:type="dxa"/>
            <w:shd w:val="clear" w:color="auto" w:fill="auto"/>
            <w:vAlign w:val="center"/>
          </w:tcPr>
          <w:p>
            <w:pPr>
              <w:jc w:val="center"/>
              <w:rPr>
                <w:rFonts w:hint="default" w:ascii="宋体" w:hAnsi="宋体"/>
                <w:b/>
                <w:sz w:val="18"/>
                <w:szCs w:val="18"/>
              </w:rPr>
            </w:pP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住房保障支出</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155.49</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75.49</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75.49</w:t>
            </w: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221</w:t>
            </w:r>
          </w:p>
        </w:tc>
        <w:tc>
          <w:tcPr>
            <w:tcW w:w="268"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02</w:t>
            </w: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left"/>
              <w:rPr>
                <w:rFonts w:hint="default" w:ascii="宋体" w:hAnsi="宋体"/>
                <w:b/>
                <w:sz w:val="18"/>
                <w:szCs w:val="18"/>
              </w:rPr>
            </w:pPr>
            <w:r>
              <w:rPr>
                <w:rFonts w:hint="eastAsia" w:ascii="宋体" w:hAnsi="宋体"/>
                <w:b/>
                <w:color w:val="000000"/>
                <w:sz w:val="15"/>
                <w:szCs w:val="15"/>
              </w:rPr>
              <w:t xml:space="preserve">  住房改革支出</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155.49</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75.49</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75.49</w:t>
            </w: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80.00</w:t>
            </w:r>
          </w:p>
        </w:tc>
        <w:tc>
          <w:tcPr>
            <w:tcW w:w="900" w:type="dxa"/>
            <w:shd w:val="clear" w:color="auto" w:fill="auto"/>
            <w:vAlign w:val="center"/>
          </w:tcPr>
          <w:p>
            <w:pPr>
              <w:jc w:val="right"/>
              <w:rPr>
                <w:rFonts w:hint="eastAsia" w:ascii="宋体" w:hAnsi="宋体"/>
                <w:b/>
                <w:color w:val="000000"/>
                <w:sz w:val="18"/>
                <w:szCs w:val="18"/>
              </w:rPr>
            </w:pPr>
          </w:p>
        </w:tc>
        <w:tc>
          <w:tcPr>
            <w:tcW w:w="900" w:type="dxa"/>
            <w:shd w:val="clear" w:color="auto" w:fill="auto"/>
            <w:vAlign w:val="center"/>
          </w:tcPr>
          <w:p>
            <w:pPr>
              <w:jc w:val="right"/>
              <w:rPr>
                <w:rFonts w:hint="eastAsia"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221</w:t>
            </w:r>
          </w:p>
        </w:tc>
        <w:tc>
          <w:tcPr>
            <w:tcW w:w="268"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02</w:t>
            </w:r>
          </w:p>
        </w:tc>
        <w:tc>
          <w:tcPr>
            <w:tcW w:w="243" w:type="dxa"/>
            <w:shd w:val="clear" w:color="auto" w:fill="auto"/>
            <w:vAlign w:val="center"/>
          </w:tcPr>
          <w:p>
            <w:pPr>
              <w:jc w:val="center"/>
              <w:rPr>
                <w:rFonts w:hint="default" w:ascii="宋体" w:hAnsi="宋体"/>
                <w:sz w:val="18"/>
                <w:szCs w:val="18"/>
              </w:rPr>
            </w:pPr>
            <w:r>
              <w:rPr>
                <w:rFonts w:hint="eastAsia" w:ascii="宋体" w:hAnsi="宋体"/>
                <w:color w:val="000000"/>
                <w:sz w:val="15"/>
                <w:szCs w:val="15"/>
              </w:rPr>
              <w:t>01</w:t>
            </w:r>
          </w:p>
        </w:tc>
        <w:tc>
          <w:tcPr>
            <w:tcW w:w="2500" w:type="dxa"/>
            <w:shd w:val="clear" w:color="auto" w:fill="auto"/>
            <w:vAlign w:val="center"/>
          </w:tcPr>
          <w:p>
            <w:pPr>
              <w:jc w:val="left"/>
              <w:rPr>
                <w:rFonts w:hint="default" w:ascii="宋体" w:hAnsi="宋体"/>
                <w:sz w:val="18"/>
                <w:szCs w:val="18"/>
              </w:rPr>
            </w:pPr>
            <w:r>
              <w:rPr>
                <w:rFonts w:hint="eastAsia" w:ascii="宋体" w:hAnsi="宋体"/>
                <w:color w:val="000000"/>
                <w:sz w:val="15"/>
                <w:szCs w:val="15"/>
              </w:rPr>
              <w:t xml:space="preserve">    住房公积金</w:t>
            </w:r>
          </w:p>
        </w:tc>
        <w:tc>
          <w:tcPr>
            <w:tcW w:w="11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155.49</w:t>
            </w:r>
          </w:p>
        </w:tc>
        <w:tc>
          <w:tcPr>
            <w:tcW w:w="1048"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75.49</w:t>
            </w:r>
          </w:p>
        </w:tc>
        <w:tc>
          <w:tcPr>
            <w:tcW w:w="925"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75.49</w:t>
            </w:r>
          </w:p>
        </w:tc>
        <w:tc>
          <w:tcPr>
            <w:tcW w:w="924" w:type="dxa"/>
            <w:shd w:val="clear" w:color="auto" w:fill="auto"/>
            <w:vAlign w:val="center"/>
          </w:tcPr>
          <w:p>
            <w:pPr>
              <w:jc w:val="right"/>
              <w:rPr>
                <w:rFonts w:hint="default" w:ascii="宋体" w:hAnsi="宋体"/>
                <w:sz w:val="15"/>
                <w:szCs w:val="15"/>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924" w:type="dxa"/>
            <w:shd w:val="clear" w:color="auto" w:fill="auto"/>
            <w:vAlign w:val="center"/>
          </w:tcPr>
          <w:p>
            <w:pPr>
              <w:jc w:val="right"/>
              <w:rPr>
                <w:rFonts w:hint="default" w:ascii="宋体" w:hAnsi="宋体"/>
                <w:sz w:val="18"/>
                <w:szCs w:val="18"/>
              </w:rPr>
            </w:pPr>
          </w:p>
        </w:tc>
        <w:tc>
          <w:tcPr>
            <w:tcW w:w="671"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p>
        </w:tc>
        <w:tc>
          <w:tcPr>
            <w:tcW w:w="900" w:type="dxa"/>
            <w:shd w:val="clear" w:color="auto" w:fill="auto"/>
            <w:vAlign w:val="center"/>
          </w:tcPr>
          <w:p>
            <w:pPr>
              <w:jc w:val="right"/>
              <w:rPr>
                <w:rFonts w:hint="default" w:ascii="宋体" w:hAnsi="宋体"/>
                <w:sz w:val="18"/>
                <w:szCs w:val="18"/>
              </w:rPr>
            </w:pPr>
            <w:r>
              <w:rPr>
                <w:rFonts w:hint="eastAsia" w:ascii="宋体" w:hAnsi="宋体"/>
                <w:color w:val="000000"/>
                <w:sz w:val="15"/>
                <w:szCs w:val="15"/>
              </w:rPr>
              <w:t>80.00</w:t>
            </w:r>
          </w:p>
        </w:tc>
        <w:tc>
          <w:tcPr>
            <w:tcW w:w="900" w:type="dxa"/>
            <w:shd w:val="clear" w:color="auto" w:fill="auto"/>
            <w:vAlign w:val="center"/>
          </w:tcPr>
          <w:p>
            <w:pPr>
              <w:jc w:val="right"/>
              <w:rPr>
                <w:rFonts w:hint="eastAsia" w:ascii="宋体" w:hAnsi="宋体"/>
                <w:color w:val="000000"/>
                <w:sz w:val="18"/>
                <w:szCs w:val="18"/>
              </w:rPr>
            </w:pPr>
          </w:p>
        </w:tc>
        <w:tc>
          <w:tcPr>
            <w:tcW w:w="900" w:type="dxa"/>
            <w:shd w:val="clear" w:color="auto" w:fill="auto"/>
            <w:vAlign w:val="center"/>
          </w:tcPr>
          <w:p>
            <w:pPr>
              <w:jc w:val="right"/>
              <w:rPr>
                <w:rFonts w:hint="eastAsia"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pPr>
              <w:jc w:val="center"/>
              <w:rPr>
                <w:rFonts w:hint="default" w:ascii="宋体" w:hAnsi="宋体"/>
                <w:b/>
                <w:sz w:val="18"/>
                <w:szCs w:val="18"/>
              </w:rPr>
            </w:pPr>
          </w:p>
        </w:tc>
        <w:tc>
          <w:tcPr>
            <w:tcW w:w="268" w:type="dxa"/>
            <w:shd w:val="clear" w:color="auto" w:fill="auto"/>
            <w:vAlign w:val="center"/>
          </w:tcPr>
          <w:p>
            <w:pPr>
              <w:jc w:val="center"/>
              <w:rPr>
                <w:rFonts w:hint="default" w:ascii="宋体" w:hAnsi="宋体"/>
                <w:b/>
                <w:sz w:val="18"/>
                <w:szCs w:val="18"/>
              </w:rPr>
            </w:pPr>
          </w:p>
        </w:tc>
        <w:tc>
          <w:tcPr>
            <w:tcW w:w="243" w:type="dxa"/>
            <w:shd w:val="clear" w:color="auto" w:fill="auto"/>
            <w:vAlign w:val="center"/>
          </w:tcPr>
          <w:p>
            <w:pPr>
              <w:jc w:val="center"/>
              <w:rPr>
                <w:rFonts w:hint="default" w:ascii="宋体" w:hAnsi="宋体"/>
                <w:b/>
                <w:sz w:val="18"/>
                <w:szCs w:val="18"/>
              </w:rPr>
            </w:pPr>
          </w:p>
        </w:tc>
        <w:tc>
          <w:tcPr>
            <w:tcW w:w="2500" w:type="dxa"/>
            <w:shd w:val="clear" w:color="auto" w:fill="auto"/>
            <w:vAlign w:val="center"/>
          </w:tcPr>
          <w:p>
            <w:pPr>
              <w:jc w:val="center"/>
              <w:rPr>
                <w:rFonts w:hint="default" w:ascii="宋体" w:hAnsi="宋体"/>
                <w:b/>
                <w:sz w:val="18"/>
                <w:szCs w:val="18"/>
              </w:rPr>
            </w:pPr>
            <w:r>
              <w:rPr>
                <w:rFonts w:hint="eastAsia" w:ascii="宋体" w:hAnsi="宋体"/>
                <w:b/>
                <w:color w:val="000000"/>
                <w:sz w:val="15"/>
                <w:szCs w:val="15"/>
              </w:rPr>
              <w:t>总计</w:t>
            </w:r>
          </w:p>
        </w:tc>
        <w:tc>
          <w:tcPr>
            <w:tcW w:w="11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1,842.37</w:t>
            </w:r>
          </w:p>
        </w:tc>
        <w:tc>
          <w:tcPr>
            <w:tcW w:w="1048"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1,133.82</w:t>
            </w:r>
          </w:p>
        </w:tc>
        <w:tc>
          <w:tcPr>
            <w:tcW w:w="925"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1,133.82</w:t>
            </w:r>
          </w:p>
        </w:tc>
        <w:tc>
          <w:tcPr>
            <w:tcW w:w="924" w:type="dxa"/>
            <w:shd w:val="clear" w:color="auto" w:fill="auto"/>
            <w:vAlign w:val="center"/>
          </w:tcPr>
          <w:p>
            <w:pPr>
              <w:jc w:val="right"/>
              <w:rPr>
                <w:rFonts w:hint="default" w:ascii="宋体" w:hAnsi="宋体"/>
                <w:b/>
                <w:sz w:val="15"/>
                <w:szCs w:val="15"/>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924" w:type="dxa"/>
            <w:shd w:val="clear" w:color="auto" w:fill="auto"/>
            <w:vAlign w:val="center"/>
          </w:tcPr>
          <w:p>
            <w:pPr>
              <w:jc w:val="right"/>
              <w:rPr>
                <w:rFonts w:hint="default" w:ascii="宋体" w:hAnsi="宋体"/>
                <w:b/>
                <w:sz w:val="18"/>
                <w:szCs w:val="18"/>
              </w:rPr>
            </w:pPr>
          </w:p>
        </w:tc>
        <w:tc>
          <w:tcPr>
            <w:tcW w:w="671"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p>
        </w:tc>
        <w:tc>
          <w:tcPr>
            <w:tcW w:w="900" w:type="dxa"/>
            <w:shd w:val="clear" w:color="auto" w:fill="auto"/>
            <w:vAlign w:val="center"/>
          </w:tcPr>
          <w:p>
            <w:pPr>
              <w:jc w:val="right"/>
              <w:rPr>
                <w:rFonts w:hint="default" w:ascii="宋体" w:hAnsi="宋体"/>
                <w:b/>
                <w:sz w:val="18"/>
                <w:szCs w:val="18"/>
              </w:rPr>
            </w:pPr>
            <w:r>
              <w:rPr>
                <w:rFonts w:hint="eastAsia" w:ascii="宋体" w:hAnsi="宋体"/>
                <w:b/>
                <w:color w:val="000000"/>
                <w:sz w:val="15"/>
                <w:szCs w:val="15"/>
              </w:rPr>
              <w:t>666.50</w:t>
            </w:r>
          </w:p>
        </w:tc>
        <w:tc>
          <w:tcPr>
            <w:tcW w:w="900" w:type="dxa"/>
            <w:shd w:val="clear" w:color="auto" w:fill="auto"/>
            <w:vAlign w:val="center"/>
          </w:tcPr>
          <w:p>
            <w:pPr>
              <w:jc w:val="right"/>
              <w:rPr>
                <w:rFonts w:hint="eastAsia" w:ascii="宋体" w:hAnsi="宋体"/>
                <w:b/>
                <w:color w:val="000000"/>
                <w:sz w:val="18"/>
                <w:szCs w:val="18"/>
              </w:rPr>
            </w:pPr>
            <w:r>
              <w:rPr>
                <w:rFonts w:hint="eastAsia" w:ascii="宋体" w:hAnsi="宋体"/>
                <w:b/>
                <w:color w:val="000000"/>
                <w:sz w:val="15"/>
                <w:szCs w:val="15"/>
              </w:rPr>
              <w:t>42.05</w:t>
            </w:r>
          </w:p>
        </w:tc>
        <w:tc>
          <w:tcPr>
            <w:tcW w:w="900" w:type="dxa"/>
            <w:shd w:val="clear" w:color="auto" w:fill="auto"/>
            <w:vAlign w:val="center"/>
          </w:tcPr>
          <w:p>
            <w:pPr>
              <w:jc w:val="right"/>
              <w:rPr>
                <w:rFonts w:hint="eastAsia" w:ascii="宋体" w:hAnsi="宋体"/>
                <w:b/>
                <w:color w:val="000000"/>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表3</w:t>
      </w:r>
    </w:p>
    <w:p>
      <w:pPr>
        <w:jc w:val="center"/>
        <w:rPr>
          <w:rFonts w:hint="default" w:ascii="仿宋" w:hAnsi="宋体" w:eastAsia="仿宋"/>
          <w:b/>
          <w:color w:val="000000"/>
          <w:sz w:val="28"/>
          <w:szCs w:val="28"/>
        </w:rPr>
      </w:pPr>
      <w:r>
        <w:rPr>
          <w:rFonts w:hint="eastAsia" w:ascii="仿宋" w:hAnsi="宋体" w:eastAsia="仿宋"/>
          <w:b/>
          <w:color w:val="000000"/>
          <w:sz w:val="28"/>
          <w:szCs w:val="28"/>
        </w:rPr>
        <w:t>部门支出总体情况表</w:t>
      </w:r>
    </w:p>
    <w:tbl>
      <w:tblPr>
        <w:tblStyle w:val="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编制部门：呼图壁县财政局</w:t>
            </w:r>
          </w:p>
        </w:tc>
        <w:tc>
          <w:tcPr>
            <w:tcW w:w="1679"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pPr>
              <w:jc w:val="center"/>
              <w:rPr>
                <w:sz w:val="18"/>
                <w:szCs w:val="18"/>
              </w:rPr>
            </w:pPr>
            <w:r>
              <w:rPr>
                <w:rFonts w:hint="eastAsia"/>
                <w:sz w:val="18"/>
                <w:szCs w:val="18"/>
              </w:rPr>
              <w:t>科目</w:t>
            </w:r>
          </w:p>
        </w:tc>
        <w:tc>
          <w:tcPr>
            <w:tcW w:w="4017" w:type="dxa"/>
            <w:gridSpan w:val="4"/>
            <w:shd w:val="clear" w:color="auto" w:fill="auto"/>
            <w:vAlign w:val="center"/>
          </w:tcPr>
          <w:p>
            <w:pPr>
              <w:jc w:val="center"/>
              <w:rPr>
                <w:sz w:val="18"/>
                <w:szCs w:val="18"/>
              </w:rPr>
            </w:pPr>
            <w:r>
              <w:rPr>
                <w:rFonts w:hint="eastAsia"/>
                <w:sz w:val="18"/>
                <w:szCs w:val="18"/>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169" w:type="dxa"/>
            <w:vMerge w:val="restart"/>
            <w:shd w:val="clear" w:color="auto" w:fill="auto"/>
            <w:vAlign w:val="center"/>
          </w:tcPr>
          <w:p>
            <w:pPr>
              <w:jc w:val="center"/>
              <w:rPr>
                <w:sz w:val="18"/>
                <w:szCs w:val="18"/>
              </w:rPr>
            </w:pPr>
            <w:r>
              <w:rPr>
                <w:rFonts w:hint="eastAsia"/>
                <w:sz w:val="18"/>
                <w:szCs w:val="18"/>
              </w:rPr>
              <w:t>科目名称</w:t>
            </w:r>
          </w:p>
        </w:tc>
        <w:tc>
          <w:tcPr>
            <w:tcW w:w="1306" w:type="dxa"/>
            <w:vMerge w:val="restart"/>
            <w:shd w:val="clear" w:color="auto" w:fill="auto"/>
            <w:vAlign w:val="center"/>
          </w:tcPr>
          <w:p>
            <w:pPr>
              <w:jc w:val="center"/>
              <w:rPr>
                <w:sz w:val="18"/>
                <w:szCs w:val="18"/>
              </w:rPr>
            </w:pPr>
            <w:r>
              <w:rPr>
                <w:rFonts w:hint="eastAsia"/>
                <w:sz w:val="18"/>
                <w:szCs w:val="18"/>
              </w:rPr>
              <w:t>合计</w:t>
            </w:r>
          </w:p>
        </w:tc>
        <w:tc>
          <w:tcPr>
            <w:tcW w:w="1306" w:type="dxa"/>
            <w:gridSpan w:val="2"/>
            <w:vMerge w:val="restart"/>
            <w:shd w:val="clear" w:color="auto" w:fill="auto"/>
            <w:vAlign w:val="center"/>
          </w:tcPr>
          <w:p>
            <w:pPr>
              <w:jc w:val="center"/>
              <w:rPr>
                <w:sz w:val="18"/>
                <w:szCs w:val="18"/>
              </w:rPr>
            </w:pPr>
            <w:r>
              <w:rPr>
                <w:rFonts w:hint="eastAsia"/>
                <w:sz w:val="18"/>
                <w:szCs w:val="18"/>
              </w:rPr>
              <w:t>基本支出</w:t>
            </w:r>
          </w:p>
        </w:tc>
        <w:tc>
          <w:tcPr>
            <w:tcW w:w="1405"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169" w:type="dxa"/>
            <w:vMerge w:val="continue"/>
            <w:shd w:val="clear" w:color="auto" w:fill="auto"/>
            <w:vAlign w:val="center"/>
          </w:tcPr>
          <w:p>
            <w:pPr>
              <w:jc w:val="center"/>
              <w:rPr>
                <w:sz w:val="18"/>
                <w:szCs w:val="18"/>
              </w:rPr>
            </w:pPr>
          </w:p>
        </w:tc>
        <w:tc>
          <w:tcPr>
            <w:tcW w:w="1306" w:type="dxa"/>
            <w:vMerge w:val="continue"/>
            <w:shd w:val="clear" w:color="auto" w:fill="auto"/>
            <w:vAlign w:val="center"/>
          </w:tcPr>
          <w:p>
            <w:pPr>
              <w:jc w:val="center"/>
              <w:rPr>
                <w:sz w:val="18"/>
                <w:szCs w:val="18"/>
              </w:rPr>
            </w:pPr>
          </w:p>
        </w:tc>
        <w:tc>
          <w:tcPr>
            <w:tcW w:w="1306" w:type="dxa"/>
            <w:gridSpan w:val="2"/>
            <w:vMerge w:val="continue"/>
            <w:shd w:val="clear" w:color="auto" w:fill="auto"/>
            <w:vAlign w:val="center"/>
          </w:tcPr>
          <w:p>
            <w:pPr>
              <w:jc w:val="center"/>
              <w:rPr>
                <w:sz w:val="18"/>
                <w:szCs w:val="18"/>
              </w:rPr>
            </w:pPr>
          </w:p>
        </w:tc>
        <w:tc>
          <w:tcPr>
            <w:tcW w:w="1405"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一般公共服务支出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1,337.87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1,060.58</w:t>
            </w:r>
          </w:p>
        </w:tc>
        <w:tc>
          <w:tcPr>
            <w:tcW w:w="1405" w:type="dxa"/>
            <w:shd w:val="clear" w:color="auto" w:fill="auto"/>
            <w:vAlign w:val="center"/>
          </w:tcPr>
          <w:p>
            <w:pPr>
              <w:jc w:val="right"/>
              <w:rPr>
                <w:b/>
                <w:sz w:val="18"/>
                <w:szCs w:val="18"/>
              </w:rPr>
            </w:pPr>
            <w:r>
              <w:rPr>
                <w:rFonts w:hint="eastAsia" w:ascii="宋体" w:hAnsi="宋体"/>
                <w:b/>
                <w:color w:val="000000"/>
                <w:sz w:val="18"/>
                <w:szCs w:val="18"/>
              </w:rPr>
              <w:t>277.29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06</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财政事务</w:t>
            </w:r>
          </w:p>
        </w:tc>
        <w:tc>
          <w:tcPr>
            <w:tcW w:w="1306" w:type="dxa"/>
            <w:shd w:val="clear" w:color="auto" w:fill="auto"/>
            <w:vAlign w:val="center"/>
          </w:tcPr>
          <w:p>
            <w:pPr>
              <w:jc w:val="right"/>
              <w:rPr>
                <w:b/>
                <w:sz w:val="18"/>
                <w:szCs w:val="18"/>
              </w:rPr>
            </w:pPr>
            <w:r>
              <w:rPr>
                <w:rFonts w:hint="eastAsia" w:ascii="宋体" w:hAnsi="宋体"/>
                <w:b/>
                <w:color w:val="000000"/>
                <w:sz w:val="18"/>
                <w:szCs w:val="18"/>
              </w:rPr>
              <w:t>1,337.87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1,060.58</w:t>
            </w:r>
          </w:p>
        </w:tc>
        <w:tc>
          <w:tcPr>
            <w:tcW w:w="1405" w:type="dxa"/>
            <w:shd w:val="clear" w:color="auto" w:fill="auto"/>
            <w:vAlign w:val="center"/>
          </w:tcPr>
          <w:p>
            <w:pPr>
              <w:jc w:val="right"/>
              <w:rPr>
                <w:b/>
                <w:sz w:val="18"/>
                <w:szCs w:val="18"/>
              </w:rPr>
            </w:pPr>
            <w:r>
              <w:rPr>
                <w:rFonts w:hint="eastAsia" w:ascii="宋体" w:hAnsi="宋体"/>
                <w:b/>
                <w:color w:val="000000"/>
                <w:sz w:val="18"/>
                <w:szCs w:val="18"/>
              </w:rPr>
              <w:t>277.29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行政运行</w:t>
            </w:r>
          </w:p>
        </w:tc>
        <w:tc>
          <w:tcPr>
            <w:tcW w:w="1306" w:type="dxa"/>
            <w:shd w:val="clear" w:color="auto" w:fill="auto"/>
            <w:vAlign w:val="center"/>
          </w:tcPr>
          <w:p>
            <w:pPr>
              <w:jc w:val="right"/>
              <w:rPr>
                <w:sz w:val="18"/>
                <w:szCs w:val="18"/>
              </w:rPr>
            </w:pPr>
            <w:r>
              <w:rPr>
                <w:rFonts w:hint="eastAsia" w:ascii="宋体" w:hAnsi="宋体"/>
                <w:color w:val="000000"/>
                <w:sz w:val="18"/>
                <w:szCs w:val="18"/>
              </w:rPr>
              <w:t>776.90</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776.90</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一般行政管理事务</w:t>
            </w:r>
          </w:p>
        </w:tc>
        <w:tc>
          <w:tcPr>
            <w:tcW w:w="1306" w:type="dxa"/>
            <w:shd w:val="clear" w:color="auto" w:fill="auto"/>
            <w:vAlign w:val="center"/>
          </w:tcPr>
          <w:p>
            <w:pPr>
              <w:jc w:val="right"/>
              <w:rPr>
                <w:sz w:val="18"/>
                <w:szCs w:val="18"/>
              </w:rPr>
            </w:pPr>
            <w:r>
              <w:rPr>
                <w:rFonts w:hint="eastAsia" w:ascii="宋体" w:hAnsi="宋体"/>
                <w:color w:val="000000"/>
                <w:sz w:val="18"/>
                <w:szCs w:val="18"/>
              </w:rPr>
              <w:t>274.06</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274.06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50</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事业运行</w:t>
            </w:r>
          </w:p>
        </w:tc>
        <w:tc>
          <w:tcPr>
            <w:tcW w:w="1306" w:type="dxa"/>
            <w:shd w:val="clear" w:color="auto" w:fill="auto"/>
            <w:vAlign w:val="center"/>
          </w:tcPr>
          <w:p>
            <w:pPr>
              <w:jc w:val="right"/>
              <w:rPr>
                <w:sz w:val="18"/>
                <w:szCs w:val="18"/>
              </w:rPr>
            </w:pPr>
            <w:r>
              <w:rPr>
                <w:rFonts w:hint="eastAsia" w:ascii="宋体" w:hAnsi="宋体"/>
                <w:color w:val="000000"/>
                <w:sz w:val="18"/>
                <w:szCs w:val="18"/>
              </w:rPr>
              <w:t>283.68</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283.68</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其他财政事务支出</w:t>
            </w:r>
          </w:p>
        </w:tc>
        <w:tc>
          <w:tcPr>
            <w:tcW w:w="1306" w:type="dxa"/>
            <w:shd w:val="clear" w:color="auto" w:fill="auto"/>
            <w:vAlign w:val="center"/>
          </w:tcPr>
          <w:p>
            <w:pPr>
              <w:jc w:val="right"/>
              <w:rPr>
                <w:sz w:val="18"/>
                <w:szCs w:val="18"/>
              </w:rPr>
            </w:pPr>
            <w:r>
              <w:rPr>
                <w:rFonts w:hint="eastAsia" w:ascii="宋体" w:hAnsi="宋体"/>
                <w:color w:val="000000"/>
                <w:sz w:val="18"/>
                <w:szCs w:val="18"/>
              </w:rPr>
              <w:t>3.23</w:t>
            </w:r>
          </w:p>
        </w:tc>
        <w:tc>
          <w:tcPr>
            <w:tcW w:w="1306" w:type="dxa"/>
            <w:gridSpan w:val="2"/>
            <w:shd w:val="clear" w:color="auto" w:fill="auto"/>
            <w:vAlign w:val="center"/>
          </w:tcPr>
          <w:p>
            <w:pPr>
              <w:jc w:val="right"/>
              <w:rPr>
                <w:sz w:val="18"/>
                <w:szCs w:val="18"/>
              </w:rPr>
            </w:pPr>
          </w:p>
        </w:tc>
        <w:tc>
          <w:tcPr>
            <w:tcW w:w="1405" w:type="dxa"/>
            <w:shd w:val="clear" w:color="auto" w:fill="auto"/>
            <w:vAlign w:val="center"/>
          </w:tcPr>
          <w:p>
            <w:pPr>
              <w:jc w:val="right"/>
              <w:rPr>
                <w:sz w:val="18"/>
                <w:szCs w:val="18"/>
              </w:rPr>
            </w:pPr>
            <w:r>
              <w:rPr>
                <w:rFonts w:hint="eastAsia" w:ascii="宋体" w:hAnsi="宋体"/>
                <w:color w:val="000000"/>
                <w:sz w:val="18"/>
                <w:szCs w:val="18"/>
              </w:rPr>
              <w:t>3.23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社会保障和就业支出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216.69</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216.69</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行政事业单位养老支出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216.69</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216.69</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行政单位离退休</w:t>
            </w:r>
          </w:p>
        </w:tc>
        <w:tc>
          <w:tcPr>
            <w:tcW w:w="1306" w:type="dxa"/>
            <w:shd w:val="clear" w:color="auto" w:fill="auto"/>
            <w:vAlign w:val="center"/>
          </w:tcPr>
          <w:p>
            <w:pPr>
              <w:jc w:val="right"/>
              <w:rPr>
                <w:sz w:val="18"/>
                <w:szCs w:val="18"/>
              </w:rPr>
            </w:pPr>
            <w:r>
              <w:rPr>
                <w:rFonts w:hint="eastAsia" w:ascii="宋体" w:hAnsi="宋体"/>
                <w:color w:val="000000"/>
                <w:sz w:val="18"/>
                <w:szCs w:val="18"/>
              </w:rPr>
              <w:t>27.76</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27.76</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机关事业单位基本养老保险缴费支出</w:t>
            </w:r>
          </w:p>
        </w:tc>
        <w:tc>
          <w:tcPr>
            <w:tcW w:w="1306" w:type="dxa"/>
            <w:shd w:val="clear" w:color="auto" w:fill="auto"/>
            <w:vAlign w:val="center"/>
          </w:tcPr>
          <w:p>
            <w:pPr>
              <w:jc w:val="right"/>
              <w:rPr>
                <w:sz w:val="18"/>
                <w:szCs w:val="18"/>
              </w:rPr>
            </w:pPr>
            <w:r>
              <w:rPr>
                <w:rFonts w:hint="eastAsia" w:ascii="宋体" w:hAnsi="宋体"/>
                <w:color w:val="000000"/>
                <w:sz w:val="18"/>
                <w:szCs w:val="18"/>
              </w:rPr>
              <w:t>94.62</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94.62</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208</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05</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06</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机关事业单位职业年金缴费支出</w:t>
            </w:r>
          </w:p>
        </w:tc>
        <w:tc>
          <w:tcPr>
            <w:tcW w:w="1306" w:type="dxa"/>
            <w:shd w:val="clear" w:color="auto" w:fill="auto"/>
            <w:vAlign w:val="center"/>
          </w:tcPr>
          <w:p>
            <w:pPr>
              <w:jc w:val="right"/>
              <w:rPr>
                <w:sz w:val="18"/>
                <w:szCs w:val="18"/>
              </w:rPr>
            </w:pPr>
            <w:r>
              <w:rPr>
                <w:rFonts w:hint="eastAsia" w:ascii="宋体" w:hAnsi="宋体"/>
                <w:color w:val="000000"/>
                <w:sz w:val="18"/>
                <w:szCs w:val="18"/>
              </w:rPr>
              <w:t>94.31</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94.31</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卫生健康支出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132.33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132.33</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行政事业单位医疗</w:t>
            </w:r>
          </w:p>
        </w:tc>
        <w:tc>
          <w:tcPr>
            <w:tcW w:w="1306" w:type="dxa"/>
            <w:shd w:val="clear" w:color="auto" w:fill="auto"/>
            <w:vAlign w:val="center"/>
          </w:tcPr>
          <w:p>
            <w:pPr>
              <w:jc w:val="right"/>
              <w:rPr>
                <w:b/>
                <w:sz w:val="18"/>
                <w:szCs w:val="18"/>
              </w:rPr>
            </w:pPr>
            <w:r>
              <w:rPr>
                <w:rFonts w:hint="eastAsia" w:ascii="宋体" w:hAnsi="宋体"/>
                <w:b/>
                <w:color w:val="000000"/>
                <w:sz w:val="18"/>
                <w:szCs w:val="18"/>
              </w:rPr>
              <w:t>132.33</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132.33</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行政单位医疗</w:t>
            </w:r>
          </w:p>
        </w:tc>
        <w:tc>
          <w:tcPr>
            <w:tcW w:w="1306" w:type="dxa"/>
            <w:shd w:val="clear" w:color="auto" w:fill="auto"/>
            <w:vAlign w:val="center"/>
          </w:tcPr>
          <w:p>
            <w:pPr>
              <w:jc w:val="right"/>
              <w:rPr>
                <w:sz w:val="18"/>
                <w:szCs w:val="18"/>
              </w:rPr>
            </w:pPr>
            <w:r>
              <w:rPr>
                <w:rFonts w:hint="eastAsia" w:ascii="宋体" w:hAnsi="宋体"/>
                <w:color w:val="000000"/>
                <w:sz w:val="18"/>
                <w:szCs w:val="18"/>
              </w:rPr>
              <w:t>38.14</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38.14</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事业单位医疗</w:t>
            </w:r>
          </w:p>
        </w:tc>
        <w:tc>
          <w:tcPr>
            <w:tcW w:w="1306" w:type="dxa"/>
            <w:shd w:val="clear" w:color="auto" w:fill="auto"/>
            <w:vAlign w:val="center"/>
          </w:tcPr>
          <w:p>
            <w:pPr>
              <w:jc w:val="right"/>
              <w:rPr>
                <w:sz w:val="18"/>
                <w:szCs w:val="18"/>
              </w:rPr>
            </w:pPr>
            <w:r>
              <w:rPr>
                <w:rFonts w:hint="eastAsia" w:ascii="宋体" w:hAnsi="宋体"/>
                <w:color w:val="000000"/>
                <w:sz w:val="18"/>
                <w:szCs w:val="18"/>
              </w:rPr>
              <w:t>19.48</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19.48</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03</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公务员医疗补助</w:t>
            </w:r>
          </w:p>
        </w:tc>
        <w:tc>
          <w:tcPr>
            <w:tcW w:w="1306" w:type="dxa"/>
            <w:shd w:val="clear" w:color="auto" w:fill="auto"/>
            <w:vAlign w:val="center"/>
          </w:tcPr>
          <w:p>
            <w:pPr>
              <w:jc w:val="right"/>
              <w:rPr>
                <w:sz w:val="18"/>
                <w:szCs w:val="18"/>
              </w:rPr>
            </w:pPr>
            <w:r>
              <w:rPr>
                <w:rFonts w:hint="eastAsia" w:ascii="宋体" w:hAnsi="宋体"/>
                <w:color w:val="000000"/>
                <w:sz w:val="18"/>
                <w:szCs w:val="18"/>
              </w:rPr>
              <w:t>24.16</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24.16</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210</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11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99</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其他行政事业单位医疗支出</w:t>
            </w:r>
          </w:p>
        </w:tc>
        <w:tc>
          <w:tcPr>
            <w:tcW w:w="1306" w:type="dxa"/>
            <w:shd w:val="clear" w:color="auto" w:fill="auto"/>
            <w:vAlign w:val="center"/>
          </w:tcPr>
          <w:p>
            <w:pPr>
              <w:jc w:val="right"/>
              <w:rPr>
                <w:sz w:val="18"/>
                <w:szCs w:val="18"/>
              </w:rPr>
            </w:pPr>
            <w:r>
              <w:rPr>
                <w:rFonts w:hint="eastAsia" w:ascii="宋体" w:hAnsi="宋体"/>
                <w:color w:val="000000"/>
                <w:sz w:val="18"/>
                <w:szCs w:val="18"/>
              </w:rPr>
              <w:t>50.55</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50.55</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住房保障支出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155.49</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155.49</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left"/>
              <w:rPr>
                <w:rFonts w:hint="default" w:ascii="宋体" w:hAnsi="宋体"/>
                <w:b/>
                <w:sz w:val="18"/>
                <w:szCs w:val="18"/>
              </w:rPr>
            </w:pPr>
            <w:r>
              <w:rPr>
                <w:rFonts w:hint="eastAsia" w:ascii="宋体" w:hAnsi="宋体"/>
                <w:b/>
                <w:color w:val="000000"/>
                <w:sz w:val="18"/>
                <w:szCs w:val="18"/>
              </w:rPr>
              <w:t xml:space="preserve">  住房改革支出</w:t>
            </w:r>
          </w:p>
        </w:tc>
        <w:tc>
          <w:tcPr>
            <w:tcW w:w="1306" w:type="dxa"/>
            <w:shd w:val="clear" w:color="auto" w:fill="auto"/>
            <w:vAlign w:val="center"/>
          </w:tcPr>
          <w:p>
            <w:pPr>
              <w:jc w:val="right"/>
              <w:rPr>
                <w:b/>
                <w:sz w:val="18"/>
                <w:szCs w:val="18"/>
              </w:rPr>
            </w:pPr>
            <w:r>
              <w:rPr>
                <w:rFonts w:hint="eastAsia" w:ascii="宋体" w:hAnsi="宋体"/>
                <w:b/>
                <w:color w:val="000000"/>
                <w:sz w:val="18"/>
                <w:szCs w:val="18"/>
              </w:rPr>
              <w:t>155.49</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155.49</w:t>
            </w:r>
          </w:p>
        </w:tc>
        <w:tc>
          <w:tcPr>
            <w:tcW w:w="1405"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221</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02</w:t>
            </w:r>
          </w:p>
        </w:tc>
        <w:tc>
          <w:tcPr>
            <w:tcW w:w="567" w:type="dxa"/>
            <w:shd w:val="clear" w:color="auto" w:fill="auto"/>
            <w:vAlign w:val="center"/>
          </w:tcPr>
          <w:p>
            <w:pPr>
              <w:jc w:val="center"/>
              <w:rPr>
                <w:rFonts w:hint="default" w:ascii="宋体" w:hAnsi="宋体"/>
                <w:sz w:val="18"/>
                <w:szCs w:val="18"/>
              </w:rPr>
            </w:pPr>
            <w:r>
              <w:rPr>
                <w:rFonts w:hint="eastAsia" w:ascii="宋体" w:hAnsi="宋体"/>
                <w:color w:val="000000"/>
                <w:sz w:val="18"/>
                <w:szCs w:val="18"/>
              </w:rPr>
              <w:t>01</w:t>
            </w:r>
          </w:p>
        </w:tc>
        <w:tc>
          <w:tcPr>
            <w:tcW w:w="4169" w:type="dxa"/>
            <w:shd w:val="clear" w:color="auto" w:fill="auto"/>
            <w:vAlign w:val="center"/>
          </w:tcPr>
          <w:p>
            <w:pPr>
              <w:jc w:val="left"/>
              <w:rPr>
                <w:rFonts w:hint="default" w:ascii="宋体" w:hAnsi="宋体"/>
                <w:sz w:val="18"/>
                <w:szCs w:val="18"/>
              </w:rPr>
            </w:pPr>
            <w:r>
              <w:rPr>
                <w:rFonts w:hint="eastAsia" w:ascii="宋体" w:hAnsi="宋体"/>
                <w:color w:val="000000"/>
                <w:sz w:val="18"/>
                <w:szCs w:val="18"/>
              </w:rPr>
              <w:t xml:space="preserve">    住房公积金</w:t>
            </w:r>
          </w:p>
        </w:tc>
        <w:tc>
          <w:tcPr>
            <w:tcW w:w="1306" w:type="dxa"/>
            <w:shd w:val="clear" w:color="auto" w:fill="auto"/>
            <w:vAlign w:val="center"/>
          </w:tcPr>
          <w:p>
            <w:pPr>
              <w:jc w:val="right"/>
              <w:rPr>
                <w:sz w:val="18"/>
                <w:szCs w:val="18"/>
              </w:rPr>
            </w:pPr>
            <w:r>
              <w:rPr>
                <w:rFonts w:hint="eastAsia" w:ascii="宋体" w:hAnsi="宋体"/>
                <w:color w:val="000000"/>
                <w:sz w:val="18"/>
                <w:szCs w:val="18"/>
              </w:rPr>
              <w:t>155.49</w:t>
            </w:r>
          </w:p>
        </w:tc>
        <w:tc>
          <w:tcPr>
            <w:tcW w:w="1306" w:type="dxa"/>
            <w:gridSpan w:val="2"/>
            <w:shd w:val="clear" w:color="auto" w:fill="auto"/>
            <w:vAlign w:val="center"/>
          </w:tcPr>
          <w:p>
            <w:pPr>
              <w:jc w:val="right"/>
              <w:rPr>
                <w:sz w:val="18"/>
                <w:szCs w:val="18"/>
              </w:rPr>
            </w:pPr>
            <w:r>
              <w:rPr>
                <w:rFonts w:hint="eastAsia" w:ascii="宋体" w:hAnsi="宋体"/>
                <w:color w:val="000000"/>
                <w:sz w:val="18"/>
                <w:szCs w:val="18"/>
              </w:rPr>
              <w:t>155.49</w:t>
            </w:r>
          </w:p>
        </w:tc>
        <w:tc>
          <w:tcPr>
            <w:tcW w:w="1405"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169" w:type="dxa"/>
            <w:shd w:val="clear" w:color="auto" w:fill="auto"/>
            <w:vAlign w:val="center"/>
          </w:tcPr>
          <w:p>
            <w:pPr>
              <w:jc w:val="center"/>
              <w:rPr>
                <w:rFonts w:hint="default" w:ascii="宋体" w:hAnsi="宋体"/>
                <w:b/>
                <w:sz w:val="18"/>
                <w:szCs w:val="18"/>
              </w:rPr>
            </w:pPr>
            <w:r>
              <w:rPr>
                <w:rFonts w:hint="eastAsia" w:ascii="宋体" w:hAnsi="宋体"/>
                <w:b/>
                <w:color w:val="000000"/>
                <w:sz w:val="18"/>
                <w:szCs w:val="18"/>
              </w:rPr>
              <w:t>总计</w:t>
            </w:r>
          </w:p>
        </w:tc>
        <w:tc>
          <w:tcPr>
            <w:tcW w:w="1306" w:type="dxa"/>
            <w:shd w:val="clear" w:color="auto" w:fill="auto"/>
            <w:vAlign w:val="center"/>
          </w:tcPr>
          <w:p>
            <w:pPr>
              <w:jc w:val="right"/>
              <w:rPr>
                <w:b/>
                <w:sz w:val="18"/>
                <w:szCs w:val="18"/>
              </w:rPr>
            </w:pPr>
            <w:r>
              <w:rPr>
                <w:rFonts w:hint="eastAsia" w:ascii="宋体" w:hAnsi="宋体"/>
                <w:b/>
                <w:color w:val="000000"/>
                <w:sz w:val="18"/>
                <w:szCs w:val="18"/>
              </w:rPr>
              <w:t>1,842.37</w:t>
            </w:r>
          </w:p>
        </w:tc>
        <w:tc>
          <w:tcPr>
            <w:tcW w:w="1306" w:type="dxa"/>
            <w:gridSpan w:val="2"/>
            <w:shd w:val="clear" w:color="auto" w:fill="auto"/>
            <w:vAlign w:val="center"/>
          </w:tcPr>
          <w:p>
            <w:pPr>
              <w:jc w:val="right"/>
              <w:rPr>
                <w:b/>
                <w:sz w:val="18"/>
                <w:szCs w:val="18"/>
              </w:rPr>
            </w:pPr>
            <w:r>
              <w:rPr>
                <w:rFonts w:hint="eastAsia" w:ascii="宋体" w:hAnsi="宋体"/>
                <w:b/>
                <w:color w:val="000000"/>
                <w:sz w:val="18"/>
                <w:szCs w:val="18"/>
              </w:rPr>
              <w:t>1,565.08</w:t>
            </w:r>
          </w:p>
        </w:tc>
        <w:tc>
          <w:tcPr>
            <w:tcW w:w="1405" w:type="dxa"/>
            <w:shd w:val="clear" w:color="auto" w:fill="auto"/>
            <w:vAlign w:val="center"/>
          </w:tcPr>
          <w:p>
            <w:pPr>
              <w:jc w:val="right"/>
              <w:rPr>
                <w:b/>
                <w:sz w:val="18"/>
                <w:szCs w:val="18"/>
              </w:rPr>
            </w:pPr>
            <w:r>
              <w:rPr>
                <w:rFonts w:hint="eastAsia" w:ascii="宋体" w:hAnsi="宋体"/>
                <w:b/>
                <w:color w:val="000000"/>
                <w:sz w:val="18"/>
                <w:szCs w:val="18"/>
              </w:rPr>
              <w:t>277.29</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pPr>
        <w:jc w:val="left"/>
        <w:rPr>
          <w:rFonts w:hint="default" w:ascii="宋体" w:hAnsi="宋体"/>
          <w:color w:val="000000"/>
          <w:sz w:val="18"/>
          <w:szCs w:val="18"/>
        </w:rPr>
      </w:pPr>
      <w:r>
        <w:rPr>
          <w:rFonts w:hint="eastAsia" w:ascii="宋体" w:hAnsi="宋体"/>
          <w:color w:val="000000"/>
          <w:sz w:val="18"/>
          <w:szCs w:val="18"/>
        </w:rPr>
        <w:t>表4</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8"/>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1982"/>
        <w:gridCol w:w="1117"/>
        <w:gridCol w:w="2434"/>
        <w:gridCol w:w="1117"/>
        <w:gridCol w:w="52"/>
        <w:gridCol w:w="1011"/>
        <w:gridCol w:w="108"/>
        <w:gridCol w:w="955"/>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pPr>
              <w:jc w:val="left"/>
              <w:rPr>
                <w:color w:val="000000"/>
                <w:sz w:val="18"/>
                <w:szCs w:val="18"/>
              </w:rPr>
            </w:pPr>
            <w:r>
              <w:rPr>
                <w:rFonts w:hint="eastAsia"/>
                <w:color w:val="000000"/>
                <w:sz w:val="18"/>
                <w:szCs w:val="18"/>
              </w:rPr>
              <w:t>编制部门：呼图壁县财政局</w:t>
            </w:r>
          </w:p>
        </w:tc>
        <w:tc>
          <w:tcPr>
            <w:tcW w:w="1119" w:type="dxa"/>
            <w:gridSpan w:val="2"/>
            <w:tcBorders>
              <w:top w:val="nil"/>
              <w:left w:val="nil"/>
              <w:right w:val="nil"/>
            </w:tcBorders>
            <w:shd w:val="clear" w:color="auto" w:fill="auto"/>
          </w:tcPr>
          <w:p>
            <w:pPr>
              <w:jc w:val="right"/>
              <w:rPr>
                <w:color w:val="000000"/>
                <w:sz w:val="18"/>
                <w:szCs w:val="18"/>
              </w:rPr>
            </w:pPr>
          </w:p>
        </w:tc>
        <w:tc>
          <w:tcPr>
            <w:tcW w:w="2006" w:type="dxa"/>
            <w:gridSpan w:val="2"/>
            <w:tcBorders>
              <w:top w:val="nil"/>
              <w:left w:val="nil"/>
              <w:right w:val="nil"/>
            </w:tcBorders>
            <w:shd w:val="clear" w:color="auto" w:fill="auto"/>
            <w:vAlign w:val="center"/>
          </w:tcPr>
          <w:p>
            <w:pPr>
              <w:jc w:val="right"/>
              <w:rPr>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pPr>
              <w:jc w:val="center"/>
              <w:rPr>
                <w:b/>
                <w:color w:val="000000"/>
                <w:sz w:val="18"/>
                <w:szCs w:val="18"/>
              </w:rPr>
            </w:pPr>
            <w:r>
              <w:rPr>
                <w:rFonts w:hint="eastAsia"/>
                <w:b/>
                <w:color w:val="000000"/>
                <w:sz w:val="18"/>
                <w:szCs w:val="18"/>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pPr>
              <w:jc w:val="center"/>
              <w:rPr>
                <w:color w:val="000000"/>
                <w:sz w:val="18"/>
                <w:szCs w:val="18"/>
              </w:rPr>
            </w:pPr>
            <w:r>
              <w:rPr>
                <w:rFonts w:hint="eastAsia"/>
                <w:b/>
                <w:color w:val="000000"/>
                <w:sz w:val="18"/>
                <w:szCs w:val="18"/>
              </w:rPr>
              <w:t>项目</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2434" w:type="dxa"/>
            <w:shd w:val="clear" w:color="auto" w:fill="auto"/>
            <w:vAlign w:val="center"/>
          </w:tcPr>
          <w:p>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pPr>
              <w:jc w:val="center"/>
              <w:rPr>
                <w:color w:val="000000"/>
                <w:sz w:val="18"/>
                <w:szCs w:val="18"/>
              </w:rPr>
            </w:pPr>
            <w:r>
              <w:rPr>
                <w:rFonts w:hint="eastAsia"/>
                <w:b/>
                <w:color w:val="000000"/>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r>
              <w:rPr>
                <w:rFonts w:hint="eastAsia"/>
                <w:b/>
                <w:color w:val="000000"/>
                <w:sz w:val="18"/>
                <w:szCs w:val="18"/>
              </w:rPr>
              <w:t>一、财政拨款（补助）</w:t>
            </w:r>
          </w:p>
        </w:tc>
        <w:tc>
          <w:tcPr>
            <w:tcW w:w="1117" w:type="dxa"/>
            <w:shd w:val="clear" w:color="auto" w:fill="auto"/>
          </w:tcPr>
          <w:p>
            <w:pPr>
              <w:jc w:val="right"/>
              <w:rPr>
                <w:rFonts w:hint="default" w:ascii="宋体" w:hAnsi="宋体"/>
                <w:color w:val="000000"/>
                <w:sz w:val="18"/>
                <w:szCs w:val="18"/>
              </w:rPr>
            </w:pPr>
            <w:r>
              <w:rPr>
                <w:rFonts w:hint="eastAsia" w:ascii="宋体" w:hAnsi="宋体"/>
                <w:b/>
                <w:color w:val="000000"/>
                <w:sz w:val="18"/>
                <w:szCs w:val="18"/>
              </w:rPr>
              <w:t>1,133.82</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201 一般公共服务支出</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822.32</w:t>
            </w:r>
          </w:p>
        </w:tc>
        <w:tc>
          <w:tcPr>
            <w:tcW w:w="1063" w:type="dxa"/>
            <w:gridSpan w:val="2"/>
            <w:shd w:val="clear" w:color="auto" w:fill="auto"/>
          </w:tcPr>
          <w:p>
            <w:pPr>
              <w:jc w:val="right"/>
              <w:rPr>
                <w:rFonts w:hint="default" w:ascii="宋体" w:hAnsi="宋体"/>
                <w:color w:val="000000"/>
                <w:sz w:val="18"/>
                <w:szCs w:val="18"/>
              </w:rPr>
            </w:pPr>
            <w:r>
              <w:rPr>
                <w:rFonts w:hint="eastAsia" w:ascii="宋体" w:hAnsi="宋体"/>
                <w:color w:val="000000"/>
                <w:sz w:val="18"/>
                <w:szCs w:val="18"/>
              </w:rPr>
              <w:t>822.32</w:t>
            </w: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一般公共预算</w:t>
            </w:r>
          </w:p>
        </w:tc>
        <w:tc>
          <w:tcPr>
            <w:tcW w:w="1117" w:type="dxa"/>
            <w:shd w:val="clear" w:color="auto" w:fill="auto"/>
          </w:tcPr>
          <w:p>
            <w:pPr>
              <w:jc w:val="right"/>
              <w:rPr>
                <w:rFonts w:hint="default" w:ascii="宋体" w:hAnsi="宋体"/>
                <w:color w:val="000000"/>
                <w:sz w:val="18"/>
                <w:szCs w:val="18"/>
              </w:rPr>
            </w:pPr>
            <w:r>
              <w:rPr>
                <w:rFonts w:hint="eastAsia" w:ascii="宋体" w:hAnsi="宋体"/>
                <w:color w:val="000000"/>
                <w:sz w:val="18"/>
                <w:szCs w:val="18"/>
              </w:rPr>
              <w:t>1,133.82</w:t>
            </w: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202 外交支出</w:t>
            </w:r>
          </w:p>
        </w:tc>
        <w:tc>
          <w:tcPr>
            <w:tcW w:w="1117" w:type="dxa"/>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63" w:type="dxa"/>
            <w:gridSpan w:val="2"/>
            <w:shd w:val="clear" w:color="auto" w:fill="auto"/>
          </w:tcPr>
          <w:p>
            <w:pPr>
              <w:jc w:val="right"/>
              <w:rPr>
                <w:rFonts w:hint="default" w:ascii="宋体" w:hAnsi="宋体"/>
                <w:color w:val="000000"/>
                <w:sz w:val="18"/>
                <w:szCs w:val="18"/>
              </w:rPr>
            </w:pPr>
          </w:p>
        </w:tc>
        <w:tc>
          <w:tcPr>
            <w:tcW w:w="1051" w:type="dxa"/>
            <w:shd w:val="clear" w:color="auto" w:fill="auto"/>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政府性基金预算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203 国防支出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ind w:firstLine="360" w:firstLineChars="200"/>
              <w:rPr>
                <w:rFonts w:hint="default" w:ascii="宋体" w:hAnsi="宋体" w:cs="宋体"/>
                <w:color w:val="000000"/>
                <w:sz w:val="18"/>
                <w:szCs w:val="18"/>
              </w:rPr>
            </w:pPr>
            <w:r>
              <w:rPr>
                <w:rFonts w:hint="eastAsia"/>
                <w:color w:val="000000"/>
                <w:sz w:val="18"/>
                <w:szCs w:val="18"/>
              </w:rPr>
              <w:t>国有资本经营预算</w:t>
            </w:r>
          </w:p>
        </w:tc>
        <w:tc>
          <w:tcPr>
            <w:tcW w:w="1117" w:type="dxa"/>
            <w:shd w:val="clear" w:color="auto" w:fill="auto"/>
          </w:tcPr>
          <w:p>
            <w:pPr>
              <w:jc w:val="right"/>
              <w:rPr>
                <w:rFonts w:hint="default" w:ascii="宋体" w:hAnsi="宋体"/>
                <w:color w:val="000000"/>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204 公共安全支出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205 教育支出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206 科学技术支出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207 文化旅游体育与传媒支出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208 社会保障和就业支出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160.69</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160.69</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pPr>
              <w:rPr>
                <w:rFonts w:hint="default" w:ascii="宋体" w:hAnsi="宋体" w:cs="宋体"/>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209 社会保险基金支出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210 卫生健康支出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75.33</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75.33</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211 节能环保支出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212 城乡社区支出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213 农林水支出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214 交通运输支出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215 资源勘探工业信息等支出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216 商业服务业等支出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217 金融支出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219 援助其他地区支出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220 自然资源海洋气象等支出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221 住房保障支出</w:t>
            </w:r>
          </w:p>
        </w:tc>
        <w:tc>
          <w:tcPr>
            <w:tcW w:w="1117" w:type="dxa"/>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75.49</w:t>
            </w:r>
          </w:p>
        </w:tc>
        <w:tc>
          <w:tcPr>
            <w:tcW w:w="1063" w:type="dxa"/>
            <w:gridSpan w:val="2"/>
            <w:shd w:val="clear" w:color="auto" w:fill="auto"/>
            <w:vAlign w:val="center"/>
          </w:tcPr>
          <w:p>
            <w:pPr>
              <w:jc w:val="right"/>
              <w:rPr>
                <w:rFonts w:hint="default" w:ascii="宋体" w:hAnsi="宋体"/>
                <w:color w:val="000000"/>
                <w:sz w:val="18"/>
                <w:szCs w:val="18"/>
              </w:rPr>
            </w:pPr>
            <w:r>
              <w:rPr>
                <w:rFonts w:hint="eastAsia" w:ascii="宋体" w:hAnsi="宋体"/>
                <w:color w:val="000000"/>
                <w:sz w:val="18"/>
                <w:szCs w:val="18"/>
              </w:rPr>
              <w:t>75.49</w:t>
            </w: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222 粮油物资储备支出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223 国有资本经营预算支出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224 灾害防治及应急管理支出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227 预备费</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229 其他支出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230 转移性支出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231 债务还本支出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232 债务付息支出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233 债务发行费用支出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rPr>
                <w:color w:val="000000"/>
                <w:sz w:val="18"/>
                <w:szCs w:val="18"/>
              </w:rPr>
            </w:pPr>
          </w:p>
        </w:tc>
        <w:tc>
          <w:tcPr>
            <w:tcW w:w="1117" w:type="dxa"/>
            <w:shd w:val="clear" w:color="auto" w:fill="auto"/>
          </w:tcPr>
          <w:p>
            <w:pPr>
              <w:jc w:val="right"/>
              <w:rPr>
                <w:sz w:val="18"/>
                <w:szCs w:val="18"/>
              </w:rPr>
            </w:pPr>
          </w:p>
        </w:tc>
        <w:tc>
          <w:tcPr>
            <w:tcW w:w="2434" w:type="dxa"/>
            <w:shd w:val="clear" w:color="auto" w:fill="auto"/>
            <w:vAlign w:val="center"/>
          </w:tcPr>
          <w:p>
            <w:pPr>
              <w:rPr>
                <w:rFonts w:hint="default" w:ascii="宋体" w:hAnsi="宋体" w:cs="宋体"/>
                <w:color w:val="000000"/>
                <w:sz w:val="18"/>
                <w:szCs w:val="18"/>
              </w:rPr>
            </w:pPr>
            <w:r>
              <w:rPr>
                <w:rFonts w:hint="eastAsia" w:ascii="宋体" w:hAnsi="宋体"/>
                <w:color w:val="000000"/>
                <w:sz w:val="18"/>
                <w:szCs w:val="18"/>
              </w:rPr>
              <w:t>234 抗疫特别国债安排的支出</w:t>
            </w:r>
          </w:p>
        </w:tc>
        <w:tc>
          <w:tcPr>
            <w:tcW w:w="1117" w:type="dxa"/>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63" w:type="dxa"/>
            <w:gridSpan w:val="2"/>
            <w:shd w:val="clear" w:color="auto" w:fill="auto"/>
            <w:vAlign w:val="center"/>
          </w:tcPr>
          <w:p>
            <w:pPr>
              <w:jc w:val="right"/>
              <w:rPr>
                <w:rFonts w:hint="default" w:ascii="宋体" w:hAnsi="宋体"/>
                <w:color w:val="000000"/>
                <w:sz w:val="18"/>
                <w:szCs w:val="18"/>
              </w:rPr>
            </w:pPr>
          </w:p>
        </w:tc>
        <w:tc>
          <w:tcPr>
            <w:tcW w:w="1051"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tcPr>
          <w:p>
            <w:pPr>
              <w:jc w:val="center"/>
              <w:rPr>
                <w:color w:val="000000"/>
                <w:sz w:val="18"/>
                <w:szCs w:val="18"/>
              </w:rPr>
            </w:pPr>
            <w:r>
              <w:rPr>
                <w:rFonts w:hint="eastAsia"/>
                <w:b/>
                <w:color w:val="000000"/>
                <w:sz w:val="18"/>
                <w:szCs w:val="18"/>
              </w:rPr>
              <w:t>收入总计</w:t>
            </w:r>
          </w:p>
        </w:tc>
        <w:tc>
          <w:tcPr>
            <w:tcW w:w="1117" w:type="dxa"/>
            <w:shd w:val="clear" w:color="auto" w:fill="auto"/>
          </w:tcPr>
          <w:p>
            <w:pPr>
              <w:jc w:val="right"/>
              <w:rPr>
                <w:sz w:val="18"/>
                <w:szCs w:val="18"/>
              </w:rPr>
            </w:pPr>
            <w:r>
              <w:rPr>
                <w:rFonts w:hint="eastAsia" w:ascii="宋体" w:hAnsi="宋体"/>
                <w:b/>
                <w:color w:val="000000"/>
                <w:sz w:val="18"/>
                <w:szCs w:val="18"/>
              </w:rPr>
              <w:t>1,133.82</w:t>
            </w:r>
          </w:p>
        </w:tc>
        <w:tc>
          <w:tcPr>
            <w:tcW w:w="2434" w:type="dxa"/>
            <w:shd w:val="clear" w:color="auto" w:fill="auto"/>
          </w:tcPr>
          <w:p>
            <w:pPr>
              <w:jc w:val="center"/>
              <w:rPr>
                <w:rFonts w:hint="default" w:ascii="宋体" w:hAnsi="宋体" w:cs="宋体"/>
                <w:color w:val="000000"/>
                <w:sz w:val="18"/>
                <w:szCs w:val="18"/>
              </w:rPr>
            </w:pPr>
            <w:r>
              <w:rPr>
                <w:rFonts w:hint="eastAsia"/>
                <w:b/>
                <w:color w:val="000000"/>
                <w:sz w:val="18"/>
                <w:szCs w:val="18"/>
              </w:rPr>
              <w:t>支出总计</w:t>
            </w:r>
          </w:p>
        </w:tc>
        <w:tc>
          <w:tcPr>
            <w:tcW w:w="1117" w:type="dxa"/>
            <w:shd w:val="clear" w:color="auto" w:fill="auto"/>
          </w:tcPr>
          <w:p>
            <w:pPr>
              <w:jc w:val="right"/>
              <w:rPr>
                <w:sz w:val="18"/>
                <w:szCs w:val="18"/>
              </w:rPr>
            </w:pPr>
            <w:r>
              <w:rPr>
                <w:rFonts w:hint="eastAsia" w:ascii="宋体" w:hAnsi="宋体"/>
                <w:b/>
                <w:color w:val="000000"/>
                <w:sz w:val="18"/>
                <w:szCs w:val="18"/>
              </w:rPr>
              <w:t>1,133.82</w:t>
            </w:r>
          </w:p>
        </w:tc>
        <w:tc>
          <w:tcPr>
            <w:tcW w:w="1063" w:type="dxa"/>
            <w:gridSpan w:val="2"/>
            <w:shd w:val="clear" w:color="auto" w:fill="auto"/>
          </w:tcPr>
          <w:p>
            <w:pPr>
              <w:jc w:val="right"/>
              <w:rPr>
                <w:sz w:val="18"/>
                <w:szCs w:val="18"/>
              </w:rPr>
            </w:pPr>
            <w:r>
              <w:rPr>
                <w:rFonts w:hint="eastAsia" w:ascii="宋体" w:hAnsi="宋体"/>
                <w:b/>
                <w:color w:val="000000"/>
                <w:sz w:val="18"/>
                <w:szCs w:val="18"/>
              </w:rPr>
              <w:t>1,133.82</w:t>
            </w:r>
          </w:p>
        </w:tc>
        <w:tc>
          <w:tcPr>
            <w:tcW w:w="1063" w:type="dxa"/>
            <w:gridSpan w:val="2"/>
            <w:shd w:val="clear" w:color="auto" w:fill="auto"/>
          </w:tcPr>
          <w:p>
            <w:pPr>
              <w:jc w:val="right"/>
              <w:rPr>
                <w:sz w:val="18"/>
                <w:szCs w:val="18"/>
              </w:rPr>
            </w:pPr>
          </w:p>
        </w:tc>
        <w:tc>
          <w:tcPr>
            <w:tcW w:w="1051" w:type="dxa"/>
            <w:shd w:val="clear" w:color="auto" w:fill="auto"/>
          </w:tcPr>
          <w:p>
            <w:pPr>
              <w:jc w:val="right"/>
              <w:rPr>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表5</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编制部门：呼图壁县财政局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4026"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基本支出</w:t>
            </w:r>
          </w:p>
        </w:tc>
        <w:tc>
          <w:tcPr>
            <w:tcW w:w="142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4026"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一般公共服务支出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822.32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677.08</w:t>
            </w:r>
          </w:p>
        </w:tc>
        <w:tc>
          <w:tcPr>
            <w:tcW w:w="1427" w:type="dxa"/>
            <w:shd w:val="clear" w:color="auto" w:fill="auto"/>
            <w:vAlign w:val="center"/>
          </w:tcPr>
          <w:p>
            <w:pPr>
              <w:jc w:val="right"/>
              <w:rPr>
                <w:b/>
                <w:sz w:val="18"/>
                <w:szCs w:val="18"/>
              </w:rPr>
            </w:pPr>
            <w:r>
              <w:rPr>
                <w:rFonts w:hint="eastAsia" w:ascii="宋体" w:hAnsi="宋体"/>
                <w:b/>
                <w:color w:val="000000"/>
                <w:sz w:val="18"/>
                <w:szCs w:val="18"/>
              </w:rPr>
              <w:t>145.24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201</w:t>
            </w:r>
          </w:p>
        </w:tc>
        <w:tc>
          <w:tcPr>
            <w:tcW w:w="567" w:type="dxa"/>
            <w:shd w:val="clear" w:color="auto" w:fill="auto"/>
            <w:vAlign w:val="center"/>
          </w:tcPr>
          <w:p>
            <w:pPr>
              <w:jc w:val="center"/>
              <w:rPr>
                <w:b/>
                <w:sz w:val="18"/>
                <w:szCs w:val="18"/>
              </w:rPr>
            </w:pPr>
            <w:r>
              <w:rPr>
                <w:rFonts w:hint="eastAsia" w:ascii="宋体" w:hAnsi="宋体"/>
                <w:b/>
                <w:color w:val="000000"/>
                <w:sz w:val="18"/>
                <w:szCs w:val="18"/>
              </w:rPr>
              <w:t>06</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财政事务</w:t>
            </w:r>
          </w:p>
        </w:tc>
        <w:tc>
          <w:tcPr>
            <w:tcW w:w="1367" w:type="dxa"/>
            <w:shd w:val="clear" w:color="auto" w:fill="auto"/>
            <w:vAlign w:val="center"/>
          </w:tcPr>
          <w:p>
            <w:pPr>
              <w:jc w:val="right"/>
              <w:rPr>
                <w:b/>
                <w:sz w:val="18"/>
                <w:szCs w:val="18"/>
              </w:rPr>
            </w:pPr>
            <w:r>
              <w:rPr>
                <w:rFonts w:hint="eastAsia" w:ascii="宋体" w:hAnsi="宋体"/>
                <w:b/>
                <w:color w:val="000000"/>
                <w:sz w:val="18"/>
                <w:szCs w:val="18"/>
              </w:rPr>
              <w:t>822.32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677.08</w:t>
            </w:r>
          </w:p>
        </w:tc>
        <w:tc>
          <w:tcPr>
            <w:tcW w:w="1427" w:type="dxa"/>
            <w:shd w:val="clear" w:color="auto" w:fill="auto"/>
            <w:vAlign w:val="center"/>
          </w:tcPr>
          <w:p>
            <w:pPr>
              <w:jc w:val="right"/>
              <w:rPr>
                <w:b/>
                <w:sz w:val="18"/>
                <w:szCs w:val="18"/>
              </w:rPr>
            </w:pPr>
            <w:r>
              <w:rPr>
                <w:rFonts w:hint="eastAsia" w:ascii="宋体" w:hAnsi="宋体"/>
                <w:b/>
                <w:color w:val="000000"/>
                <w:sz w:val="18"/>
                <w:szCs w:val="18"/>
              </w:rPr>
              <w:t>145.24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行政运行</w:t>
            </w:r>
          </w:p>
        </w:tc>
        <w:tc>
          <w:tcPr>
            <w:tcW w:w="1367" w:type="dxa"/>
            <w:shd w:val="clear" w:color="auto" w:fill="auto"/>
            <w:vAlign w:val="center"/>
          </w:tcPr>
          <w:p>
            <w:pPr>
              <w:jc w:val="right"/>
              <w:rPr>
                <w:sz w:val="18"/>
                <w:szCs w:val="18"/>
              </w:rPr>
            </w:pPr>
            <w:r>
              <w:rPr>
                <w:rFonts w:hint="eastAsia" w:ascii="宋体" w:hAnsi="宋体"/>
                <w:color w:val="000000"/>
                <w:sz w:val="18"/>
                <w:szCs w:val="18"/>
              </w:rPr>
              <w:t>466.40</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466.40</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一般行政管理事务</w:t>
            </w:r>
          </w:p>
        </w:tc>
        <w:tc>
          <w:tcPr>
            <w:tcW w:w="1367" w:type="dxa"/>
            <w:shd w:val="clear" w:color="auto" w:fill="auto"/>
            <w:vAlign w:val="center"/>
          </w:tcPr>
          <w:p>
            <w:pPr>
              <w:jc w:val="right"/>
              <w:rPr>
                <w:sz w:val="18"/>
                <w:szCs w:val="18"/>
              </w:rPr>
            </w:pPr>
            <w:r>
              <w:rPr>
                <w:rFonts w:hint="eastAsia" w:ascii="宋体" w:hAnsi="宋体"/>
                <w:color w:val="000000"/>
                <w:sz w:val="18"/>
                <w:szCs w:val="18"/>
              </w:rPr>
              <w:t>145.24</w:t>
            </w:r>
          </w:p>
        </w:tc>
        <w:tc>
          <w:tcPr>
            <w:tcW w:w="1366" w:type="dxa"/>
            <w:gridSpan w:val="2"/>
            <w:shd w:val="clear" w:color="auto" w:fill="auto"/>
            <w:vAlign w:val="center"/>
          </w:tcPr>
          <w:p>
            <w:pPr>
              <w:jc w:val="right"/>
              <w:rPr>
                <w:sz w:val="18"/>
                <w:szCs w:val="18"/>
              </w:rPr>
            </w:pPr>
          </w:p>
        </w:tc>
        <w:tc>
          <w:tcPr>
            <w:tcW w:w="1427" w:type="dxa"/>
            <w:shd w:val="clear" w:color="auto" w:fill="auto"/>
            <w:vAlign w:val="center"/>
          </w:tcPr>
          <w:p>
            <w:pPr>
              <w:jc w:val="right"/>
              <w:rPr>
                <w:sz w:val="18"/>
                <w:szCs w:val="18"/>
              </w:rPr>
            </w:pPr>
            <w:r>
              <w:rPr>
                <w:rFonts w:hint="eastAsia" w:ascii="宋体" w:hAnsi="宋体"/>
                <w:color w:val="000000"/>
                <w:sz w:val="18"/>
                <w:szCs w:val="18"/>
              </w:rPr>
              <w:t>145.24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201</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567" w:type="dxa"/>
            <w:shd w:val="clear" w:color="auto" w:fill="auto"/>
            <w:vAlign w:val="center"/>
          </w:tcPr>
          <w:p>
            <w:pPr>
              <w:jc w:val="center"/>
              <w:rPr>
                <w:sz w:val="18"/>
                <w:szCs w:val="18"/>
              </w:rPr>
            </w:pPr>
            <w:r>
              <w:rPr>
                <w:rFonts w:hint="eastAsia" w:ascii="宋体" w:hAnsi="宋体"/>
                <w:color w:val="000000"/>
                <w:sz w:val="18"/>
                <w:szCs w:val="18"/>
              </w:rPr>
              <w:t>50</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事业运行</w:t>
            </w:r>
          </w:p>
        </w:tc>
        <w:tc>
          <w:tcPr>
            <w:tcW w:w="1367" w:type="dxa"/>
            <w:shd w:val="clear" w:color="auto" w:fill="auto"/>
            <w:vAlign w:val="center"/>
          </w:tcPr>
          <w:p>
            <w:pPr>
              <w:jc w:val="right"/>
              <w:rPr>
                <w:sz w:val="18"/>
                <w:szCs w:val="18"/>
              </w:rPr>
            </w:pPr>
            <w:r>
              <w:rPr>
                <w:rFonts w:hint="eastAsia" w:ascii="宋体" w:hAnsi="宋体"/>
                <w:color w:val="000000"/>
                <w:sz w:val="18"/>
                <w:szCs w:val="18"/>
              </w:rPr>
              <w:t>210.68</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210.68</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社会保障和就业支出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160.69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160.69</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208</w:t>
            </w:r>
          </w:p>
        </w:tc>
        <w:tc>
          <w:tcPr>
            <w:tcW w:w="567" w:type="dxa"/>
            <w:shd w:val="clear" w:color="auto" w:fill="auto"/>
            <w:vAlign w:val="center"/>
          </w:tcPr>
          <w:p>
            <w:pPr>
              <w:jc w:val="center"/>
              <w:rPr>
                <w:b/>
                <w:sz w:val="18"/>
                <w:szCs w:val="18"/>
              </w:rPr>
            </w:pPr>
            <w:r>
              <w:rPr>
                <w:rFonts w:hint="eastAsia" w:ascii="宋体" w:hAnsi="宋体"/>
                <w:b/>
                <w:color w:val="000000"/>
                <w:sz w:val="18"/>
                <w:szCs w:val="18"/>
              </w:rPr>
              <w:t>05</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行政事业单位养老支出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160.69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160.69</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行政单位离退休</w:t>
            </w:r>
          </w:p>
        </w:tc>
        <w:tc>
          <w:tcPr>
            <w:tcW w:w="1367" w:type="dxa"/>
            <w:shd w:val="clear" w:color="auto" w:fill="auto"/>
            <w:vAlign w:val="center"/>
          </w:tcPr>
          <w:p>
            <w:pPr>
              <w:jc w:val="right"/>
              <w:rPr>
                <w:sz w:val="18"/>
                <w:szCs w:val="18"/>
              </w:rPr>
            </w:pPr>
            <w:r>
              <w:rPr>
                <w:rFonts w:hint="eastAsia" w:ascii="宋体" w:hAnsi="宋体"/>
                <w:color w:val="000000"/>
                <w:sz w:val="18"/>
                <w:szCs w:val="18"/>
              </w:rPr>
              <w:t>27.76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27.76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机关事业单位基本养老保险缴费支出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88.62</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88.62</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208</w:t>
            </w:r>
          </w:p>
        </w:tc>
        <w:tc>
          <w:tcPr>
            <w:tcW w:w="567" w:type="dxa"/>
            <w:shd w:val="clear" w:color="auto" w:fill="auto"/>
            <w:vAlign w:val="center"/>
          </w:tcPr>
          <w:p>
            <w:pPr>
              <w:jc w:val="center"/>
              <w:rPr>
                <w:sz w:val="18"/>
                <w:szCs w:val="18"/>
              </w:rPr>
            </w:pPr>
            <w:r>
              <w:rPr>
                <w:rFonts w:hint="eastAsia" w:ascii="宋体" w:hAnsi="宋体"/>
                <w:color w:val="000000"/>
                <w:sz w:val="18"/>
                <w:szCs w:val="18"/>
              </w:rPr>
              <w:t>05</w:t>
            </w:r>
          </w:p>
        </w:tc>
        <w:tc>
          <w:tcPr>
            <w:tcW w:w="567" w:type="dxa"/>
            <w:shd w:val="clear" w:color="auto" w:fill="auto"/>
            <w:vAlign w:val="center"/>
          </w:tcPr>
          <w:p>
            <w:pPr>
              <w:jc w:val="center"/>
              <w:rPr>
                <w:sz w:val="18"/>
                <w:szCs w:val="18"/>
              </w:rPr>
            </w:pPr>
            <w:r>
              <w:rPr>
                <w:rFonts w:hint="eastAsia" w:ascii="宋体" w:hAnsi="宋体"/>
                <w:color w:val="000000"/>
                <w:sz w:val="18"/>
                <w:szCs w:val="18"/>
              </w:rPr>
              <w:t>06</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机关事业单位职业年金缴费支出</w:t>
            </w:r>
          </w:p>
        </w:tc>
        <w:tc>
          <w:tcPr>
            <w:tcW w:w="1367" w:type="dxa"/>
            <w:shd w:val="clear" w:color="auto" w:fill="auto"/>
            <w:vAlign w:val="center"/>
          </w:tcPr>
          <w:p>
            <w:pPr>
              <w:jc w:val="right"/>
              <w:rPr>
                <w:sz w:val="18"/>
                <w:szCs w:val="18"/>
              </w:rPr>
            </w:pPr>
            <w:r>
              <w:rPr>
                <w:rFonts w:hint="eastAsia" w:ascii="宋体" w:hAnsi="宋体"/>
                <w:color w:val="000000"/>
                <w:sz w:val="18"/>
                <w:szCs w:val="18"/>
              </w:rPr>
              <w:t>44.31</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44.31</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卫生健康支出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75.33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75.33</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210</w:t>
            </w:r>
          </w:p>
        </w:tc>
        <w:tc>
          <w:tcPr>
            <w:tcW w:w="567" w:type="dxa"/>
            <w:shd w:val="clear" w:color="auto" w:fill="auto"/>
            <w:vAlign w:val="center"/>
          </w:tcPr>
          <w:p>
            <w:pPr>
              <w:jc w:val="center"/>
              <w:rPr>
                <w:b/>
                <w:sz w:val="18"/>
                <w:szCs w:val="18"/>
              </w:rPr>
            </w:pPr>
            <w:r>
              <w:rPr>
                <w:rFonts w:hint="eastAsia" w:ascii="宋体" w:hAnsi="宋体"/>
                <w:b/>
                <w:color w:val="000000"/>
                <w:sz w:val="18"/>
                <w:szCs w:val="18"/>
              </w:rPr>
              <w:t>11</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行政事业单位医疗</w:t>
            </w:r>
          </w:p>
        </w:tc>
        <w:tc>
          <w:tcPr>
            <w:tcW w:w="1367" w:type="dxa"/>
            <w:shd w:val="clear" w:color="auto" w:fill="auto"/>
            <w:vAlign w:val="center"/>
          </w:tcPr>
          <w:p>
            <w:pPr>
              <w:jc w:val="right"/>
              <w:rPr>
                <w:b/>
                <w:sz w:val="18"/>
                <w:szCs w:val="18"/>
              </w:rPr>
            </w:pPr>
            <w:r>
              <w:rPr>
                <w:rFonts w:hint="eastAsia" w:ascii="宋体" w:hAnsi="宋体"/>
                <w:b/>
                <w:color w:val="000000"/>
                <w:sz w:val="18"/>
                <w:szCs w:val="18"/>
              </w:rPr>
              <w:t>75.33</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75.33</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行政单位医疗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35.14</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35.14</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事业单位医疗</w:t>
            </w:r>
          </w:p>
        </w:tc>
        <w:tc>
          <w:tcPr>
            <w:tcW w:w="1367" w:type="dxa"/>
            <w:shd w:val="clear" w:color="auto" w:fill="auto"/>
            <w:vAlign w:val="center"/>
          </w:tcPr>
          <w:p>
            <w:pPr>
              <w:jc w:val="right"/>
              <w:rPr>
                <w:sz w:val="18"/>
                <w:szCs w:val="18"/>
              </w:rPr>
            </w:pPr>
            <w:r>
              <w:rPr>
                <w:rFonts w:hint="eastAsia" w:ascii="宋体" w:hAnsi="宋体"/>
                <w:color w:val="000000"/>
                <w:sz w:val="18"/>
                <w:szCs w:val="18"/>
              </w:rPr>
              <w:t>17.48</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17.48</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03</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公务员医疗补助</w:t>
            </w:r>
          </w:p>
        </w:tc>
        <w:tc>
          <w:tcPr>
            <w:tcW w:w="1367" w:type="dxa"/>
            <w:shd w:val="clear" w:color="auto" w:fill="auto"/>
            <w:vAlign w:val="center"/>
          </w:tcPr>
          <w:p>
            <w:pPr>
              <w:jc w:val="right"/>
              <w:rPr>
                <w:sz w:val="18"/>
                <w:szCs w:val="18"/>
              </w:rPr>
            </w:pPr>
            <w:r>
              <w:rPr>
                <w:rFonts w:hint="eastAsia" w:ascii="宋体" w:hAnsi="宋体"/>
                <w:color w:val="000000"/>
                <w:sz w:val="18"/>
                <w:szCs w:val="18"/>
              </w:rPr>
              <w:t>22.16</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22.16</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210</w:t>
            </w:r>
          </w:p>
        </w:tc>
        <w:tc>
          <w:tcPr>
            <w:tcW w:w="567" w:type="dxa"/>
            <w:shd w:val="clear" w:color="auto" w:fill="auto"/>
            <w:vAlign w:val="center"/>
          </w:tcPr>
          <w:p>
            <w:pPr>
              <w:jc w:val="center"/>
              <w:rPr>
                <w:sz w:val="18"/>
                <w:szCs w:val="18"/>
              </w:rPr>
            </w:pPr>
            <w:r>
              <w:rPr>
                <w:rFonts w:hint="eastAsia" w:ascii="宋体" w:hAnsi="宋体"/>
                <w:color w:val="000000"/>
                <w:sz w:val="18"/>
                <w:szCs w:val="18"/>
              </w:rPr>
              <w:t>11</w:t>
            </w:r>
          </w:p>
        </w:tc>
        <w:tc>
          <w:tcPr>
            <w:tcW w:w="567" w:type="dxa"/>
            <w:shd w:val="clear" w:color="auto" w:fill="auto"/>
            <w:vAlign w:val="center"/>
          </w:tcPr>
          <w:p>
            <w:pPr>
              <w:jc w:val="center"/>
              <w:rPr>
                <w:sz w:val="18"/>
                <w:szCs w:val="18"/>
              </w:rPr>
            </w:pPr>
            <w:r>
              <w:rPr>
                <w:rFonts w:hint="eastAsia" w:ascii="宋体" w:hAnsi="宋体"/>
                <w:color w:val="000000"/>
                <w:sz w:val="18"/>
                <w:szCs w:val="18"/>
              </w:rPr>
              <w:t>99</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其他行政事业单位医疗支出</w:t>
            </w:r>
          </w:p>
        </w:tc>
        <w:tc>
          <w:tcPr>
            <w:tcW w:w="1367" w:type="dxa"/>
            <w:shd w:val="clear" w:color="auto" w:fill="auto"/>
            <w:vAlign w:val="center"/>
          </w:tcPr>
          <w:p>
            <w:pPr>
              <w:jc w:val="right"/>
              <w:rPr>
                <w:sz w:val="18"/>
                <w:szCs w:val="18"/>
              </w:rPr>
            </w:pPr>
            <w:r>
              <w:rPr>
                <w:rFonts w:hint="eastAsia" w:ascii="宋体" w:hAnsi="宋体"/>
                <w:color w:val="000000"/>
                <w:sz w:val="18"/>
                <w:szCs w:val="18"/>
              </w:rPr>
              <w:t>0.55</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0.55</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住房保障支出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75.49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75.49</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r>
              <w:rPr>
                <w:rFonts w:hint="eastAsia" w:ascii="宋体" w:hAnsi="宋体"/>
                <w:b/>
                <w:color w:val="000000"/>
                <w:sz w:val="18"/>
                <w:szCs w:val="18"/>
              </w:rPr>
              <w:t>221</w:t>
            </w:r>
          </w:p>
        </w:tc>
        <w:tc>
          <w:tcPr>
            <w:tcW w:w="567" w:type="dxa"/>
            <w:shd w:val="clear" w:color="auto" w:fill="auto"/>
            <w:vAlign w:val="center"/>
          </w:tcPr>
          <w:p>
            <w:pPr>
              <w:jc w:val="center"/>
              <w:rPr>
                <w:b/>
                <w:sz w:val="18"/>
                <w:szCs w:val="18"/>
              </w:rPr>
            </w:pPr>
            <w:r>
              <w:rPr>
                <w:rFonts w:hint="eastAsia" w:ascii="宋体" w:hAnsi="宋体"/>
                <w:b/>
                <w:color w:val="000000"/>
                <w:sz w:val="18"/>
                <w:szCs w:val="18"/>
              </w:rPr>
              <w:t>02</w:t>
            </w: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left"/>
              <w:rPr>
                <w:b/>
                <w:sz w:val="18"/>
                <w:szCs w:val="18"/>
              </w:rPr>
            </w:pPr>
            <w:r>
              <w:rPr>
                <w:rFonts w:hint="eastAsia" w:ascii="宋体" w:hAnsi="宋体"/>
                <w:b/>
                <w:color w:val="000000"/>
                <w:sz w:val="18"/>
                <w:szCs w:val="18"/>
              </w:rPr>
              <w:t xml:space="preserve">  住房改革支出</w:t>
            </w:r>
          </w:p>
        </w:tc>
        <w:tc>
          <w:tcPr>
            <w:tcW w:w="1367" w:type="dxa"/>
            <w:shd w:val="clear" w:color="auto" w:fill="auto"/>
            <w:vAlign w:val="center"/>
          </w:tcPr>
          <w:p>
            <w:pPr>
              <w:jc w:val="right"/>
              <w:rPr>
                <w:b/>
                <w:sz w:val="18"/>
                <w:szCs w:val="18"/>
              </w:rPr>
            </w:pPr>
            <w:r>
              <w:rPr>
                <w:rFonts w:hint="eastAsia" w:ascii="宋体" w:hAnsi="宋体"/>
                <w:b/>
                <w:color w:val="000000"/>
                <w:sz w:val="18"/>
                <w:szCs w:val="18"/>
              </w:rPr>
              <w:t>75.49</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75.49</w:t>
            </w:r>
          </w:p>
        </w:tc>
        <w:tc>
          <w:tcPr>
            <w:tcW w:w="1427"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sz w:val="18"/>
                <w:szCs w:val="18"/>
              </w:rPr>
            </w:pPr>
            <w:r>
              <w:rPr>
                <w:rFonts w:hint="eastAsia" w:ascii="宋体" w:hAnsi="宋体"/>
                <w:color w:val="000000"/>
                <w:sz w:val="18"/>
                <w:szCs w:val="18"/>
              </w:rPr>
              <w:t>221</w:t>
            </w:r>
          </w:p>
        </w:tc>
        <w:tc>
          <w:tcPr>
            <w:tcW w:w="567" w:type="dxa"/>
            <w:shd w:val="clear" w:color="auto" w:fill="auto"/>
            <w:vAlign w:val="center"/>
          </w:tcPr>
          <w:p>
            <w:pPr>
              <w:jc w:val="center"/>
              <w:rPr>
                <w:sz w:val="18"/>
                <w:szCs w:val="18"/>
              </w:rPr>
            </w:pPr>
            <w:r>
              <w:rPr>
                <w:rFonts w:hint="eastAsia" w:ascii="宋体" w:hAnsi="宋体"/>
                <w:color w:val="000000"/>
                <w:sz w:val="18"/>
                <w:szCs w:val="18"/>
              </w:rPr>
              <w:t>02</w:t>
            </w:r>
          </w:p>
        </w:tc>
        <w:tc>
          <w:tcPr>
            <w:tcW w:w="567" w:type="dxa"/>
            <w:shd w:val="clear" w:color="auto" w:fill="auto"/>
            <w:vAlign w:val="center"/>
          </w:tcPr>
          <w:p>
            <w:pPr>
              <w:jc w:val="center"/>
              <w:rPr>
                <w:sz w:val="18"/>
                <w:szCs w:val="18"/>
              </w:rPr>
            </w:pPr>
            <w:r>
              <w:rPr>
                <w:rFonts w:hint="eastAsia" w:ascii="宋体" w:hAnsi="宋体"/>
                <w:color w:val="000000"/>
                <w:sz w:val="18"/>
                <w:szCs w:val="18"/>
              </w:rPr>
              <w:t>01</w:t>
            </w:r>
          </w:p>
        </w:tc>
        <w:tc>
          <w:tcPr>
            <w:tcW w:w="4026" w:type="dxa"/>
            <w:shd w:val="clear" w:color="auto" w:fill="auto"/>
            <w:vAlign w:val="center"/>
          </w:tcPr>
          <w:p>
            <w:pPr>
              <w:jc w:val="left"/>
              <w:rPr>
                <w:sz w:val="18"/>
                <w:szCs w:val="18"/>
              </w:rPr>
            </w:pPr>
            <w:r>
              <w:rPr>
                <w:rFonts w:hint="eastAsia" w:ascii="宋体" w:hAnsi="宋体"/>
                <w:color w:val="000000"/>
                <w:sz w:val="18"/>
                <w:szCs w:val="18"/>
              </w:rPr>
              <w:t xml:space="preserve">    住房公积金</w:t>
            </w:r>
          </w:p>
        </w:tc>
        <w:tc>
          <w:tcPr>
            <w:tcW w:w="1367" w:type="dxa"/>
            <w:shd w:val="clear" w:color="auto" w:fill="auto"/>
            <w:vAlign w:val="center"/>
          </w:tcPr>
          <w:p>
            <w:pPr>
              <w:jc w:val="right"/>
              <w:rPr>
                <w:sz w:val="18"/>
                <w:szCs w:val="18"/>
              </w:rPr>
            </w:pPr>
            <w:r>
              <w:rPr>
                <w:rFonts w:hint="eastAsia" w:ascii="宋体" w:hAnsi="宋体"/>
                <w:color w:val="000000"/>
                <w:sz w:val="18"/>
                <w:szCs w:val="18"/>
              </w:rPr>
              <w:t>75.49</w:t>
            </w:r>
          </w:p>
        </w:tc>
        <w:tc>
          <w:tcPr>
            <w:tcW w:w="1366" w:type="dxa"/>
            <w:gridSpan w:val="2"/>
            <w:shd w:val="clear" w:color="auto" w:fill="auto"/>
            <w:vAlign w:val="center"/>
          </w:tcPr>
          <w:p>
            <w:pPr>
              <w:jc w:val="right"/>
              <w:rPr>
                <w:sz w:val="18"/>
                <w:szCs w:val="18"/>
              </w:rPr>
            </w:pPr>
            <w:r>
              <w:rPr>
                <w:rFonts w:hint="eastAsia" w:ascii="宋体" w:hAnsi="宋体"/>
                <w:color w:val="000000"/>
                <w:sz w:val="18"/>
                <w:szCs w:val="18"/>
              </w:rPr>
              <w:t>75.49</w:t>
            </w:r>
          </w:p>
        </w:tc>
        <w:tc>
          <w:tcPr>
            <w:tcW w:w="142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4026" w:type="dxa"/>
            <w:shd w:val="clear" w:color="auto" w:fill="auto"/>
            <w:vAlign w:val="center"/>
          </w:tcPr>
          <w:p>
            <w:pPr>
              <w:jc w:val="center"/>
              <w:rPr>
                <w:b/>
                <w:sz w:val="18"/>
                <w:szCs w:val="18"/>
              </w:rPr>
            </w:pPr>
            <w:r>
              <w:rPr>
                <w:rFonts w:hint="eastAsia" w:ascii="宋体" w:hAnsi="宋体"/>
                <w:b/>
                <w:color w:val="000000"/>
                <w:sz w:val="18"/>
                <w:szCs w:val="18"/>
              </w:rPr>
              <w:t>总计</w:t>
            </w:r>
          </w:p>
        </w:tc>
        <w:tc>
          <w:tcPr>
            <w:tcW w:w="1367" w:type="dxa"/>
            <w:shd w:val="clear" w:color="auto" w:fill="auto"/>
            <w:vAlign w:val="center"/>
          </w:tcPr>
          <w:p>
            <w:pPr>
              <w:jc w:val="right"/>
              <w:rPr>
                <w:b/>
                <w:sz w:val="18"/>
                <w:szCs w:val="18"/>
              </w:rPr>
            </w:pPr>
            <w:r>
              <w:rPr>
                <w:rFonts w:hint="eastAsia" w:ascii="宋体" w:hAnsi="宋体"/>
                <w:b/>
                <w:color w:val="000000"/>
                <w:sz w:val="18"/>
                <w:szCs w:val="18"/>
              </w:rPr>
              <w:t>1,133.82</w:t>
            </w:r>
          </w:p>
        </w:tc>
        <w:tc>
          <w:tcPr>
            <w:tcW w:w="1366" w:type="dxa"/>
            <w:gridSpan w:val="2"/>
            <w:shd w:val="clear" w:color="auto" w:fill="auto"/>
            <w:vAlign w:val="center"/>
          </w:tcPr>
          <w:p>
            <w:pPr>
              <w:jc w:val="right"/>
              <w:rPr>
                <w:b/>
                <w:sz w:val="18"/>
                <w:szCs w:val="18"/>
              </w:rPr>
            </w:pPr>
            <w:r>
              <w:rPr>
                <w:rFonts w:hint="eastAsia" w:ascii="宋体" w:hAnsi="宋体"/>
                <w:b/>
                <w:color w:val="000000"/>
                <w:sz w:val="18"/>
                <w:szCs w:val="18"/>
              </w:rPr>
              <w:t>988.58</w:t>
            </w:r>
          </w:p>
        </w:tc>
        <w:tc>
          <w:tcPr>
            <w:tcW w:w="1427" w:type="dxa"/>
            <w:shd w:val="clear" w:color="auto" w:fill="auto"/>
            <w:vAlign w:val="center"/>
          </w:tcPr>
          <w:p>
            <w:pPr>
              <w:jc w:val="right"/>
              <w:rPr>
                <w:b/>
                <w:sz w:val="18"/>
                <w:szCs w:val="18"/>
              </w:rPr>
            </w:pPr>
            <w:r>
              <w:rPr>
                <w:rFonts w:hint="eastAsia" w:ascii="宋体" w:hAnsi="宋体"/>
                <w:b/>
                <w:color w:val="000000"/>
                <w:sz w:val="18"/>
                <w:szCs w:val="18"/>
              </w:rPr>
              <w:t>145.24</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表6</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8"/>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编制部门：呼图壁县财政局</w:t>
            </w:r>
          </w:p>
        </w:tc>
        <w:tc>
          <w:tcPr>
            <w:tcW w:w="170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pPr>
              <w:jc w:val="center"/>
              <w:rPr>
                <w:sz w:val="18"/>
                <w:szCs w:val="18"/>
              </w:rPr>
            </w:pPr>
            <w:r>
              <w:rPr>
                <w:rFonts w:hint="eastAsia"/>
                <w:sz w:val="18"/>
                <w:szCs w:val="18"/>
              </w:rPr>
              <w:t>科目</w:t>
            </w:r>
          </w:p>
        </w:tc>
        <w:tc>
          <w:tcPr>
            <w:tcW w:w="4160" w:type="dxa"/>
            <w:gridSpan w:val="4"/>
            <w:shd w:val="clear" w:color="auto" w:fill="auto"/>
            <w:vAlign w:val="center"/>
          </w:tcPr>
          <w:p>
            <w:pPr>
              <w:jc w:val="center"/>
              <w:rPr>
                <w:sz w:val="18"/>
                <w:szCs w:val="18"/>
              </w:rPr>
            </w:pPr>
            <w:r>
              <w:rPr>
                <w:rFonts w:hint="eastAsia"/>
                <w:sz w:val="18"/>
                <w:szCs w:val="18"/>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pPr>
              <w:jc w:val="center"/>
              <w:rPr>
                <w:sz w:val="18"/>
                <w:szCs w:val="18"/>
              </w:rPr>
            </w:pPr>
            <w:r>
              <w:rPr>
                <w:rFonts w:hint="eastAsia"/>
                <w:sz w:val="18"/>
                <w:szCs w:val="18"/>
              </w:rPr>
              <w:t>科目代码</w:t>
            </w:r>
          </w:p>
        </w:tc>
        <w:tc>
          <w:tcPr>
            <w:tcW w:w="4593" w:type="dxa"/>
            <w:vMerge w:val="restart"/>
            <w:shd w:val="clear" w:color="auto" w:fill="auto"/>
            <w:vAlign w:val="center"/>
          </w:tcPr>
          <w:p>
            <w:pPr>
              <w:jc w:val="center"/>
              <w:rPr>
                <w:sz w:val="18"/>
                <w:szCs w:val="18"/>
              </w:rPr>
            </w:pPr>
            <w:r>
              <w:rPr>
                <w:rFonts w:hint="eastAsia"/>
                <w:sz w:val="18"/>
                <w:szCs w:val="18"/>
              </w:rPr>
              <w:t>科目名称</w:t>
            </w:r>
          </w:p>
        </w:tc>
        <w:tc>
          <w:tcPr>
            <w:tcW w:w="1367" w:type="dxa"/>
            <w:vMerge w:val="restart"/>
            <w:shd w:val="clear" w:color="auto" w:fill="auto"/>
            <w:vAlign w:val="center"/>
          </w:tcPr>
          <w:p>
            <w:pPr>
              <w:jc w:val="center"/>
              <w:rPr>
                <w:sz w:val="18"/>
                <w:szCs w:val="18"/>
              </w:rPr>
            </w:pPr>
            <w:r>
              <w:rPr>
                <w:rFonts w:hint="eastAsia"/>
                <w:sz w:val="18"/>
                <w:szCs w:val="18"/>
              </w:rPr>
              <w:t>合计</w:t>
            </w:r>
          </w:p>
        </w:tc>
        <w:tc>
          <w:tcPr>
            <w:tcW w:w="1366" w:type="dxa"/>
            <w:gridSpan w:val="2"/>
            <w:vMerge w:val="restart"/>
            <w:shd w:val="clear" w:color="auto" w:fill="auto"/>
            <w:vAlign w:val="center"/>
          </w:tcPr>
          <w:p>
            <w:pPr>
              <w:jc w:val="center"/>
              <w:rPr>
                <w:sz w:val="18"/>
                <w:szCs w:val="18"/>
              </w:rPr>
            </w:pPr>
            <w:r>
              <w:rPr>
                <w:rFonts w:hint="eastAsia"/>
                <w:sz w:val="18"/>
                <w:szCs w:val="18"/>
              </w:rPr>
              <w:t>人员经费</w:t>
            </w:r>
          </w:p>
        </w:tc>
        <w:tc>
          <w:tcPr>
            <w:tcW w:w="1427" w:type="dxa"/>
            <w:vMerge w:val="restart"/>
            <w:shd w:val="clear" w:color="auto" w:fill="auto"/>
            <w:vAlign w:val="center"/>
          </w:tcPr>
          <w:p>
            <w:pPr>
              <w:jc w:val="center"/>
              <w:rPr>
                <w:sz w:val="18"/>
                <w:szCs w:val="18"/>
              </w:rPr>
            </w:pPr>
            <w:r>
              <w:rPr>
                <w:rFonts w:hint="eastAsia"/>
                <w:sz w:val="18"/>
                <w:szCs w:val="18"/>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4593" w:type="dxa"/>
            <w:vMerge w:val="continue"/>
            <w:shd w:val="clear" w:color="auto" w:fill="auto"/>
            <w:vAlign w:val="center"/>
          </w:tcPr>
          <w:p>
            <w:pPr>
              <w:jc w:val="center"/>
              <w:rPr>
                <w:sz w:val="18"/>
                <w:szCs w:val="18"/>
              </w:rPr>
            </w:pPr>
          </w:p>
        </w:tc>
        <w:tc>
          <w:tcPr>
            <w:tcW w:w="1367" w:type="dxa"/>
            <w:vMerge w:val="continue"/>
            <w:shd w:val="clear" w:color="auto" w:fill="auto"/>
            <w:vAlign w:val="center"/>
          </w:tcPr>
          <w:p>
            <w:pPr>
              <w:jc w:val="center"/>
              <w:rPr>
                <w:sz w:val="18"/>
                <w:szCs w:val="18"/>
              </w:rPr>
            </w:pPr>
          </w:p>
        </w:tc>
        <w:tc>
          <w:tcPr>
            <w:tcW w:w="1366" w:type="dxa"/>
            <w:gridSpan w:val="2"/>
            <w:vMerge w:val="continue"/>
            <w:shd w:val="clear" w:color="auto" w:fill="auto"/>
            <w:vAlign w:val="center"/>
          </w:tcPr>
          <w:p>
            <w:pPr>
              <w:jc w:val="center"/>
              <w:rPr>
                <w:sz w:val="18"/>
                <w:szCs w:val="18"/>
              </w:rPr>
            </w:pPr>
          </w:p>
        </w:tc>
        <w:tc>
          <w:tcPr>
            <w:tcW w:w="142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301</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工资福利支出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915.93</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915.93</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基本工资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226.94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226.94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津贴补贴</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164.76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164.76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190.64</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190.64</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绩效工资</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46.70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46.70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机关事业单位基本养老保险缴费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88.62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88.62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职业年金缴费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44.31</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44.31</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10</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职工基本医疗保险缴费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52.62</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52.62</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公务员医疗补助缴费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22.16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22.16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其他社会保障缴费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3.69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3.69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301</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13</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住房公积金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75.49</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75.49</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302</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商品和服务支出</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42.26</w:t>
            </w:r>
          </w:p>
        </w:tc>
        <w:tc>
          <w:tcPr>
            <w:tcW w:w="1366" w:type="dxa"/>
            <w:gridSpan w:val="2"/>
            <w:shd w:val="clear" w:color="auto" w:fill="auto"/>
            <w:vAlign w:val="center"/>
          </w:tcPr>
          <w:p>
            <w:pPr>
              <w:jc w:val="right"/>
              <w:rPr>
                <w:rFonts w:hint="default" w:ascii="宋体" w:hAnsi="宋体"/>
                <w:b/>
                <w:sz w:val="18"/>
                <w:szCs w:val="18"/>
              </w:rPr>
            </w:pP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42.26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办公费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4.68</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4.68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印刷费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0.54</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水费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0.11</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06</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1.94</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07</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邮电费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1.84</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取暖费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16.14</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16.14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11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差旅费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1.51</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28</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工会经费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10.70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10.70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302</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31</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公务用车运行维护费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4.80</w:t>
            </w:r>
          </w:p>
        </w:tc>
        <w:tc>
          <w:tcPr>
            <w:tcW w:w="1366" w:type="dxa"/>
            <w:gridSpan w:val="2"/>
            <w:shd w:val="clear" w:color="auto" w:fill="auto"/>
            <w:vAlign w:val="center"/>
          </w:tcPr>
          <w:p>
            <w:pPr>
              <w:jc w:val="right"/>
              <w:rPr>
                <w:rFonts w:hint="default" w:ascii="宋体" w:hAnsi="宋体"/>
                <w:sz w:val="18"/>
                <w:szCs w:val="18"/>
              </w:rPr>
            </w:pPr>
          </w:p>
        </w:tc>
        <w:tc>
          <w:tcPr>
            <w:tcW w:w="1427" w:type="dxa"/>
            <w:shd w:val="clear" w:color="auto" w:fill="auto"/>
            <w:vAlign w:val="center"/>
          </w:tcPr>
          <w:p>
            <w:pPr>
              <w:jc w:val="right"/>
              <w:rPr>
                <w:rFonts w:hint="default" w:ascii="宋体" w:hAnsi="宋体"/>
                <w:sz w:val="18"/>
                <w:szCs w:val="18"/>
              </w:rPr>
            </w:pPr>
            <w:r>
              <w:rPr>
                <w:rFonts w:hint="default" w:ascii="宋体" w:hAnsi="宋体"/>
                <w:sz w:val="18"/>
                <w:szCs w:val="18"/>
              </w:rPr>
              <w:t>4.80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r>
              <w:rPr>
                <w:rFonts w:hint="default" w:ascii="宋体" w:hAnsi="宋体"/>
                <w:b/>
                <w:sz w:val="18"/>
                <w:szCs w:val="18"/>
              </w:rPr>
              <w:t>303</w:t>
            </w: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left"/>
              <w:rPr>
                <w:rFonts w:hint="default" w:ascii="宋体" w:hAnsi="宋体"/>
                <w:b/>
                <w:sz w:val="18"/>
                <w:szCs w:val="18"/>
              </w:rPr>
            </w:pPr>
            <w:r>
              <w:rPr>
                <w:rFonts w:hint="default" w:ascii="宋体" w:hAnsi="宋体"/>
                <w:b/>
                <w:sz w:val="18"/>
                <w:szCs w:val="18"/>
              </w:rPr>
              <w:t>对个人和家庭的补助</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30.38</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30.38</w:t>
            </w:r>
          </w:p>
        </w:tc>
        <w:tc>
          <w:tcPr>
            <w:tcW w:w="1427" w:type="dxa"/>
            <w:shd w:val="clear" w:color="auto" w:fill="auto"/>
            <w:vAlign w:val="center"/>
          </w:tcPr>
          <w:p>
            <w:pPr>
              <w:jc w:val="right"/>
              <w:rPr>
                <w:rFonts w:hint="default" w:ascii="宋体" w:hAnsi="宋体"/>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02</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退休费</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27.76</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27.76</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05</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生活补助</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0.03</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0.03</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sz w:val="18"/>
                <w:szCs w:val="18"/>
              </w:rPr>
            </w:pPr>
            <w:r>
              <w:rPr>
                <w:rFonts w:hint="default" w:ascii="宋体" w:hAnsi="宋体"/>
                <w:sz w:val="18"/>
                <w:szCs w:val="18"/>
              </w:rPr>
              <w:t>303</w:t>
            </w:r>
          </w:p>
        </w:tc>
        <w:tc>
          <w:tcPr>
            <w:tcW w:w="567" w:type="dxa"/>
            <w:shd w:val="clear" w:color="auto" w:fill="auto"/>
            <w:vAlign w:val="center"/>
          </w:tcPr>
          <w:p>
            <w:pPr>
              <w:jc w:val="center"/>
              <w:rPr>
                <w:rFonts w:hint="default" w:ascii="宋体" w:hAnsi="宋体"/>
                <w:sz w:val="18"/>
                <w:szCs w:val="18"/>
              </w:rPr>
            </w:pPr>
            <w:r>
              <w:rPr>
                <w:rFonts w:hint="default" w:ascii="宋体" w:hAnsi="宋体"/>
                <w:sz w:val="18"/>
                <w:szCs w:val="18"/>
              </w:rPr>
              <w:t>09</w:t>
            </w:r>
          </w:p>
        </w:tc>
        <w:tc>
          <w:tcPr>
            <w:tcW w:w="4593" w:type="dxa"/>
            <w:shd w:val="clear" w:color="auto" w:fill="auto"/>
            <w:vAlign w:val="center"/>
          </w:tcPr>
          <w:p>
            <w:pPr>
              <w:jc w:val="left"/>
              <w:rPr>
                <w:rFonts w:hint="default" w:ascii="宋体" w:hAnsi="宋体"/>
                <w:sz w:val="18"/>
                <w:szCs w:val="18"/>
              </w:rPr>
            </w:pPr>
            <w:r>
              <w:rPr>
                <w:rFonts w:hint="default" w:ascii="宋体" w:hAnsi="宋体"/>
                <w:sz w:val="18"/>
                <w:szCs w:val="18"/>
              </w:rPr>
              <w:t xml:space="preserve">  奖励金</w:t>
            </w:r>
          </w:p>
        </w:tc>
        <w:tc>
          <w:tcPr>
            <w:tcW w:w="1367" w:type="dxa"/>
            <w:shd w:val="clear" w:color="auto" w:fill="auto"/>
            <w:vAlign w:val="center"/>
          </w:tcPr>
          <w:p>
            <w:pPr>
              <w:jc w:val="right"/>
              <w:rPr>
                <w:rFonts w:hint="default" w:ascii="宋体" w:hAnsi="宋体"/>
                <w:sz w:val="18"/>
                <w:szCs w:val="18"/>
              </w:rPr>
            </w:pPr>
            <w:r>
              <w:rPr>
                <w:rFonts w:hint="default" w:ascii="宋体" w:hAnsi="宋体"/>
                <w:sz w:val="18"/>
                <w:szCs w:val="18"/>
              </w:rPr>
              <w:t>2.60</w:t>
            </w:r>
          </w:p>
        </w:tc>
        <w:tc>
          <w:tcPr>
            <w:tcW w:w="1366" w:type="dxa"/>
            <w:gridSpan w:val="2"/>
            <w:shd w:val="clear" w:color="auto" w:fill="auto"/>
            <w:vAlign w:val="center"/>
          </w:tcPr>
          <w:p>
            <w:pPr>
              <w:jc w:val="right"/>
              <w:rPr>
                <w:rFonts w:hint="default" w:ascii="宋体" w:hAnsi="宋体"/>
                <w:sz w:val="18"/>
                <w:szCs w:val="18"/>
              </w:rPr>
            </w:pPr>
            <w:r>
              <w:rPr>
                <w:rFonts w:hint="default" w:ascii="宋体" w:hAnsi="宋体"/>
                <w:sz w:val="18"/>
                <w:szCs w:val="18"/>
              </w:rPr>
              <w:t>2.60</w:t>
            </w:r>
          </w:p>
        </w:tc>
        <w:tc>
          <w:tcPr>
            <w:tcW w:w="1427" w:type="dxa"/>
            <w:shd w:val="clear" w:color="auto" w:fill="auto"/>
            <w:vAlign w:val="center"/>
          </w:tcPr>
          <w:p>
            <w:pPr>
              <w:jc w:val="right"/>
              <w:rPr>
                <w:rFonts w:hint="default" w:ascii="宋体" w:hAnsi="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rFonts w:hint="default" w:ascii="宋体" w:hAnsi="宋体"/>
                <w:b/>
                <w:sz w:val="18"/>
                <w:szCs w:val="18"/>
              </w:rPr>
            </w:pPr>
          </w:p>
        </w:tc>
        <w:tc>
          <w:tcPr>
            <w:tcW w:w="567" w:type="dxa"/>
            <w:shd w:val="clear" w:color="auto" w:fill="auto"/>
            <w:vAlign w:val="center"/>
          </w:tcPr>
          <w:p>
            <w:pPr>
              <w:jc w:val="center"/>
              <w:rPr>
                <w:rFonts w:hint="default" w:ascii="宋体" w:hAnsi="宋体"/>
                <w:b/>
                <w:sz w:val="18"/>
                <w:szCs w:val="18"/>
              </w:rPr>
            </w:pPr>
          </w:p>
        </w:tc>
        <w:tc>
          <w:tcPr>
            <w:tcW w:w="4593" w:type="dxa"/>
            <w:shd w:val="clear" w:color="auto" w:fill="auto"/>
            <w:vAlign w:val="center"/>
          </w:tcPr>
          <w:p>
            <w:pPr>
              <w:jc w:val="center"/>
              <w:rPr>
                <w:rFonts w:hint="default" w:ascii="宋体" w:hAnsi="宋体"/>
                <w:b/>
                <w:sz w:val="18"/>
                <w:szCs w:val="18"/>
              </w:rPr>
            </w:pPr>
            <w:r>
              <w:rPr>
                <w:rFonts w:hint="default" w:ascii="宋体" w:hAnsi="宋体"/>
                <w:b/>
                <w:sz w:val="18"/>
                <w:szCs w:val="18"/>
              </w:rPr>
              <w:t>总计</w:t>
            </w:r>
          </w:p>
        </w:tc>
        <w:tc>
          <w:tcPr>
            <w:tcW w:w="1367" w:type="dxa"/>
            <w:shd w:val="clear" w:color="auto" w:fill="auto"/>
            <w:vAlign w:val="center"/>
          </w:tcPr>
          <w:p>
            <w:pPr>
              <w:jc w:val="right"/>
              <w:rPr>
                <w:rFonts w:hint="default" w:ascii="宋体" w:hAnsi="宋体"/>
                <w:b/>
                <w:sz w:val="18"/>
                <w:szCs w:val="18"/>
              </w:rPr>
            </w:pPr>
            <w:r>
              <w:rPr>
                <w:rFonts w:hint="default" w:ascii="宋体" w:hAnsi="宋体"/>
                <w:b/>
                <w:sz w:val="18"/>
                <w:szCs w:val="18"/>
              </w:rPr>
              <w:t>988.58</w:t>
            </w:r>
          </w:p>
        </w:tc>
        <w:tc>
          <w:tcPr>
            <w:tcW w:w="1366" w:type="dxa"/>
            <w:gridSpan w:val="2"/>
            <w:shd w:val="clear" w:color="auto" w:fill="auto"/>
            <w:vAlign w:val="center"/>
          </w:tcPr>
          <w:p>
            <w:pPr>
              <w:jc w:val="right"/>
              <w:rPr>
                <w:rFonts w:hint="default" w:ascii="宋体" w:hAnsi="宋体"/>
                <w:b/>
                <w:sz w:val="18"/>
                <w:szCs w:val="18"/>
              </w:rPr>
            </w:pPr>
            <w:r>
              <w:rPr>
                <w:rFonts w:hint="default" w:ascii="宋体" w:hAnsi="宋体"/>
                <w:b/>
                <w:sz w:val="18"/>
                <w:szCs w:val="18"/>
              </w:rPr>
              <w:t>946.31</w:t>
            </w:r>
          </w:p>
        </w:tc>
        <w:tc>
          <w:tcPr>
            <w:tcW w:w="1427" w:type="dxa"/>
            <w:shd w:val="clear" w:color="auto" w:fill="auto"/>
            <w:vAlign w:val="center"/>
          </w:tcPr>
          <w:p>
            <w:pPr>
              <w:jc w:val="right"/>
              <w:rPr>
                <w:rFonts w:hint="default" w:ascii="宋体" w:hAnsi="宋体"/>
                <w:b/>
                <w:sz w:val="18"/>
                <w:szCs w:val="18"/>
              </w:rPr>
            </w:pPr>
            <w:r>
              <w:rPr>
                <w:rFonts w:hint="default" w:ascii="宋体" w:hAnsi="宋体"/>
                <w:b/>
                <w:sz w:val="18"/>
                <w:szCs w:val="18"/>
              </w:rPr>
              <w:t>42.26</w:t>
            </w: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表7</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8"/>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编制部门：呼图壁县财政局</w:t>
            </w:r>
          </w:p>
        </w:tc>
        <w:tc>
          <w:tcPr>
            <w:tcW w:w="1863"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pPr>
              <w:jc w:val="center"/>
              <w:rPr>
                <w:sz w:val="18"/>
                <w:szCs w:val="18"/>
              </w:rPr>
            </w:pPr>
            <w:r>
              <w:rPr>
                <w:rFonts w:hint="eastAsia"/>
                <w:sz w:val="18"/>
                <w:szCs w:val="18"/>
              </w:rPr>
              <w:t>科目代码</w:t>
            </w:r>
          </w:p>
        </w:tc>
        <w:tc>
          <w:tcPr>
            <w:tcW w:w="2073" w:type="dxa"/>
            <w:vMerge w:val="restart"/>
            <w:shd w:val="clear" w:color="auto" w:fill="auto"/>
            <w:vAlign w:val="center"/>
          </w:tcPr>
          <w:p>
            <w:pPr>
              <w:jc w:val="center"/>
              <w:rPr>
                <w:sz w:val="18"/>
                <w:szCs w:val="18"/>
              </w:rPr>
            </w:pPr>
            <w:r>
              <w:rPr>
                <w:rFonts w:hint="eastAsia"/>
                <w:sz w:val="18"/>
                <w:szCs w:val="18"/>
              </w:rPr>
              <w:t>科目名称</w:t>
            </w:r>
          </w:p>
        </w:tc>
        <w:tc>
          <w:tcPr>
            <w:tcW w:w="2073" w:type="dxa"/>
            <w:vMerge w:val="restart"/>
            <w:shd w:val="clear" w:color="auto" w:fill="auto"/>
            <w:vAlign w:val="center"/>
          </w:tcPr>
          <w:p>
            <w:pPr>
              <w:jc w:val="center"/>
              <w:rPr>
                <w:sz w:val="18"/>
                <w:szCs w:val="18"/>
              </w:rPr>
            </w:pPr>
            <w:r>
              <w:rPr>
                <w:rFonts w:hint="eastAsia"/>
                <w:sz w:val="18"/>
                <w:szCs w:val="18"/>
              </w:rPr>
              <w:t>项目名称</w:t>
            </w:r>
          </w:p>
        </w:tc>
        <w:tc>
          <w:tcPr>
            <w:tcW w:w="881" w:type="dxa"/>
            <w:vMerge w:val="restart"/>
            <w:shd w:val="clear" w:color="auto" w:fill="auto"/>
            <w:vAlign w:val="center"/>
          </w:tcPr>
          <w:p>
            <w:pPr>
              <w:jc w:val="center"/>
              <w:rPr>
                <w:sz w:val="18"/>
                <w:szCs w:val="18"/>
              </w:rPr>
            </w:pPr>
            <w:r>
              <w:rPr>
                <w:rFonts w:hint="eastAsia"/>
                <w:sz w:val="18"/>
                <w:szCs w:val="18"/>
              </w:rPr>
              <w:t>项目支出合计</w:t>
            </w:r>
          </w:p>
        </w:tc>
        <w:tc>
          <w:tcPr>
            <w:tcW w:w="881" w:type="dxa"/>
            <w:vMerge w:val="restart"/>
            <w:shd w:val="clear" w:color="auto" w:fill="auto"/>
            <w:vAlign w:val="center"/>
          </w:tcPr>
          <w:p>
            <w:pPr>
              <w:jc w:val="center"/>
              <w:rPr>
                <w:sz w:val="18"/>
                <w:szCs w:val="18"/>
              </w:rPr>
            </w:pPr>
            <w:r>
              <w:rPr>
                <w:rFonts w:hint="eastAsia"/>
                <w:sz w:val="18"/>
                <w:szCs w:val="18"/>
              </w:rPr>
              <w:t>工资福利支出</w:t>
            </w:r>
          </w:p>
        </w:tc>
        <w:tc>
          <w:tcPr>
            <w:tcW w:w="881" w:type="dxa"/>
            <w:vMerge w:val="restart"/>
            <w:shd w:val="clear" w:color="auto" w:fill="auto"/>
            <w:vAlign w:val="center"/>
          </w:tcPr>
          <w:p>
            <w:pPr>
              <w:jc w:val="center"/>
              <w:rPr>
                <w:sz w:val="18"/>
                <w:szCs w:val="18"/>
              </w:rPr>
            </w:pPr>
            <w:r>
              <w:rPr>
                <w:rFonts w:hint="eastAsia"/>
                <w:sz w:val="18"/>
                <w:szCs w:val="18"/>
              </w:rPr>
              <w:t>商品和服务支出</w:t>
            </w:r>
          </w:p>
        </w:tc>
        <w:tc>
          <w:tcPr>
            <w:tcW w:w="881" w:type="dxa"/>
            <w:vMerge w:val="restart"/>
            <w:shd w:val="clear" w:color="auto" w:fill="auto"/>
            <w:vAlign w:val="center"/>
          </w:tcPr>
          <w:p>
            <w:pPr>
              <w:jc w:val="center"/>
              <w:rPr>
                <w:sz w:val="18"/>
                <w:szCs w:val="18"/>
              </w:rPr>
            </w:pPr>
            <w:r>
              <w:rPr>
                <w:rFonts w:hint="eastAsia"/>
                <w:sz w:val="18"/>
                <w:szCs w:val="18"/>
              </w:rPr>
              <w:t>对个人和家庭的补助</w:t>
            </w:r>
          </w:p>
        </w:tc>
        <w:tc>
          <w:tcPr>
            <w:tcW w:w="881" w:type="dxa"/>
            <w:vMerge w:val="restart"/>
            <w:shd w:val="clear" w:color="auto" w:fill="auto"/>
            <w:vAlign w:val="center"/>
          </w:tcPr>
          <w:p>
            <w:pPr>
              <w:jc w:val="center"/>
              <w:rPr>
                <w:sz w:val="18"/>
                <w:szCs w:val="18"/>
              </w:rPr>
            </w:pPr>
            <w:r>
              <w:rPr>
                <w:rFonts w:hint="eastAsia"/>
                <w:sz w:val="18"/>
                <w:szCs w:val="18"/>
              </w:rPr>
              <w:t>债务利息及费用支出</w:t>
            </w:r>
          </w:p>
        </w:tc>
        <w:tc>
          <w:tcPr>
            <w:tcW w:w="881" w:type="dxa"/>
            <w:vMerge w:val="restart"/>
            <w:shd w:val="clear" w:color="auto" w:fill="auto"/>
            <w:vAlign w:val="center"/>
          </w:tcPr>
          <w:p>
            <w:pPr>
              <w:jc w:val="center"/>
              <w:rPr>
                <w:sz w:val="18"/>
                <w:szCs w:val="18"/>
              </w:rPr>
            </w:pPr>
            <w:r>
              <w:rPr>
                <w:rFonts w:hint="eastAsia"/>
                <w:sz w:val="18"/>
                <w:szCs w:val="18"/>
              </w:rPr>
              <w:t>资本性支出（基本建设）</w:t>
            </w:r>
          </w:p>
        </w:tc>
        <w:tc>
          <w:tcPr>
            <w:tcW w:w="881" w:type="dxa"/>
            <w:vMerge w:val="restart"/>
            <w:shd w:val="clear" w:color="auto" w:fill="auto"/>
            <w:vAlign w:val="center"/>
          </w:tcPr>
          <w:p>
            <w:pPr>
              <w:jc w:val="center"/>
              <w:rPr>
                <w:sz w:val="18"/>
                <w:szCs w:val="18"/>
              </w:rPr>
            </w:pPr>
            <w:r>
              <w:rPr>
                <w:rFonts w:hint="eastAsia"/>
                <w:sz w:val="18"/>
                <w:szCs w:val="18"/>
              </w:rPr>
              <w:t>资本性支出</w:t>
            </w:r>
          </w:p>
        </w:tc>
        <w:tc>
          <w:tcPr>
            <w:tcW w:w="882" w:type="dxa"/>
            <w:vMerge w:val="restart"/>
            <w:shd w:val="clear" w:color="auto" w:fill="auto"/>
            <w:vAlign w:val="center"/>
          </w:tcPr>
          <w:p>
            <w:pPr>
              <w:jc w:val="center"/>
              <w:rPr>
                <w:sz w:val="18"/>
                <w:szCs w:val="18"/>
              </w:rPr>
            </w:pPr>
            <w:r>
              <w:rPr>
                <w:rFonts w:hint="eastAsia"/>
                <w:sz w:val="18"/>
                <w:szCs w:val="18"/>
              </w:rPr>
              <w:t>对企业补助（基本建设）</w:t>
            </w:r>
          </w:p>
        </w:tc>
        <w:tc>
          <w:tcPr>
            <w:tcW w:w="783" w:type="dxa"/>
            <w:vMerge w:val="restart"/>
            <w:shd w:val="clear" w:color="auto" w:fill="auto"/>
            <w:vAlign w:val="center"/>
          </w:tcPr>
          <w:p>
            <w:pPr>
              <w:jc w:val="center"/>
              <w:rPr>
                <w:sz w:val="18"/>
                <w:szCs w:val="18"/>
              </w:rPr>
            </w:pPr>
            <w:r>
              <w:rPr>
                <w:rFonts w:hint="eastAsia"/>
                <w:sz w:val="18"/>
                <w:szCs w:val="18"/>
              </w:rPr>
              <w:t>对企业补助</w:t>
            </w:r>
          </w:p>
        </w:tc>
        <w:tc>
          <w:tcPr>
            <w:tcW w:w="981" w:type="dxa"/>
            <w:vMerge w:val="restart"/>
            <w:shd w:val="clear" w:color="auto" w:fill="auto"/>
            <w:vAlign w:val="center"/>
          </w:tcPr>
          <w:p>
            <w:pPr>
              <w:jc w:val="center"/>
              <w:rPr>
                <w:sz w:val="18"/>
                <w:szCs w:val="18"/>
              </w:rPr>
            </w:pPr>
            <w:r>
              <w:rPr>
                <w:rFonts w:hint="eastAsia"/>
                <w:sz w:val="18"/>
                <w:szCs w:val="18"/>
              </w:rPr>
              <w:t>对社会保障基金补助</w:t>
            </w:r>
          </w:p>
        </w:tc>
        <w:tc>
          <w:tcPr>
            <w:tcW w:w="882" w:type="dxa"/>
            <w:vMerge w:val="restart"/>
            <w:shd w:val="clear" w:color="auto" w:fill="auto"/>
            <w:vAlign w:val="center"/>
          </w:tcPr>
          <w:p>
            <w:pPr>
              <w:jc w:val="center"/>
              <w:rPr>
                <w:sz w:val="18"/>
                <w:szCs w:val="18"/>
              </w:rPr>
            </w:pPr>
            <w:r>
              <w:rPr>
                <w:rFonts w:hint="eastAsia"/>
                <w:sz w:val="18"/>
                <w:szCs w:val="18"/>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pPr>
              <w:jc w:val="center"/>
              <w:rPr>
                <w:sz w:val="18"/>
                <w:szCs w:val="18"/>
              </w:rPr>
            </w:pPr>
            <w:r>
              <w:rPr>
                <w:rFonts w:hint="eastAsia"/>
                <w:sz w:val="18"/>
                <w:szCs w:val="18"/>
              </w:rPr>
              <w:t>类</w:t>
            </w:r>
          </w:p>
        </w:tc>
        <w:tc>
          <w:tcPr>
            <w:tcW w:w="260" w:type="dxa"/>
            <w:shd w:val="clear" w:color="auto" w:fill="auto"/>
            <w:vAlign w:val="center"/>
          </w:tcPr>
          <w:p>
            <w:pPr>
              <w:jc w:val="center"/>
              <w:rPr>
                <w:sz w:val="18"/>
                <w:szCs w:val="18"/>
              </w:rPr>
            </w:pPr>
            <w:r>
              <w:rPr>
                <w:rFonts w:hint="eastAsia"/>
                <w:sz w:val="18"/>
                <w:szCs w:val="18"/>
              </w:rPr>
              <w:t>款</w:t>
            </w:r>
          </w:p>
        </w:tc>
        <w:tc>
          <w:tcPr>
            <w:tcW w:w="331" w:type="dxa"/>
            <w:shd w:val="clear" w:color="auto" w:fill="auto"/>
            <w:vAlign w:val="center"/>
          </w:tcPr>
          <w:p>
            <w:pPr>
              <w:jc w:val="center"/>
              <w:rPr>
                <w:sz w:val="18"/>
                <w:szCs w:val="18"/>
              </w:rPr>
            </w:pPr>
            <w:r>
              <w:rPr>
                <w:rFonts w:hint="eastAsia"/>
                <w:sz w:val="18"/>
                <w:szCs w:val="18"/>
              </w:rPr>
              <w:t>项</w:t>
            </w:r>
          </w:p>
        </w:tc>
        <w:tc>
          <w:tcPr>
            <w:tcW w:w="2073" w:type="dxa"/>
            <w:vMerge w:val="continue"/>
            <w:shd w:val="clear" w:color="auto" w:fill="auto"/>
            <w:vAlign w:val="center"/>
          </w:tcPr>
          <w:p>
            <w:pPr>
              <w:jc w:val="center"/>
              <w:rPr>
                <w:sz w:val="18"/>
                <w:szCs w:val="18"/>
              </w:rPr>
            </w:pPr>
          </w:p>
        </w:tc>
        <w:tc>
          <w:tcPr>
            <w:tcW w:w="2073"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1" w:type="dxa"/>
            <w:vMerge w:val="continue"/>
            <w:shd w:val="clear" w:color="auto" w:fill="auto"/>
            <w:vAlign w:val="center"/>
          </w:tcPr>
          <w:p>
            <w:pPr>
              <w:jc w:val="center"/>
              <w:rPr>
                <w:sz w:val="18"/>
                <w:szCs w:val="18"/>
              </w:rPr>
            </w:pPr>
          </w:p>
        </w:tc>
        <w:tc>
          <w:tcPr>
            <w:tcW w:w="882" w:type="dxa"/>
            <w:vMerge w:val="continue"/>
            <w:shd w:val="clear" w:color="auto" w:fill="auto"/>
          </w:tcPr>
          <w:p>
            <w:pPr>
              <w:jc w:val="center"/>
              <w:rPr>
                <w:sz w:val="18"/>
                <w:szCs w:val="18"/>
              </w:rPr>
            </w:pPr>
          </w:p>
        </w:tc>
        <w:tc>
          <w:tcPr>
            <w:tcW w:w="783" w:type="dxa"/>
            <w:vMerge w:val="continue"/>
            <w:shd w:val="clear" w:color="auto" w:fill="auto"/>
            <w:vAlign w:val="center"/>
          </w:tcPr>
          <w:p>
            <w:pPr>
              <w:jc w:val="center"/>
              <w:rPr>
                <w:sz w:val="18"/>
                <w:szCs w:val="18"/>
              </w:rPr>
            </w:pPr>
          </w:p>
        </w:tc>
        <w:tc>
          <w:tcPr>
            <w:tcW w:w="981" w:type="dxa"/>
            <w:vMerge w:val="continue"/>
            <w:shd w:val="clear" w:color="auto" w:fill="auto"/>
          </w:tcPr>
          <w:p>
            <w:pPr>
              <w:jc w:val="center"/>
              <w:rPr>
                <w:sz w:val="18"/>
                <w:szCs w:val="18"/>
              </w:rPr>
            </w:pPr>
          </w:p>
        </w:tc>
        <w:tc>
          <w:tcPr>
            <w:tcW w:w="882" w:type="dxa"/>
            <w:vMerge w:val="continue"/>
            <w:shd w:val="clear" w:color="auto" w:fill="auto"/>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呼图壁县财政局</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145.24</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141.64</w:t>
            </w:r>
          </w:p>
        </w:tc>
        <w:tc>
          <w:tcPr>
            <w:tcW w:w="881" w:type="dxa"/>
            <w:shd w:val="clear" w:color="auto" w:fill="auto"/>
            <w:vAlign w:val="center"/>
          </w:tcPr>
          <w:p>
            <w:pPr>
              <w:jc w:val="right"/>
              <w:rPr>
                <w:b/>
                <w:sz w:val="18"/>
                <w:szCs w:val="18"/>
              </w:rPr>
            </w:pPr>
            <w:r>
              <w:rPr>
                <w:rFonts w:hint="default" w:ascii="宋体" w:hAnsi="宋体"/>
                <w:b/>
                <w:kern w:val="0"/>
                <w:sz w:val="13"/>
                <w:szCs w:val="185"/>
              </w:rPr>
              <w:t>3.60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201</w:t>
            </w: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一般公共服务支出</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145.24</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141.64</w:t>
            </w:r>
          </w:p>
        </w:tc>
        <w:tc>
          <w:tcPr>
            <w:tcW w:w="881" w:type="dxa"/>
            <w:shd w:val="clear" w:color="auto" w:fill="auto"/>
            <w:vAlign w:val="center"/>
          </w:tcPr>
          <w:p>
            <w:pPr>
              <w:jc w:val="right"/>
              <w:rPr>
                <w:b/>
                <w:sz w:val="18"/>
                <w:szCs w:val="18"/>
              </w:rPr>
            </w:pPr>
            <w:r>
              <w:rPr>
                <w:rFonts w:hint="default" w:ascii="宋体" w:hAnsi="宋体"/>
                <w:b/>
                <w:kern w:val="0"/>
                <w:sz w:val="13"/>
                <w:szCs w:val="185"/>
              </w:rPr>
              <w:t>3.60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r>
              <w:rPr>
                <w:rFonts w:hint="default" w:ascii="宋体" w:hAnsi="宋体"/>
                <w:b/>
                <w:kern w:val="0"/>
                <w:sz w:val="13"/>
                <w:szCs w:val="13"/>
              </w:rPr>
              <w:t>201</w:t>
            </w:r>
          </w:p>
        </w:tc>
        <w:tc>
          <w:tcPr>
            <w:tcW w:w="260" w:type="dxa"/>
            <w:shd w:val="clear" w:color="auto" w:fill="auto"/>
            <w:vAlign w:val="center"/>
          </w:tcPr>
          <w:p>
            <w:pPr>
              <w:jc w:val="center"/>
              <w:rPr>
                <w:b/>
                <w:sz w:val="18"/>
                <w:szCs w:val="18"/>
              </w:rPr>
            </w:pPr>
            <w:r>
              <w:rPr>
                <w:rFonts w:hint="default" w:ascii="宋体" w:hAnsi="宋体"/>
                <w:b/>
                <w:kern w:val="0"/>
                <w:sz w:val="13"/>
                <w:szCs w:val="13"/>
              </w:rPr>
              <w:t>06</w:t>
            </w: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left"/>
              <w:rPr>
                <w:b/>
                <w:sz w:val="18"/>
                <w:szCs w:val="18"/>
              </w:rPr>
            </w:pPr>
            <w:r>
              <w:rPr>
                <w:rFonts w:hint="default" w:ascii="宋体" w:hAnsi="宋体"/>
                <w:b/>
                <w:kern w:val="0"/>
                <w:sz w:val="13"/>
                <w:szCs w:val="13"/>
              </w:rPr>
              <w:t xml:space="preserve">    财政事务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145.24</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141.64</w:t>
            </w:r>
          </w:p>
        </w:tc>
        <w:tc>
          <w:tcPr>
            <w:tcW w:w="881" w:type="dxa"/>
            <w:shd w:val="clear" w:color="auto" w:fill="auto"/>
            <w:vAlign w:val="center"/>
          </w:tcPr>
          <w:p>
            <w:pPr>
              <w:jc w:val="right"/>
              <w:rPr>
                <w:b/>
                <w:sz w:val="18"/>
                <w:szCs w:val="18"/>
              </w:rPr>
            </w:pPr>
            <w:r>
              <w:rPr>
                <w:rFonts w:hint="default" w:ascii="宋体" w:hAnsi="宋体"/>
                <w:b/>
                <w:kern w:val="0"/>
                <w:sz w:val="13"/>
                <w:szCs w:val="185"/>
              </w:rPr>
              <w:t>3.60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201</w:t>
            </w:r>
          </w:p>
        </w:tc>
        <w:tc>
          <w:tcPr>
            <w:tcW w:w="260" w:type="dxa"/>
            <w:shd w:val="clear" w:color="auto" w:fill="auto"/>
            <w:vAlign w:val="center"/>
          </w:tcPr>
          <w:p>
            <w:pPr>
              <w:jc w:val="center"/>
              <w:rPr>
                <w:sz w:val="18"/>
                <w:szCs w:val="18"/>
              </w:rPr>
            </w:pPr>
            <w:r>
              <w:rPr>
                <w:rFonts w:hint="default" w:ascii="宋体" w:hAnsi="宋体"/>
                <w:kern w:val="0"/>
                <w:sz w:val="13"/>
                <w:szCs w:val="13"/>
              </w:rPr>
              <w:t>06</w:t>
            </w:r>
          </w:p>
        </w:tc>
        <w:tc>
          <w:tcPr>
            <w:tcW w:w="331" w:type="dxa"/>
            <w:shd w:val="clear" w:color="auto" w:fill="auto"/>
            <w:vAlign w:val="center"/>
          </w:tcPr>
          <w:p>
            <w:pPr>
              <w:jc w:val="center"/>
              <w:rPr>
                <w:sz w:val="18"/>
                <w:szCs w:val="18"/>
              </w:rPr>
            </w:pPr>
            <w:r>
              <w:rPr>
                <w:rFonts w:hint="default" w:ascii="宋体" w:hAnsi="宋体"/>
                <w:kern w:val="0"/>
                <w:sz w:val="13"/>
                <w:szCs w:val="13"/>
              </w:rPr>
              <w:t>02</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一般行政管理事务</w:t>
            </w:r>
          </w:p>
        </w:tc>
        <w:tc>
          <w:tcPr>
            <w:tcW w:w="2073" w:type="dxa"/>
            <w:shd w:val="clear" w:color="auto" w:fill="auto"/>
            <w:vAlign w:val="center"/>
          </w:tcPr>
          <w:p>
            <w:pPr>
              <w:jc w:val="left"/>
              <w:rPr>
                <w:sz w:val="18"/>
                <w:szCs w:val="18"/>
              </w:rPr>
            </w:pPr>
            <w:r>
              <w:rPr>
                <w:rFonts w:hint="default" w:ascii="宋体" w:hAnsi="宋体"/>
                <w:kern w:val="0"/>
                <w:sz w:val="13"/>
                <w:szCs w:val="13"/>
              </w:rPr>
              <w:t>2026年支付各类其他刚性资金</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20.88</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17.28</w:t>
            </w:r>
          </w:p>
        </w:tc>
        <w:tc>
          <w:tcPr>
            <w:tcW w:w="881" w:type="dxa"/>
            <w:shd w:val="clear" w:color="auto" w:fill="auto"/>
            <w:vAlign w:val="center"/>
          </w:tcPr>
          <w:p>
            <w:pPr>
              <w:jc w:val="right"/>
              <w:rPr>
                <w:sz w:val="18"/>
                <w:szCs w:val="18"/>
              </w:rPr>
            </w:pPr>
            <w:r>
              <w:rPr>
                <w:rFonts w:hint="default" w:ascii="宋体" w:hAnsi="宋体"/>
                <w:kern w:val="0"/>
                <w:sz w:val="13"/>
                <w:szCs w:val="185"/>
              </w:rPr>
              <w:t>3.60</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sz w:val="18"/>
                <w:szCs w:val="18"/>
              </w:rPr>
            </w:pPr>
            <w:r>
              <w:rPr>
                <w:rFonts w:hint="default" w:ascii="宋体" w:hAnsi="宋体"/>
                <w:kern w:val="0"/>
                <w:sz w:val="13"/>
                <w:szCs w:val="13"/>
              </w:rPr>
              <w:t>201</w:t>
            </w:r>
          </w:p>
        </w:tc>
        <w:tc>
          <w:tcPr>
            <w:tcW w:w="260" w:type="dxa"/>
            <w:shd w:val="clear" w:color="auto" w:fill="auto"/>
            <w:vAlign w:val="center"/>
          </w:tcPr>
          <w:p>
            <w:pPr>
              <w:jc w:val="center"/>
              <w:rPr>
                <w:sz w:val="18"/>
                <w:szCs w:val="18"/>
              </w:rPr>
            </w:pPr>
            <w:r>
              <w:rPr>
                <w:rFonts w:hint="default" w:ascii="宋体" w:hAnsi="宋体"/>
                <w:kern w:val="0"/>
                <w:sz w:val="13"/>
                <w:szCs w:val="13"/>
              </w:rPr>
              <w:t>06</w:t>
            </w:r>
          </w:p>
        </w:tc>
        <w:tc>
          <w:tcPr>
            <w:tcW w:w="331" w:type="dxa"/>
            <w:shd w:val="clear" w:color="auto" w:fill="auto"/>
            <w:vAlign w:val="center"/>
          </w:tcPr>
          <w:p>
            <w:pPr>
              <w:jc w:val="center"/>
              <w:rPr>
                <w:sz w:val="18"/>
                <w:szCs w:val="18"/>
              </w:rPr>
            </w:pPr>
            <w:r>
              <w:rPr>
                <w:rFonts w:hint="default" w:ascii="宋体" w:hAnsi="宋体"/>
                <w:kern w:val="0"/>
                <w:sz w:val="13"/>
                <w:szCs w:val="13"/>
              </w:rPr>
              <w:t>02</w:t>
            </w:r>
          </w:p>
        </w:tc>
        <w:tc>
          <w:tcPr>
            <w:tcW w:w="2073" w:type="dxa"/>
            <w:shd w:val="clear" w:color="auto" w:fill="auto"/>
            <w:vAlign w:val="center"/>
          </w:tcPr>
          <w:p>
            <w:pPr>
              <w:jc w:val="left"/>
              <w:rPr>
                <w:sz w:val="18"/>
                <w:szCs w:val="18"/>
              </w:rPr>
            </w:pPr>
            <w:r>
              <w:rPr>
                <w:rFonts w:hint="default" w:ascii="宋体" w:hAnsi="宋体"/>
                <w:kern w:val="0"/>
                <w:sz w:val="13"/>
                <w:szCs w:val="13"/>
              </w:rPr>
              <w:t xml:space="preserve">      一般行政管理事务</w:t>
            </w:r>
          </w:p>
        </w:tc>
        <w:tc>
          <w:tcPr>
            <w:tcW w:w="2073" w:type="dxa"/>
            <w:shd w:val="clear" w:color="auto" w:fill="auto"/>
            <w:vAlign w:val="center"/>
          </w:tcPr>
          <w:p>
            <w:pPr>
              <w:jc w:val="left"/>
              <w:rPr>
                <w:sz w:val="18"/>
                <w:szCs w:val="18"/>
              </w:rPr>
            </w:pPr>
            <w:r>
              <w:rPr>
                <w:rFonts w:hint="default" w:ascii="宋体" w:hAnsi="宋体"/>
                <w:kern w:val="0"/>
                <w:sz w:val="13"/>
                <w:szCs w:val="13"/>
              </w:rPr>
              <w:t>财政预算管理系统等软件运行使用费（非定额）</w:t>
            </w:r>
          </w:p>
        </w:tc>
        <w:tc>
          <w:tcPr>
            <w:tcW w:w="881" w:type="dxa"/>
            <w:shd w:val="clear" w:color="auto" w:fill="auto"/>
            <w:vAlign w:val="center"/>
          </w:tcPr>
          <w:p>
            <w:pPr>
              <w:ind w:right="-29" w:rightChars="-14"/>
              <w:jc w:val="right"/>
              <w:rPr>
                <w:sz w:val="18"/>
                <w:szCs w:val="18"/>
              </w:rPr>
            </w:pPr>
            <w:r>
              <w:rPr>
                <w:rFonts w:hint="default" w:ascii="宋体" w:hAnsi="宋体"/>
                <w:kern w:val="0"/>
                <w:sz w:val="13"/>
                <w:szCs w:val="13"/>
              </w:rPr>
              <w:t>124.36</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r>
              <w:rPr>
                <w:rFonts w:hint="default" w:ascii="宋体" w:hAnsi="宋体"/>
                <w:kern w:val="0"/>
                <w:sz w:val="13"/>
                <w:szCs w:val="13"/>
              </w:rPr>
              <w:t>124.36</w:t>
            </w: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c>
          <w:tcPr>
            <w:tcW w:w="783" w:type="dxa"/>
            <w:shd w:val="clear" w:color="auto" w:fill="auto"/>
            <w:vAlign w:val="center"/>
          </w:tcPr>
          <w:p>
            <w:pPr>
              <w:jc w:val="right"/>
              <w:rPr>
                <w:sz w:val="18"/>
                <w:szCs w:val="18"/>
              </w:rPr>
            </w:pPr>
          </w:p>
        </w:tc>
        <w:tc>
          <w:tcPr>
            <w:tcW w:w="981" w:type="dxa"/>
            <w:shd w:val="clear" w:color="auto" w:fill="auto"/>
            <w:vAlign w:val="center"/>
          </w:tcPr>
          <w:p>
            <w:pPr>
              <w:jc w:val="right"/>
              <w:rPr>
                <w:sz w:val="18"/>
                <w:szCs w:val="18"/>
              </w:rPr>
            </w:pPr>
          </w:p>
        </w:tc>
        <w:tc>
          <w:tcPr>
            <w:tcW w:w="882"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pPr>
              <w:jc w:val="center"/>
              <w:rPr>
                <w:b/>
                <w:sz w:val="18"/>
                <w:szCs w:val="18"/>
              </w:rPr>
            </w:pPr>
          </w:p>
        </w:tc>
        <w:tc>
          <w:tcPr>
            <w:tcW w:w="260" w:type="dxa"/>
            <w:shd w:val="clear" w:color="auto" w:fill="auto"/>
            <w:vAlign w:val="center"/>
          </w:tcPr>
          <w:p>
            <w:pPr>
              <w:jc w:val="center"/>
              <w:rPr>
                <w:b/>
                <w:sz w:val="18"/>
                <w:szCs w:val="18"/>
              </w:rPr>
            </w:pPr>
          </w:p>
        </w:tc>
        <w:tc>
          <w:tcPr>
            <w:tcW w:w="331" w:type="dxa"/>
            <w:shd w:val="clear" w:color="auto" w:fill="auto"/>
            <w:vAlign w:val="center"/>
          </w:tcPr>
          <w:p>
            <w:pPr>
              <w:jc w:val="center"/>
              <w:rPr>
                <w:b/>
                <w:sz w:val="18"/>
                <w:szCs w:val="18"/>
              </w:rPr>
            </w:pPr>
          </w:p>
        </w:tc>
        <w:tc>
          <w:tcPr>
            <w:tcW w:w="2073" w:type="dxa"/>
            <w:shd w:val="clear" w:color="auto" w:fill="auto"/>
            <w:vAlign w:val="center"/>
          </w:tcPr>
          <w:p>
            <w:pPr>
              <w:jc w:val="center"/>
              <w:rPr>
                <w:b/>
                <w:sz w:val="18"/>
                <w:szCs w:val="18"/>
              </w:rPr>
            </w:pPr>
            <w:r>
              <w:rPr>
                <w:rFonts w:hint="default" w:ascii="宋体" w:hAnsi="宋体"/>
                <w:b/>
                <w:kern w:val="0"/>
                <w:sz w:val="13"/>
                <w:szCs w:val="13"/>
              </w:rPr>
              <w:t>总计</w:t>
            </w:r>
          </w:p>
        </w:tc>
        <w:tc>
          <w:tcPr>
            <w:tcW w:w="2073" w:type="dxa"/>
            <w:shd w:val="clear" w:color="auto" w:fill="auto"/>
            <w:vAlign w:val="center"/>
          </w:tcPr>
          <w:p>
            <w:pPr>
              <w:jc w:val="left"/>
              <w:rPr>
                <w:b/>
                <w:sz w:val="18"/>
                <w:szCs w:val="18"/>
              </w:rPr>
            </w:pPr>
          </w:p>
        </w:tc>
        <w:tc>
          <w:tcPr>
            <w:tcW w:w="881" w:type="dxa"/>
            <w:shd w:val="clear" w:color="auto" w:fill="auto"/>
            <w:vAlign w:val="center"/>
          </w:tcPr>
          <w:p>
            <w:pPr>
              <w:ind w:right="-29" w:rightChars="-14"/>
              <w:jc w:val="right"/>
              <w:rPr>
                <w:b/>
                <w:sz w:val="18"/>
                <w:szCs w:val="18"/>
              </w:rPr>
            </w:pPr>
            <w:r>
              <w:rPr>
                <w:rFonts w:hint="default" w:ascii="宋体" w:hAnsi="宋体"/>
                <w:b/>
                <w:kern w:val="0"/>
                <w:sz w:val="13"/>
                <w:szCs w:val="13"/>
              </w:rPr>
              <w:t>145.24</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r>
              <w:rPr>
                <w:rFonts w:hint="default" w:ascii="宋体" w:hAnsi="宋体"/>
                <w:b/>
                <w:kern w:val="0"/>
                <w:sz w:val="13"/>
                <w:szCs w:val="13"/>
              </w:rPr>
              <w:t>141.64</w:t>
            </w:r>
          </w:p>
        </w:tc>
        <w:tc>
          <w:tcPr>
            <w:tcW w:w="881" w:type="dxa"/>
            <w:shd w:val="clear" w:color="auto" w:fill="auto"/>
            <w:vAlign w:val="center"/>
          </w:tcPr>
          <w:p>
            <w:pPr>
              <w:jc w:val="right"/>
              <w:rPr>
                <w:b/>
                <w:sz w:val="18"/>
                <w:szCs w:val="18"/>
              </w:rPr>
            </w:pPr>
            <w:r>
              <w:rPr>
                <w:rFonts w:hint="default" w:ascii="宋体" w:hAnsi="宋体"/>
                <w:b/>
                <w:kern w:val="0"/>
                <w:sz w:val="13"/>
                <w:szCs w:val="185"/>
              </w:rPr>
              <w:t>3.60</w:t>
            </w: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c>
          <w:tcPr>
            <w:tcW w:w="783" w:type="dxa"/>
            <w:shd w:val="clear" w:color="auto" w:fill="auto"/>
            <w:vAlign w:val="center"/>
          </w:tcPr>
          <w:p>
            <w:pPr>
              <w:jc w:val="right"/>
              <w:rPr>
                <w:b/>
                <w:sz w:val="18"/>
                <w:szCs w:val="18"/>
              </w:rPr>
            </w:pPr>
          </w:p>
        </w:tc>
        <w:tc>
          <w:tcPr>
            <w:tcW w:w="981" w:type="dxa"/>
            <w:shd w:val="clear" w:color="auto" w:fill="auto"/>
            <w:vAlign w:val="center"/>
          </w:tcPr>
          <w:p>
            <w:pPr>
              <w:jc w:val="right"/>
              <w:rPr>
                <w:b/>
                <w:sz w:val="18"/>
                <w:szCs w:val="18"/>
              </w:rPr>
            </w:pPr>
          </w:p>
        </w:tc>
        <w:tc>
          <w:tcPr>
            <w:tcW w:w="882"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r>
        <w:rPr>
          <w:rFonts w:hint="eastAsia" w:ascii="宋体" w:hAnsi="宋体"/>
          <w:color w:val="000000"/>
          <w:sz w:val="18"/>
          <w:szCs w:val="18"/>
        </w:rPr>
        <w:t>表8</w:t>
      </w:r>
    </w:p>
    <w:p>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编制部门：呼图壁县财政局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呼图壁县财政局2026年没有使用政府性基金预算拨款安排的支出，政府性基金预算支出情况表为空表。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表9</w:t>
      </w:r>
    </w:p>
    <w:p>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8"/>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pPr>
              <w:jc w:val="left"/>
              <w:rPr>
                <w:sz w:val="18"/>
                <w:szCs w:val="18"/>
              </w:rPr>
            </w:pPr>
            <w:r>
              <w:rPr>
                <w:rFonts w:hint="eastAsia"/>
                <w:color w:val="000000"/>
                <w:sz w:val="18"/>
                <w:szCs w:val="18"/>
              </w:rPr>
              <w:t>编制部门：呼图壁县财政局</w:t>
            </w:r>
          </w:p>
        </w:tc>
        <w:tc>
          <w:tcPr>
            <w:tcW w:w="1918" w:type="dxa"/>
            <w:gridSpan w:val="2"/>
            <w:tcBorders>
              <w:top w:val="nil"/>
              <w:left w:val="nil"/>
              <w:right w:val="nil"/>
            </w:tcBorders>
            <w:shd w:val="clear" w:color="auto" w:fill="auto"/>
            <w:vAlign w:val="center"/>
          </w:tcPr>
          <w:p>
            <w:pPr>
              <w:jc w:val="right"/>
              <w:rPr>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pPr>
              <w:jc w:val="center"/>
              <w:rPr>
                <w:sz w:val="18"/>
                <w:szCs w:val="18"/>
              </w:rPr>
            </w:pPr>
            <w:r>
              <w:rPr>
                <w:rFonts w:hint="eastAsia"/>
                <w:sz w:val="18"/>
                <w:szCs w:val="18"/>
              </w:rPr>
              <w:t>科目</w:t>
            </w:r>
          </w:p>
        </w:tc>
        <w:tc>
          <w:tcPr>
            <w:tcW w:w="5670" w:type="dxa"/>
            <w:gridSpan w:val="5"/>
            <w:shd w:val="clear" w:color="auto" w:fill="auto"/>
            <w:vAlign w:val="center"/>
          </w:tcPr>
          <w:p>
            <w:pPr>
              <w:jc w:val="center"/>
              <w:rPr>
                <w:sz w:val="18"/>
                <w:szCs w:val="18"/>
              </w:rPr>
            </w:pPr>
            <w:r>
              <w:rPr>
                <w:rFonts w:hint="eastAsia"/>
                <w:sz w:val="18"/>
                <w:szCs w:val="18"/>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pPr>
              <w:jc w:val="center"/>
              <w:rPr>
                <w:sz w:val="18"/>
                <w:szCs w:val="18"/>
              </w:rPr>
            </w:pPr>
            <w:r>
              <w:rPr>
                <w:rFonts w:hint="eastAsia"/>
                <w:sz w:val="18"/>
                <w:szCs w:val="18"/>
              </w:rPr>
              <w:t>科目代码</w:t>
            </w:r>
          </w:p>
        </w:tc>
        <w:tc>
          <w:tcPr>
            <w:tcW w:w="2551" w:type="dxa"/>
            <w:vMerge w:val="restart"/>
            <w:shd w:val="clear" w:color="auto" w:fill="auto"/>
            <w:vAlign w:val="center"/>
          </w:tcPr>
          <w:p>
            <w:pPr>
              <w:jc w:val="center"/>
              <w:rPr>
                <w:sz w:val="18"/>
                <w:szCs w:val="18"/>
              </w:rPr>
            </w:pPr>
            <w:r>
              <w:rPr>
                <w:rFonts w:hint="eastAsia"/>
                <w:sz w:val="18"/>
                <w:szCs w:val="18"/>
              </w:rPr>
              <w:t>科目名称</w:t>
            </w:r>
          </w:p>
        </w:tc>
        <w:tc>
          <w:tcPr>
            <w:tcW w:w="1418" w:type="dxa"/>
            <w:vMerge w:val="restart"/>
            <w:shd w:val="clear" w:color="auto" w:fill="auto"/>
            <w:vAlign w:val="center"/>
          </w:tcPr>
          <w:p>
            <w:pPr>
              <w:jc w:val="center"/>
              <w:rPr>
                <w:sz w:val="18"/>
                <w:szCs w:val="18"/>
              </w:rPr>
            </w:pPr>
            <w:r>
              <w:rPr>
                <w:rFonts w:hint="eastAsia"/>
                <w:sz w:val="18"/>
                <w:szCs w:val="18"/>
              </w:rPr>
              <w:t>合计</w:t>
            </w:r>
          </w:p>
        </w:tc>
        <w:tc>
          <w:tcPr>
            <w:tcW w:w="2835" w:type="dxa"/>
            <w:gridSpan w:val="3"/>
            <w:shd w:val="clear" w:color="auto" w:fill="auto"/>
            <w:vAlign w:val="center"/>
          </w:tcPr>
          <w:p>
            <w:pPr>
              <w:jc w:val="center"/>
              <w:rPr>
                <w:sz w:val="18"/>
                <w:szCs w:val="18"/>
              </w:rPr>
            </w:pPr>
            <w:r>
              <w:rPr>
                <w:rFonts w:hint="eastAsia"/>
                <w:sz w:val="18"/>
                <w:szCs w:val="18"/>
              </w:rPr>
              <w:t>基本支出</w:t>
            </w:r>
          </w:p>
        </w:tc>
        <w:tc>
          <w:tcPr>
            <w:tcW w:w="141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pPr>
              <w:jc w:val="center"/>
              <w:rPr>
                <w:sz w:val="18"/>
                <w:szCs w:val="18"/>
              </w:rPr>
            </w:pPr>
            <w:r>
              <w:rPr>
                <w:rFonts w:hint="eastAsia"/>
                <w:sz w:val="18"/>
                <w:szCs w:val="18"/>
              </w:rPr>
              <w:t>类</w:t>
            </w:r>
          </w:p>
        </w:tc>
        <w:tc>
          <w:tcPr>
            <w:tcW w:w="567" w:type="dxa"/>
            <w:shd w:val="clear" w:color="auto" w:fill="auto"/>
            <w:vAlign w:val="center"/>
          </w:tcPr>
          <w:p>
            <w:pPr>
              <w:jc w:val="center"/>
              <w:rPr>
                <w:sz w:val="18"/>
                <w:szCs w:val="18"/>
              </w:rPr>
            </w:pPr>
            <w:r>
              <w:rPr>
                <w:rFonts w:hint="eastAsia"/>
                <w:sz w:val="18"/>
                <w:szCs w:val="18"/>
              </w:rPr>
              <w:t>款</w:t>
            </w:r>
          </w:p>
        </w:tc>
        <w:tc>
          <w:tcPr>
            <w:tcW w:w="567" w:type="dxa"/>
            <w:shd w:val="clear" w:color="auto" w:fill="auto"/>
            <w:vAlign w:val="center"/>
          </w:tcPr>
          <w:p>
            <w:pPr>
              <w:jc w:val="center"/>
              <w:rPr>
                <w:sz w:val="18"/>
                <w:szCs w:val="18"/>
              </w:rPr>
            </w:pPr>
            <w:r>
              <w:rPr>
                <w:rFonts w:hint="eastAsia"/>
                <w:sz w:val="18"/>
                <w:szCs w:val="18"/>
              </w:rPr>
              <w:t>项</w:t>
            </w:r>
          </w:p>
        </w:tc>
        <w:tc>
          <w:tcPr>
            <w:tcW w:w="2551" w:type="dxa"/>
            <w:vMerge w:val="continue"/>
            <w:shd w:val="clear" w:color="auto" w:fill="auto"/>
            <w:vAlign w:val="center"/>
          </w:tcPr>
          <w:p>
            <w:pPr>
              <w:jc w:val="center"/>
              <w:rPr>
                <w:sz w:val="18"/>
                <w:szCs w:val="18"/>
              </w:rPr>
            </w:pPr>
          </w:p>
        </w:tc>
        <w:tc>
          <w:tcPr>
            <w:tcW w:w="1418" w:type="dxa"/>
            <w:vMerge w:val="continue"/>
            <w:shd w:val="clear" w:color="auto" w:fill="auto"/>
            <w:vAlign w:val="center"/>
          </w:tcPr>
          <w:p>
            <w:pPr>
              <w:jc w:val="center"/>
              <w:rPr>
                <w:sz w:val="18"/>
                <w:szCs w:val="18"/>
              </w:rPr>
            </w:pPr>
          </w:p>
        </w:tc>
        <w:tc>
          <w:tcPr>
            <w:tcW w:w="1417" w:type="dxa"/>
            <w:shd w:val="clear" w:color="auto" w:fill="auto"/>
            <w:vAlign w:val="center"/>
          </w:tcPr>
          <w:p>
            <w:pPr>
              <w:jc w:val="center"/>
              <w:rPr>
                <w:sz w:val="18"/>
                <w:szCs w:val="18"/>
              </w:rPr>
            </w:pPr>
            <w:r>
              <w:rPr>
                <w:rFonts w:hint="eastAsia"/>
                <w:sz w:val="18"/>
                <w:szCs w:val="18"/>
              </w:rPr>
              <w:t>人员经费</w:t>
            </w:r>
          </w:p>
        </w:tc>
        <w:tc>
          <w:tcPr>
            <w:tcW w:w="1418" w:type="dxa"/>
            <w:gridSpan w:val="2"/>
            <w:shd w:val="clear" w:color="auto" w:fill="auto"/>
            <w:vAlign w:val="center"/>
          </w:tcPr>
          <w:p>
            <w:pPr>
              <w:jc w:val="center"/>
              <w:rPr>
                <w:sz w:val="18"/>
                <w:szCs w:val="18"/>
              </w:rPr>
            </w:pPr>
            <w:r>
              <w:rPr>
                <w:rFonts w:hint="eastAsia"/>
                <w:sz w:val="18"/>
                <w:szCs w:val="18"/>
              </w:rPr>
              <w:t>公用经费</w:t>
            </w:r>
          </w:p>
        </w:tc>
        <w:tc>
          <w:tcPr>
            <w:tcW w:w="141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567" w:type="dxa"/>
            <w:shd w:val="clear" w:color="auto" w:fill="auto"/>
            <w:vAlign w:val="center"/>
          </w:tcPr>
          <w:p>
            <w:pPr>
              <w:jc w:val="center"/>
              <w:rPr>
                <w:sz w:val="18"/>
                <w:szCs w:val="18"/>
              </w:rPr>
            </w:pPr>
          </w:p>
        </w:tc>
        <w:tc>
          <w:tcPr>
            <w:tcW w:w="2551" w:type="dxa"/>
            <w:shd w:val="clear" w:color="auto" w:fill="auto"/>
            <w:vAlign w:val="center"/>
          </w:tcPr>
          <w:p>
            <w:pPr>
              <w:jc w:val="left"/>
              <w:rPr>
                <w:sz w:val="18"/>
                <w:szCs w:val="18"/>
              </w:rPr>
            </w:pPr>
          </w:p>
        </w:tc>
        <w:tc>
          <w:tcPr>
            <w:tcW w:w="1418" w:type="dxa"/>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c>
          <w:tcPr>
            <w:tcW w:w="1418" w:type="dxa"/>
            <w:gridSpan w:val="2"/>
            <w:shd w:val="clear" w:color="auto" w:fill="auto"/>
            <w:vAlign w:val="center"/>
          </w:tcPr>
          <w:p>
            <w:pPr>
              <w:jc w:val="right"/>
              <w:rPr>
                <w:sz w:val="18"/>
                <w:szCs w:val="18"/>
              </w:rPr>
            </w:pPr>
          </w:p>
        </w:tc>
        <w:tc>
          <w:tcPr>
            <w:tcW w:w="1417" w:type="dxa"/>
            <w:shd w:val="clear" w:color="auto" w:fill="auto"/>
            <w:vAlign w:val="center"/>
          </w:tcPr>
          <w:p>
            <w:pPr>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567" w:type="dxa"/>
            <w:shd w:val="clear" w:color="auto" w:fill="auto"/>
            <w:vAlign w:val="center"/>
          </w:tcPr>
          <w:p>
            <w:pPr>
              <w:jc w:val="center"/>
              <w:rPr>
                <w:b/>
                <w:sz w:val="18"/>
                <w:szCs w:val="18"/>
              </w:rPr>
            </w:pPr>
          </w:p>
        </w:tc>
        <w:tc>
          <w:tcPr>
            <w:tcW w:w="2551" w:type="dxa"/>
            <w:shd w:val="clear" w:color="auto" w:fill="auto"/>
            <w:vAlign w:val="center"/>
          </w:tcPr>
          <w:p>
            <w:pPr>
              <w:jc w:val="center"/>
              <w:rPr>
                <w:b/>
                <w:sz w:val="18"/>
                <w:szCs w:val="18"/>
              </w:rPr>
            </w:pPr>
            <w:r>
              <w:rPr>
                <w:rFonts w:hint="default" w:ascii="宋体" w:hAnsi="宋体"/>
                <w:b/>
                <w:kern w:val="0"/>
                <w:sz w:val="18"/>
                <w:szCs w:val="18"/>
              </w:rPr>
              <w:t>总计</w:t>
            </w:r>
          </w:p>
        </w:tc>
        <w:tc>
          <w:tcPr>
            <w:tcW w:w="1418" w:type="dxa"/>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c>
          <w:tcPr>
            <w:tcW w:w="1418" w:type="dxa"/>
            <w:gridSpan w:val="2"/>
            <w:shd w:val="clear" w:color="auto" w:fill="auto"/>
            <w:vAlign w:val="center"/>
          </w:tcPr>
          <w:p>
            <w:pPr>
              <w:jc w:val="right"/>
              <w:rPr>
                <w:b/>
                <w:sz w:val="18"/>
                <w:szCs w:val="18"/>
              </w:rPr>
            </w:pPr>
          </w:p>
        </w:tc>
        <w:tc>
          <w:tcPr>
            <w:tcW w:w="1417" w:type="dxa"/>
            <w:shd w:val="clear" w:color="auto" w:fill="auto"/>
            <w:vAlign w:val="center"/>
          </w:tcPr>
          <w:p>
            <w:pPr>
              <w:jc w:val="right"/>
              <w:rPr>
                <w:b/>
                <w:sz w:val="18"/>
                <w:szCs w:val="18"/>
              </w:rPr>
            </w:pPr>
          </w:p>
        </w:tc>
      </w:tr>
    </w:tbl>
    <w:p>
      <w:pPr>
        <w:widowControl/>
        <w:jc w:val="left"/>
        <w:rPr>
          <w:rFonts w:hint="default" w:ascii="仿宋" w:eastAsia="仿宋"/>
          <w:b/>
          <w:color w:val="000000"/>
          <w:szCs w:val="21"/>
        </w:rPr>
      </w:pPr>
      <w:r>
        <w:rPr>
          <w:rFonts w:hint="eastAsia" w:ascii="仿宋" w:eastAsia="仿宋"/>
          <w:b/>
          <w:color w:val="000000"/>
          <w:szCs w:val="21"/>
        </w:rPr>
        <w:t>呼图壁县财政局2026年没有使用国有资本经营预算拨款安排的支出，国有资本经营预算支出情况表为空表。</w:t>
      </w:r>
    </w:p>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表10</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8"/>
        <w:tblW w:w="9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227"/>
        <w:gridCol w:w="1375"/>
        <w:gridCol w:w="1375"/>
        <w:gridCol w:w="1374"/>
        <w:gridCol w:w="13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51"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编制部门：呼图壁县财政局</w:t>
            </w:r>
          </w:p>
        </w:tc>
        <w:tc>
          <w:tcPr>
            <w:tcW w:w="1374"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227"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375"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4123"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227" w:type="dxa"/>
            <w:vMerge w:val="continue"/>
            <w:shd w:val="clear" w:color="auto" w:fill="auto"/>
            <w:vAlign w:val="center"/>
          </w:tcPr>
          <w:p>
            <w:pPr>
              <w:jc w:val="center"/>
              <w:rPr>
                <w:rFonts w:hint="default" w:ascii="宋体" w:hAnsi="宋体"/>
                <w:color w:val="000000"/>
                <w:sz w:val="18"/>
                <w:szCs w:val="18"/>
              </w:rPr>
            </w:pPr>
          </w:p>
        </w:tc>
        <w:tc>
          <w:tcPr>
            <w:tcW w:w="1375" w:type="dxa"/>
            <w:vMerge w:val="continue"/>
            <w:shd w:val="clear" w:color="auto" w:fill="auto"/>
            <w:vAlign w:val="center"/>
          </w:tcPr>
          <w:p>
            <w:pPr>
              <w:jc w:val="center"/>
              <w:rPr>
                <w:rFonts w:hint="default" w:ascii="宋体" w:hAnsi="宋体"/>
                <w:color w:val="000000"/>
                <w:sz w:val="18"/>
                <w:szCs w:val="18"/>
              </w:rPr>
            </w:pPr>
          </w:p>
        </w:tc>
        <w:tc>
          <w:tcPr>
            <w:tcW w:w="1375"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374"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374"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因公出国（境）费用</w:t>
            </w:r>
          </w:p>
        </w:tc>
        <w:tc>
          <w:tcPr>
            <w:tcW w:w="1375" w:type="dxa"/>
            <w:shd w:val="clear" w:color="auto" w:fill="auto"/>
            <w:vAlign w:val="center"/>
          </w:tcPr>
          <w:p>
            <w:pPr>
              <w:jc w:val="right"/>
              <w:rPr>
                <w:rFonts w:hint="default" w:ascii="宋体" w:hAnsi="宋体"/>
                <w:color w:val="000000"/>
                <w:sz w:val="18"/>
                <w:szCs w:val="18"/>
              </w:rPr>
            </w:pPr>
          </w:p>
        </w:tc>
        <w:tc>
          <w:tcPr>
            <w:tcW w:w="1375"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公务接待费</w:t>
            </w:r>
          </w:p>
        </w:tc>
        <w:tc>
          <w:tcPr>
            <w:tcW w:w="1375" w:type="dxa"/>
            <w:shd w:val="clear" w:color="auto" w:fill="auto"/>
            <w:vAlign w:val="center"/>
          </w:tcPr>
          <w:p>
            <w:pPr>
              <w:jc w:val="right"/>
              <w:rPr>
                <w:rFonts w:hint="default" w:ascii="宋体" w:hAnsi="宋体"/>
                <w:color w:val="000000"/>
                <w:sz w:val="18"/>
                <w:szCs w:val="18"/>
              </w:rPr>
            </w:pPr>
          </w:p>
        </w:tc>
        <w:tc>
          <w:tcPr>
            <w:tcW w:w="1375"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公务用车购置及运行维护费（小计）</w:t>
            </w:r>
          </w:p>
        </w:tc>
        <w:tc>
          <w:tcPr>
            <w:tcW w:w="1375"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4.80</w:t>
            </w:r>
          </w:p>
        </w:tc>
        <w:tc>
          <w:tcPr>
            <w:tcW w:w="1375"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4.80</w:t>
            </w: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其中：公务用车购置</w:t>
            </w:r>
          </w:p>
        </w:tc>
        <w:tc>
          <w:tcPr>
            <w:tcW w:w="1375" w:type="dxa"/>
            <w:shd w:val="clear" w:color="auto" w:fill="auto"/>
            <w:vAlign w:val="center"/>
          </w:tcPr>
          <w:p>
            <w:pPr>
              <w:jc w:val="right"/>
              <w:rPr>
                <w:rFonts w:hint="default" w:ascii="宋体" w:hAnsi="宋体"/>
                <w:color w:val="000000"/>
                <w:sz w:val="18"/>
                <w:szCs w:val="18"/>
              </w:rPr>
            </w:pPr>
          </w:p>
        </w:tc>
        <w:tc>
          <w:tcPr>
            <w:tcW w:w="1375"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kern w:val="0"/>
                <w:sz w:val="18"/>
                <w:szCs w:val="18"/>
              </w:rPr>
              <w:t xml:space="preserve">      公务用车运行维护费</w:t>
            </w:r>
          </w:p>
        </w:tc>
        <w:tc>
          <w:tcPr>
            <w:tcW w:w="1375"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4.80</w:t>
            </w:r>
          </w:p>
        </w:tc>
        <w:tc>
          <w:tcPr>
            <w:tcW w:w="1375"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4.80</w:t>
            </w: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227" w:type="dxa"/>
            <w:shd w:val="clear" w:color="auto" w:fill="auto"/>
            <w:vAlign w:val="center"/>
          </w:tcPr>
          <w:p>
            <w:pPr>
              <w:jc w:val="center"/>
              <w:rPr>
                <w:rFonts w:hint="default" w:ascii="宋体" w:hAnsi="宋体"/>
                <w:color w:val="000000"/>
                <w:sz w:val="18"/>
                <w:szCs w:val="18"/>
              </w:rPr>
            </w:pPr>
            <w:r>
              <w:rPr>
                <w:rFonts w:hint="default" w:ascii="宋体" w:hAnsi="宋体"/>
                <w:b/>
                <w:kern w:val="0"/>
                <w:sz w:val="18"/>
                <w:szCs w:val="18"/>
              </w:rPr>
              <w:t>总计</w:t>
            </w:r>
          </w:p>
        </w:tc>
        <w:tc>
          <w:tcPr>
            <w:tcW w:w="1375"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4.80</w:t>
            </w:r>
          </w:p>
        </w:tc>
        <w:tc>
          <w:tcPr>
            <w:tcW w:w="1375" w:type="dxa"/>
            <w:shd w:val="clear" w:color="auto" w:fill="auto"/>
            <w:vAlign w:val="center"/>
          </w:tcPr>
          <w:p>
            <w:pPr>
              <w:jc w:val="right"/>
              <w:rPr>
                <w:rFonts w:hint="default" w:ascii="宋体" w:hAnsi="宋体"/>
                <w:color w:val="000000"/>
                <w:sz w:val="18"/>
                <w:szCs w:val="18"/>
              </w:rPr>
            </w:pPr>
            <w:r>
              <w:rPr>
                <w:rFonts w:hint="default" w:ascii="宋体" w:hAnsi="宋体"/>
                <w:b/>
                <w:kern w:val="0"/>
                <w:sz w:val="18"/>
                <w:szCs w:val="18"/>
              </w:rPr>
              <w:t>4.80</w:t>
            </w:r>
          </w:p>
        </w:tc>
        <w:tc>
          <w:tcPr>
            <w:tcW w:w="1374" w:type="dxa"/>
            <w:shd w:val="clear" w:color="auto" w:fill="auto"/>
            <w:vAlign w:val="center"/>
          </w:tcPr>
          <w:p>
            <w:pPr>
              <w:jc w:val="right"/>
              <w:rPr>
                <w:rFonts w:hint="default" w:ascii="宋体" w:hAnsi="宋体"/>
                <w:color w:val="000000"/>
                <w:sz w:val="18"/>
                <w:szCs w:val="18"/>
              </w:rPr>
            </w:pPr>
          </w:p>
        </w:tc>
        <w:tc>
          <w:tcPr>
            <w:tcW w:w="1374" w:type="dxa"/>
            <w:shd w:val="clear" w:color="auto" w:fill="auto"/>
            <w:vAlign w:val="center"/>
          </w:tcPr>
          <w:p>
            <w:pPr>
              <w:jc w:val="right"/>
              <w:rPr>
                <w:rFonts w:hint="default" w:ascii="宋体" w:hAnsi="宋体"/>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表11</w:t>
      </w:r>
    </w:p>
    <w:p>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8"/>
        <w:tblW w:w="972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4974"/>
        <w:gridCol w:w="1188"/>
        <w:gridCol w:w="1188"/>
        <w:gridCol w:w="1188"/>
        <w:gridCol w:w="1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538" w:type="dxa"/>
            <w:gridSpan w:val="4"/>
            <w:tcBorders>
              <w:top w:val="nil"/>
              <w:left w:val="nil"/>
              <w:right w:val="nil"/>
            </w:tcBorders>
            <w:shd w:val="clear" w:color="auto" w:fill="auto"/>
            <w:vAlign w:val="center"/>
          </w:tcPr>
          <w:p>
            <w:pPr>
              <w:jc w:val="left"/>
              <w:rPr>
                <w:rFonts w:hint="default" w:ascii="宋体" w:hAnsi="宋体"/>
                <w:sz w:val="18"/>
                <w:szCs w:val="18"/>
              </w:rPr>
            </w:pPr>
            <w:r>
              <w:rPr>
                <w:rFonts w:hint="eastAsia"/>
                <w:color w:val="000000"/>
                <w:sz w:val="18"/>
                <w:szCs w:val="18"/>
              </w:rPr>
              <w:t>编制部门：呼图壁县财政局</w:t>
            </w:r>
          </w:p>
        </w:tc>
        <w:tc>
          <w:tcPr>
            <w:tcW w:w="1187" w:type="dxa"/>
            <w:tcBorders>
              <w:top w:val="nil"/>
              <w:left w:val="nil"/>
              <w:right w:val="nil"/>
            </w:tcBorders>
            <w:shd w:val="clear" w:color="auto" w:fill="auto"/>
            <w:vAlign w:val="center"/>
          </w:tcPr>
          <w:p>
            <w:pPr>
              <w:jc w:val="right"/>
              <w:rPr>
                <w:rFonts w:hint="default" w:ascii="宋体" w:hAnsi="宋体"/>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74" w:type="dxa"/>
            <w:vMerge w:val="restart"/>
            <w:shd w:val="clear" w:color="auto" w:fill="auto"/>
            <w:vAlign w:val="center"/>
          </w:tcPr>
          <w:p>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pPr>
              <w:jc w:val="center"/>
              <w:rPr>
                <w:rFonts w:hint="default" w:ascii="宋体" w:hAnsi="宋体"/>
                <w:color w:val="000000"/>
                <w:sz w:val="18"/>
                <w:szCs w:val="18"/>
              </w:rPr>
            </w:pPr>
            <w:r>
              <w:rPr>
                <w:rFonts w:hint="eastAsia" w:ascii="宋体" w:hAnsi="宋体"/>
                <w:sz w:val="18"/>
                <w:szCs w:val="18"/>
              </w:rPr>
              <w:t>合计</w:t>
            </w:r>
          </w:p>
        </w:tc>
        <w:tc>
          <w:tcPr>
            <w:tcW w:w="3563" w:type="dxa"/>
            <w:gridSpan w:val="3"/>
            <w:shd w:val="clear" w:color="auto" w:fill="auto"/>
            <w:vAlign w:val="center"/>
          </w:tcPr>
          <w:p>
            <w:pPr>
              <w:jc w:val="center"/>
              <w:rPr>
                <w:rFonts w:hint="default" w:ascii="宋体" w:hAnsi="宋体"/>
                <w:color w:val="000000"/>
                <w:sz w:val="18"/>
                <w:szCs w:val="18"/>
              </w:rPr>
            </w:pPr>
            <w:r>
              <w:rPr>
                <w:rFonts w:hint="eastAsia"/>
                <w:sz w:val="18"/>
                <w:szCs w:val="18"/>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74" w:type="dxa"/>
            <w:vMerge w:val="continue"/>
            <w:shd w:val="clear" w:color="auto" w:fill="auto"/>
            <w:vAlign w:val="center"/>
          </w:tcPr>
          <w:p>
            <w:pPr>
              <w:jc w:val="center"/>
              <w:rPr>
                <w:rFonts w:hint="default" w:ascii="宋体" w:hAnsi="宋体"/>
                <w:color w:val="000000"/>
                <w:sz w:val="18"/>
                <w:szCs w:val="18"/>
              </w:rPr>
            </w:pPr>
          </w:p>
        </w:tc>
        <w:tc>
          <w:tcPr>
            <w:tcW w:w="1188" w:type="dxa"/>
            <w:vMerge w:val="continue"/>
            <w:shd w:val="clear" w:color="auto" w:fill="auto"/>
            <w:vAlign w:val="center"/>
          </w:tcPr>
          <w:p>
            <w:pPr>
              <w:jc w:val="center"/>
              <w:rPr>
                <w:rFonts w:hint="default" w:ascii="宋体" w:hAnsi="宋体"/>
                <w:color w:val="000000"/>
                <w:sz w:val="18"/>
                <w:szCs w:val="18"/>
              </w:rPr>
            </w:pPr>
          </w:p>
        </w:tc>
        <w:tc>
          <w:tcPr>
            <w:tcW w:w="1188" w:type="dxa"/>
            <w:shd w:val="clear" w:color="auto" w:fill="auto"/>
            <w:vAlign w:val="center"/>
          </w:tcPr>
          <w:p>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pPr>
              <w:jc w:val="center"/>
              <w:rPr>
                <w:rFonts w:hint="default" w:ascii="宋体" w:hAnsi="宋体"/>
                <w:sz w:val="18"/>
                <w:szCs w:val="18"/>
              </w:rPr>
            </w:pPr>
            <w:r>
              <w:rPr>
                <w:rFonts w:hint="eastAsia" w:ascii="宋体" w:hAnsi="宋体"/>
                <w:sz w:val="18"/>
                <w:szCs w:val="18"/>
              </w:rPr>
              <w:t>政府性基金</w:t>
            </w:r>
          </w:p>
        </w:tc>
        <w:tc>
          <w:tcPr>
            <w:tcW w:w="1187" w:type="dxa"/>
            <w:shd w:val="clear" w:color="auto" w:fill="auto"/>
            <w:vAlign w:val="center"/>
          </w:tcPr>
          <w:p>
            <w:pPr>
              <w:jc w:val="center"/>
              <w:rPr>
                <w:rFonts w:hint="default" w:ascii="宋体" w:hAnsi="宋体"/>
                <w:sz w:val="18"/>
                <w:szCs w:val="18"/>
              </w:rPr>
            </w:pPr>
            <w:r>
              <w:rPr>
                <w:rFonts w:hint="eastAsia" w:ascii="宋体" w:hAnsi="宋体"/>
                <w:sz w:val="18"/>
                <w:szCs w:val="18"/>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74" w:type="dxa"/>
            <w:shd w:val="clear" w:color="auto" w:fill="auto"/>
            <w:vAlign w:val="center"/>
          </w:tcPr>
          <w:p>
            <w:pPr>
              <w:jc w:val="left"/>
              <w:rPr>
                <w:rFonts w:hint="default" w:ascii="宋体" w:hAnsi="宋体"/>
                <w:b/>
                <w:color w:val="000000"/>
                <w:sz w:val="18"/>
                <w:szCs w:val="18"/>
              </w:rPr>
            </w:pPr>
            <w:r>
              <w:rPr>
                <w:rFonts w:hint="default" w:ascii="宋体" w:hAnsi="宋体"/>
                <w:b/>
                <w:kern w:val="0"/>
                <w:sz w:val="18"/>
                <w:szCs w:val="18"/>
              </w:rPr>
              <w:t>呼图壁县财政局</w:t>
            </w:r>
          </w:p>
        </w:tc>
        <w:tc>
          <w:tcPr>
            <w:tcW w:w="1188"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124.36</w:t>
            </w:r>
          </w:p>
        </w:tc>
        <w:tc>
          <w:tcPr>
            <w:tcW w:w="1188"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124.36</w:t>
            </w:r>
          </w:p>
        </w:tc>
        <w:tc>
          <w:tcPr>
            <w:tcW w:w="1188" w:type="dxa"/>
            <w:shd w:val="clear" w:color="auto" w:fill="auto"/>
            <w:vAlign w:val="center"/>
          </w:tcPr>
          <w:p>
            <w:pPr>
              <w:jc w:val="right"/>
              <w:rPr>
                <w:rFonts w:hint="default" w:ascii="宋体" w:hAnsi="宋体"/>
                <w:b/>
                <w:color w:val="000000"/>
                <w:sz w:val="18"/>
                <w:szCs w:val="18"/>
              </w:rPr>
            </w:pPr>
          </w:p>
        </w:tc>
        <w:tc>
          <w:tcPr>
            <w:tcW w:w="1187" w:type="dxa"/>
            <w:shd w:val="clear" w:color="auto" w:fill="auto"/>
            <w:vAlign w:val="center"/>
          </w:tcPr>
          <w:p>
            <w:pPr>
              <w:jc w:val="right"/>
              <w:rPr>
                <w:rFonts w:hint="default" w:ascii="宋体" w:hAnsi="宋体"/>
                <w:b/>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74" w:type="dxa"/>
            <w:shd w:val="clear" w:color="auto" w:fill="auto"/>
            <w:vAlign w:val="center"/>
          </w:tcPr>
          <w:p>
            <w:pPr>
              <w:jc w:val="left"/>
              <w:rPr>
                <w:rFonts w:hint="default" w:ascii="宋体" w:hAnsi="宋体"/>
                <w:color w:val="000000"/>
                <w:sz w:val="18"/>
                <w:szCs w:val="18"/>
              </w:rPr>
            </w:pPr>
            <w:r>
              <w:rPr>
                <w:rFonts w:hint="default" w:ascii="宋体" w:hAnsi="宋体"/>
                <w:kern w:val="0"/>
                <w:sz w:val="18"/>
                <w:szCs w:val="18"/>
              </w:rPr>
              <w:t xml:space="preserve">  财政预算管理系统等软件运行使用费（非定额）</w:t>
            </w:r>
          </w:p>
        </w:tc>
        <w:tc>
          <w:tcPr>
            <w:tcW w:w="1188"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124.36</w:t>
            </w:r>
          </w:p>
        </w:tc>
        <w:tc>
          <w:tcPr>
            <w:tcW w:w="1188" w:type="dxa"/>
            <w:shd w:val="clear" w:color="auto" w:fill="auto"/>
            <w:vAlign w:val="center"/>
          </w:tcPr>
          <w:p>
            <w:pPr>
              <w:jc w:val="right"/>
              <w:rPr>
                <w:rFonts w:hint="default" w:ascii="宋体" w:hAnsi="宋体"/>
                <w:color w:val="000000"/>
                <w:sz w:val="18"/>
                <w:szCs w:val="18"/>
              </w:rPr>
            </w:pPr>
            <w:r>
              <w:rPr>
                <w:rFonts w:hint="default" w:ascii="宋体" w:hAnsi="宋体"/>
                <w:kern w:val="0"/>
                <w:sz w:val="18"/>
                <w:szCs w:val="18"/>
              </w:rPr>
              <w:t>124.36</w:t>
            </w:r>
          </w:p>
        </w:tc>
        <w:tc>
          <w:tcPr>
            <w:tcW w:w="1188" w:type="dxa"/>
            <w:shd w:val="clear" w:color="auto" w:fill="auto"/>
            <w:vAlign w:val="center"/>
          </w:tcPr>
          <w:p>
            <w:pPr>
              <w:jc w:val="right"/>
              <w:rPr>
                <w:rFonts w:hint="default" w:ascii="宋体" w:hAnsi="宋体"/>
                <w:color w:val="000000"/>
                <w:sz w:val="18"/>
                <w:szCs w:val="18"/>
              </w:rPr>
            </w:pPr>
          </w:p>
        </w:tc>
        <w:tc>
          <w:tcPr>
            <w:tcW w:w="1187" w:type="dxa"/>
            <w:shd w:val="clear" w:color="auto" w:fill="auto"/>
            <w:vAlign w:val="center"/>
          </w:tcPr>
          <w:p>
            <w:pPr>
              <w:jc w:val="right"/>
              <w:rPr>
                <w:rFonts w:hint="default" w:ascii="宋体" w:hAnsi="宋体"/>
                <w:color w:val="00000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74" w:type="dxa"/>
            <w:shd w:val="clear" w:color="auto" w:fill="auto"/>
            <w:vAlign w:val="center"/>
          </w:tcPr>
          <w:p>
            <w:pPr>
              <w:jc w:val="center"/>
              <w:rPr>
                <w:rFonts w:hint="default" w:ascii="宋体" w:hAnsi="宋体"/>
                <w:b/>
                <w:color w:val="000000"/>
                <w:sz w:val="18"/>
                <w:szCs w:val="18"/>
              </w:rPr>
            </w:pPr>
            <w:r>
              <w:rPr>
                <w:rFonts w:hint="default" w:ascii="宋体" w:hAnsi="宋体"/>
                <w:b/>
                <w:kern w:val="0"/>
                <w:sz w:val="18"/>
                <w:szCs w:val="18"/>
              </w:rPr>
              <w:t>总计</w:t>
            </w:r>
          </w:p>
        </w:tc>
        <w:tc>
          <w:tcPr>
            <w:tcW w:w="1188"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124.36</w:t>
            </w:r>
          </w:p>
        </w:tc>
        <w:tc>
          <w:tcPr>
            <w:tcW w:w="1188" w:type="dxa"/>
            <w:shd w:val="clear" w:color="auto" w:fill="auto"/>
            <w:vAlign w:val="center"/>
          </w:tcPr>
          <w:p>
            <w:pPr>
              <w:jc w:val="right"/>
              <w:rPr>
                <w:rFonts w:hint="default" w:ascii="宋体" w:hAnsi="宋体"/>
                <w:b/>
                <w:color w:val="000000"/>
                <w:sz w:val="18"/>
                <w:szCs w:val="18"/>
              </w:rPr>
            </w:pPr>
            <w:r>
              <w:rPr>
                <w:rFonts w:hint="default" w:ascii="宋体" w:hAnsi="宋体"/>
                <w:b/>
                <w:kern w:val="0"/>
                <w:sz w:val="18"/>
                <w:szCs w:val="18"/>
              </w:rPr>
              <w:t>124.36</w:t>
            </w:r>
          </w:p>
        </w:tc>
        <w:tc>
          <w:tcPr>
            <w:tcW w:w="1188" w:type="dxa"/>
            <w:shd w:val="clear" w:color="auto" w:fill="auto"/>
            <w:vAlign w:val="center"/>
          </w:tcPr>
          <w:p>
            <w:pPr>
              <w:jc w:val="right"/>
              <w:rPr>
                <w:rFonts w:hint="default" w:ascii="宋体" w:hAnsi="宋体"/>
                <w:b/>
                <w:color w:val="000000"/>
                <w:sz w:val="18"/>
                <w:szCs w:val="18"/>
              </w:rPr>
            </w:pPr>
          </w:p>
        </w:tc>
        <w:tc>
          <w:tcPr>
            <w:tcW w:w="1187" w:type="dxa"/>
            <w:shd w:val="clear" w:color="auto" w:fill="auto"/>
            <w:vAlign w:val="center"/>
          </w:tcPr>
          <w:p>
            <w:pPr>
              <w:jc w:val="right"/>
              <w:rPr>
                <w:rFonts w:hint="default" w:ascii="宋体" w:hAnsi="宋体"/>
                <w:b/>
                <w:color w:val="000000"/>
                <w:sz w:val="18"/>
                <w:szCs w:val="18"/>
              </w:rPr>
            </w:pPr>
          </w:p>
        </w:tc>
      </w:tr>
    </w:tbl>
    <w:p>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r>
        <w:rPr>
          <w:rFonts w:hint="eastAsia" w:ascii="宋体" w:hAnsi="宋体"/>
          <w:color w:val="000000"/>
          <w:sz w:val="18"/>
          <w:szCs w:val="18"/>
        </w:rPr>
        <w:t>表12</w:t>
      </w:r>
    </w:p>
    <w:p>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8"/>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pPr>
              <w:jc w:val="left"/>
              <w:rPr>
                <w:rFonts w:hint="eastAsia"/>
                <w:color w:val="000000"/>
                <w:sz w:val="18"/>
                <w:szCs w:val="18"/>
              </w:rPr>
            </w:pPr>
            <w:r>
              <w:rPr>
                <w:rFonts w:hint="eastAsia"/>
                <w:color w:val="000000"/>
                <w:sz w:val="18"/>
                <w:szCs w:val="18"/>
              </w:rPr>
              <w:t>编制部门：呼图壁县财政局</w:t>
            </w:r>
          </w:p>
        </w:tc>
        <w:tc>
          <w:tcPr>
            <w:tcW w:w="4254" w:type="dxa"/>
            <w:gridSpan w:val="5"/>
            <w:tcBorders>
              <w:top w:val="nil"/>
              <w:left w:val="nil"/>
              <w:right w:val="nil"/>
            </w:tcBorders>
            <w:shd w:val="clear" w:color="auto" w:fill="auto"/>
          </w:tcPr>
          <w:p>
            <w:pPr>
              <w:jc w:val="right"/>
              <w:rPr>
                <w:rFonts w:hint="eastAsia"/>
                <w:color w:val="000000"/>
                <w:sz w:val="18"/>
                <w:szCs w:val="18"/>
              </w:rPr>
            </w:pPr>
            <w:r>
              <w:rPr>
                <w:rFonts w:hint="eastAsia"/>
                <w:color w:val="000000"/>
                <w:sz w:val="18"/>
                <w:szCs w:val="18"/>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pPr>
              <w:jc w:val="center"/>
              <w:rPr>
                <w:sz w:val="18"/>
                <w:szCs w:val="18"/>
              </w:rPr>
            </w:pPr>
            <w:r>
              <w:rPr>
                <w:rFonts w:hint="eastAsia"/>
                <w:sz w:val="18"/>
                <w:szCs w:val="18"/>
              </w:rPr>
              <w:t>项目</w:t>
            </w:r>
          </w:p>
        </w:tc>
        <w:tc>
          <w:tcPr>
            <w:tcW w:w="1247" w:type="dxa"/>
            <w:vMerge w:val="restart"/>
            <w:shd w:val="clear" w:color="auto" w:fill="auto"/>
            <w:vAlign w:val="center"/>
          </w:tcPr>
          <w:p>
            <w:pPr>
              <w:jc w:val="center"/>
              <w:rPr>
                <w:sz w:val="18"/>
                <w:szCs w:val="18"/>
              </w:rPr>
            </w:pPr>
            <w:r>
              <w:rPr>
                <w:rFonts w:hint="eastAsia"/>
                <w:sz w:val="18"/>
                <w:szCs w:val="18"/>
              </w:rPr>
              <w:t>合计</w:t>
            </w:r>
          </w:p>
        </w:tc>
        <w:tc>
          <w:tcPr>
            <w:tcW w:w="4988" w:type="dxa"/>
            <w:gridSpan w:val="4"/>
            <w:shd w:val="clear" w:color="auto" w:fill="auto"/>
            <w:vAlign w:val="center"/>
          </w:tcPr>
          <w:p>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pPr>
              <w:jc w:val="center"/>
              <w:rPr>
                <w:rFonts w:hint="eastAsia"/>
                <w:sz w:val="18"/>
                <w:szCs w:val="18"/>
              </w:rPr>
            </w:pPr>
            <w:r>
              <w:rPr>
                <w:rFonts w:hint="eastAsia"/>
                <w:sz w:val="18"/>
                <w:szCs w:val="18"/>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c>
          <w:tcPr>
            <w:tcW w:w="1247" w:type="dxa"/>
            <w:gridSpan w:val="2"/>
            <w:vMerge w:val="restart"/>
            <w:shd w:val="clear" w:color="auto" w:fill="auto"/>
            <w:vAlign w:val="center"/>
          </w:tcPr>
          <w:p>
            <w:pPr>
              <w:jc w:val="center"/>
              <w:rPr>
                <w:sz w:val="18"/>
                <w:szCs w:val="18"/>
              </w:rPr>
            </w:pPr>
            <w:r>
              <w:rPr>
                <w:rFonts w:hint="eastAsia"/>
                <w:sz w:val="18"/>
                <w:szCs w:val="18"/>
              </w:rPr>
              <w:t>小计</w:t>
            </w:r>
          </w:p>
        </w:tc>
        <w:tc>
          <w:tcPr>
            <w:tcW w:w="2494" w:type="dxa"/>
            <w:gridSpan w:val="2"/>
            <w:shd w:val="clear" w:color="auto" w:fill="auto"/>
            <w:vAlign w:val="center"/>
          </w:tcPr>
          <w:p>
            <w:pPr>
              <w:jc w:val="center"/>
              <w:rPr>
                <w:sz w:val="18"/>
                <w:szCs w:val="18"/>
              </w:rPr>
            </w:pPr>
            <w:r>
              <w:rPr>
                <w:rFonts w:hint="eastAsia"/>
                <w:sz w:val="18"/>
                <w:szCs w:val="18"/>
              </w:rPr>
              <w:t>基本支出</w:t>
            </w:r>
          </w:p>
        </w:tc>
        <w:tc>
          <w:tcPr>
            <w:tcW w:w="1247" w:type="dxa"/>
            <w:vMerge w:val="restart"/>
            <w:shd w:val="clear" w:color="auto" w:fill="auto"/>
            <w:vAlign w:val="center"/>
          </w:tcPr>
          <w:p>
            <w:pPr>
              <w:jc w:val="center"/>
              <w:rPr>
                <w:sz w:val="18"/>
                <w:szCs w:val="18"/>
              </w:rPr>
            </w:pPr>
            <w:r>
              <w:rPr>
                <w:rFonts w:hint="eastAsia"/>
                <w:sz w:val="18"/>
                <w:szCs w:val="18"/>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c>
          <w:tcPr>
            <w:tcW w:w="1247" w:type="dxa"/>
            <w:gridSpan w:val="2"/>
            <w:vMerge w:val="continue"/>
            <w:shd w:val="clear" w:color="auto" w:fill="auto"/>
            <w:vAlign w:val="center"/>
          </w:tcPr>
          <w:p>
            <w:pPr>
              <w:jc w:val="center"/>
              <w:rPr>
                <w:sz w:val="18"/>
                <w:szCs w:val="18"/>
              </w:rPr>
            </w:pPr>
          </w:p>
        </w:tc>
        <w:tc>
          <w:tcPr>
            <w:tcW w:w="1247" w:type="dxa"/>
            <w:shd w:val="clear" w:color="auto" w:fill="auto"/>
            <w:vAlign w:val="center"/>
          </w:tcPr>
          <w:p>
            <w:pPr>
              <w:jc w:val="center"/>
              <w:rPr>
                <w:sz w:val="18"/>
                <w:szCs w:val="18"/>
              </w:rPr>
            </w:pPr>
            <w:r>
              <w:rPr>
                <w:rFonts w:hint="eastAsia"/>
                <w:sz w:val="18"/>
                <w:szCs w:val="18"/>
              </w:rPr>
              <w:t>人员经费</w:t>
            </w:r>
          </w:p>
        </w:tc>
        <w:tc>
          <w:tcPr>
            <w:tcW w:w="1247" w:type="dxa"/>
            <w:shd w:val="clear" w:color="auto" w:fill="auto"/>
            <w:vAlign w:val="center"/>
          </w:tcPr>
          <w:p>
            <w:pPr>
              <w:jc w:val="center"/>
              <w:rPr>
                <w:sz w:val="18"/>
                <w:szCs w:val="18"/>
              </w:rPr>
            </w:pPr>
            <w:r>
              <w:rPr>
                <w:rFonts w:hint="eastAsia"/>
                <w:sz w:val="18"/>
                <w:szCs w:val="18"/>
              </w:rPr>
              <w:t>公用经费</w:t>
            </w:r>
          </w:p>
        </w:tc>
        <w:tc>
          <w:tcPr>
            <w:tcW w:w="1247" w:type="dxa"/>
            <w:vMerge w:val="continue"/>
            <w:shd w:val="clear" w:color="auto" w:fill="auto"/>
            <w:vAlign w:val="center"/>
          </w:tcPr>
          <w:p>
            <w:pPr>
              <w:jc w:val="center"/>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b/>
                <w:sz w:val="18"/>
                <w:szCs w:val="18"/>
              </w:rPr>
            </w:pPr>
            <w:r>
              <w:rPr>
                <w:rFonts w:hint="default" w:ascii="宋体" w:hAnsi="宋体"/>
                <w:b/>
                <w:kern w:val="0"/>
                <w:sz w:val="13"/>
                <w:szCs w:val="13"/>
              </w:rPr>
              <w:t>呼图壁县财政局</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42.05</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42.05</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42.05</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昌州财预【2024】18号  为民办实事项目</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3.23</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3.23</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3.23</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2025年呼图壁县为民办实事经费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5.00</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5.00</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5.00</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left"/>
              <w:rPr>
                <w:sz w:val="18"/>
                <w:szCs w:val="18"/>
              </w:rPr>
            </w:pPr>
            <w:r>
              <w:rPr>
                <w:rFonts w:hint="default" w:ascii="宋体" w:hAnsi="宋体"/>
                <w:kern w:val="0"/>
                <w:sz w:val="13"/>
                <w:szCs w:val="13"/>
              </w:rPr>
              <w:t xml:space="preserve">  2025年昌吉州基层财政部门业务经费</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33.82</w:t>
            </w: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33.82</w:t>
            </w: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r>
              <w:rPr>
                <w:rFonts w:hint="default" w:ascii="宋体" w:hAnsi="宋体"/>
                <w:kern w:val="0"/>
                <w:sz w:val="13"/>
                <w:szCs w:val="13"/>
              </w:rPr>
              <w:t>33.82</w:t>
            </w:r>
          </w:p>
        </w:tc>
        <w:tc>
          <w:tcPr>
            <w:tcW w:w="1247" w:type="dxa"/>
            <w:gridSpan w:val="2"/>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c>
          <w:tcPr>
            <w:tcW w:w="1247" w:type="dxa"/>
            <w:shd w:val="clear" w:color="auto" w:fill="auto"/>
            <w:vAlign w:val="center"/>
          </w:tcPr>
          <w:p>
            <w:pPr>
              <w:ind w:right="-29" w:rightChars="-14"/>
              <w:jc w:val="right"/>
              <w:rPr>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pPr>
              <w:jc w:val="center"/>
              <w:rPr>
                <w:b/>
                <w:sz w:val="18"/>
                <w:szCs w:val="18"/>
              </w:rPr>
            </w:pPr>
            <w:r>
              <w:rPr>
                <w:rFonts w:hint="default" w:ascii="宋体" w:hAnsi="宋体"/>
                <w:b/>
                <w:kern w:val="0"/>
                <w:sz w:val="13"/>
                <w:szCs w:val="13"/>
              </w:rPr>
              <w:t>总计</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42.05</w:t>
            </w: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42.05</w:t>
            </w: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r>
              <w:rPr>
                <w:rFonts w:hint="default" w:ascii="宋体" w:hAnsi="宋体"/>
                <w:b/>
                <w:kern w:val="0"/>
                <w:sz w:val="13"/>
                <w:szCs w:val="13"/>
              </w:rPr>
              <w:t>42.05</w:t>
            </w:r>
          </w:p>
        </w:tc>
        <w:tc>
          <w:tcPr>
            <w:tcW w:w="1247" w:type="dxa"/>
            <w:gridSpan w:val="2"/>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c>
          <w:tcPr>
            <w:tcW w:w="1247" w:type="dxa"/>
            <w:shd w:val="clear" w:color="auto" w:fill="auto"/>
            <w:vAlign w:val="center"/>
          </w:tcPr>
          <w:p>
            <w:pPr>
              <w:ind w:right="-29" w:rightChars="-14"/>
              <w:jc w:val="right"/>
              <w:rPr>
                <w:b/>
                <w:sz w:val="18"/>
                <w:szCs w:val="18"/>
              </w:rPr>
            </w:pPr>
          </w:p>
        </w:tc>
      </w:tr>
    </w:tbl>
    <w:p>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2026年部门预算情况说明</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关于呼图壁县财政局2026年收支预算情况总体说明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按照全口径预算的原则，呼图壁县财政局2026年所有收入和支出均纳入部门预算管理。收支总预算1,842.37万元。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收入预算包括：一般公共预算、单位资金、财政拨款结转结余。</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支出预算包括：一般公共服务支出、社会保障和就业支出、卫生健康支出、住房保障支出。</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关于呼图壁县财政局2026年收入预算情况说明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呼图壁县财政局部门收入预算1,842.37万元，其中：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1,133.82万元，占61.54%，比上年预算增加183.92万元，增长19.36%，主要原因是本年新增人员4个，工资及社保均有增资部分，并且2026年年初新增职业年金预算，2025年无此项目，本年新增项目用于政府化债，因此一般公共预算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上级一般公共预算安排的转移支付资金未安排。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政府性基金预算未安排。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上级政府性基金安排的转移支付资金未安排。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国有资本经营预算未安排。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上级国有资本经营预算安排的转移支付资金未安排。</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单位资金666.50万元，占36.18%，比上年预算增加206.50万元，增长44.89%，主要原因是本年新增人员4个，工资、社保及公积金均有增资部分，公用经费同步增加，</w:t>
      </w:r>
      <w:r>
        <w:rPr>
          <w:rFonts w:hint="eastAsia" w:ascii="仿宋" w:hAnsi="微软雅黑" w:eastAsia="仿宋"/>
          <w:sz w:val="28"/>
          <w:szCs w:val="28"/>
          <w:lang w:val="en-US" w:eastAsia="zh-CN"/>
        </w:rPr>
        <w:t>财政相应划扣基本户资金增加，</w:t>
      </w:r>
      <w:r>
        <w:rPr>
          <w:rFonts w:hint="eastAsia" w:ascii="仿宋" w:hAnsi="微软雅黑" w:eastAsia="仿宋"/>
          <w:sz w:val="28"/>
          <w:szCs w:val="28"/>
        </w:rPr>
        <w:t>所以单位资金增加。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财政拨款结转42.05万元，占2.28%，比上年预算增加37.05万元，增长741.00%，主要原因是因2024及2025年为民办实事项目未支付完毕，因此财政拨款结转增加。</w:t>
      </w:r>
    </w:p>
    <w:p>
      <w:pPr>
        <w:pStyle w:val="4"/>
        <w:numPr>
          <w:ilvl w:val="0"/>
          <w:numId w:val="2"/>
        </w:numPr>
        <w:spacing w:before="0" w:after="0" w:line="560" w:lineRule="exact"/>
        <w:ind w:left="0" w:firstLine="562" w:firstLineChars="201"/>
        <w:rPr>
          <w:rFonts w:hint="default" w:ascii="仿宋" w:hAnsi="华文楷体" w:eastAsia="仿宋"/>
          <w:sz w:val="28"/>
          <w:szCs w:val="28"/>
          <w:highlight w:val="none"/>
        </w:rPr>
      </w:pPr>
      <w:r>
        <w:rPr>
          <w:rFonts w:hint="eastAsia" w:ascii="仿宋" w:hAnsi="华文楷体" w:eastAsia="仿宋"/>
          <w:sz w:val="28"/>
          <w:szCs w:val="28"/>
          <w:highlight w:val="none"/>
        </w:rPr>
        <w:t>关于呼图壁县财政局2026年支出预算情况说明</w:t>
      </w:r>
    </w:p>
    <w:p>
      <w:pPr>
        <w:widowControl/>
        <w:spacing w:line="560" w:lineRule="exact"/>
        <w:ind w:firstLine="560" w:firstLineChars="200"/>
        <w:rPr>
          <w:rFonts w:hint="default" w:ascii="仿宋" w:hAnsi="微软雅黑" w:eastAsia="仿宋"/>
          <w:sz w:val="28"/>
          <w:szCs w:val="28"/>
          <w:highlight w:val="none"/>
        </w:rPr>
      </w:pPr>
      <w:r>
        <w:rPr>
          <w:rFonts w:hint="eastAsia" w:ascii="仿宋" w:hAnsi="微软雅黑" w:eastAsia="仿宋"/>
          <w:sz w:val="28"/>
          <w:szCs w:val="28"/>
          <w:highlight w:val="none"/>
        </w:rPr>
        <w:t>呼图壁县财政局2026年支出预算1,842.37万元，其中：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highlight w:val="none"/>
        </w:rPr>
        <w:t>基本支出1,565.08万元，占84.95%，比上年预算增加378.94万元，增长31.95%，主要原因是因本年</w:t>
      </w:r>
      <w:r>
        <w:rPr>
          <w:rFonts w:hint="eastAsia" w:ascii="仿宋" w:hAnsi="微软雅黑" w:eastAsia="仿宋"/>
          <w:sz w:val="28"/>
          <w:szCs w:val="28"/>
        </w:rPr>
        <w:t>新增人员4个，工资社保、公积金都有所增加，且2026年初增加职业年金预算，因此单位资金和财政拨款基本支出金额增加，所以整体增长。</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项目支出277.29万元，占15.05%，比上年预算增加48.53万元，增长21.21%，主要原因是本年增加政府化债项目，结转资金同时增长，导致项目支出金额增长。</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关于呼图壁县财政局2026年财政拨款收支预算情况的总体说明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2026年财政拨款收支总预算1,133.82万元。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收入预算包括：一般公共预算拨款1,133.82万元。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般公共预算支出包括：一般公共服务支出822.32万元，主要用于工资福利、办公费等支出；社会保障和就业支出160.69万元，主要用于缴纳人员养老保险支出；卫生健康支出75.33万元，主要用于缴纳人员医疗保险费支出；住房保障支出75.49万元，主要用于缴纳人员住房公积金支出。</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关于呼图壁县财政局2026年一般公共预算当年拨款情况说明</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呼图壁县财政局2026年一般公共预算拨款合计1,133.82万元，其中：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基本支出988.58万元，比上年预算增加174.44万元，增长21.43%，主要原因是本年新增人员4个，工资及社保均有增资部分，并且2026年年初新增职业年金预算。</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项目支出145.24万元，比上年预算增加9.48万元，增长6.98%，主要原因是今年新增政府化债项目20.88万元，本年非定额项目较上年减少11.4万元，因此项目支出增加9.48万元。</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1.一般公共服务支出（类）822.32万元，占72.53%。</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2.社会保障和就业支出（类）160.69万元，占14.17%。</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3.卫生健康支出（类）75.33万元，占6.64%。</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4.住房保障支出（类）75.49万元，占6.66%。</w:t>
      </w:r>
    </w:p>
    <w:p>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1.一般公共服务支出（类）财政事务（款）行政运行（项）：2026年预算数为466.40万元，比上年预算增加67.52万元，增长16.93%，主要原因是本年新增人员4个，工资部分增长，增加人员经费拨入。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一般公共服务支出（类）财政事务（款）一般行政管理事务（项）：2026年预算数为145.24万元，比上年预算增加145.24万元，增长100.00%，主要原因是上年项目支出使用一般公共服务支出（类）财政事务（款）其他财政事务支出（项），本年使用一般公共服务支出（类）财政事务（款）一般行政管理事务（项），所以该科目预算较上年增长100%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3.一般公共服务支出（类）财政事务（款）事业运行（项）：2026年预算数为210.68万元，比上年预算增加18.93万元，增长9.87%，主要原因是本年事业人员工资有增资部分，所以2026年预算增加，增加人员经费。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一般公共服务支出（类）财政事务（款）其他财政事务支出（项）：2026年预算数为0.00万元，比上年预算减少135.76万元，下降100.00%，主要原因是上年项目支出使用一般公共服务支出（类）财政事务（款）其他财政事务支出（项），本年未使用此款项，所以该科目预算较上年减少100%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5.社会保障和就业支出（类）行政事业单位养老支出（款）行政单位离退休（项）：2026年预算数为27.76万元，比上年预算增加27.76万元，增长100.00%，主要原因是因</w:t>
      </w:r>
      <w:r>
        <w:rPr>
          <w:rFonts w:hint="eastAsia" w:ascii="仿宋" w:hAnsi="微软雅黑" w:eastAsia="仿宋"/>
          <w:sz w:val="28"/>
          <w:szCs w:val="28"/>
          <w:lang w:eastAsia="zh-CN"/>
        </w:rPr>
        <w:t>本部门</w:t>
      </w:r>
      <w:r>
        <w:rPr>
          <w:rFonts w:hint="eastAsia" w:ascii="仿宋" w:hAnsi="微软雅黑" w:eastAsia="仿宋"/>
          <w:sz w:val="28"/>
          <w:szCs w:val="28"/>
        </w:rPr>
        <w:t>为行政单位，</w:t>
      </w:r>
      <w:r>
        <w:rPr>
          <w:rFonts w:hint="eastAsia" w:ascii="仿宋" w:hAnsi="微软雅黑" w:eastAsia="仿宋"/>
          <w:sz w:val="28"/>
          <w:szCs w:val="28"/>
          <w:lang w:eastAsia="zh-CN"/>
        </w:rPr>
        <w:t>本部门</w:t>
      </w:r>
      <w:r>
        <w:rPr>
          <w:rFonts w:hint="eastAsia" w:ascii="仿宋" w:hAnsi="微软雅黑" w:eastAsia="仿宋"/>
          <w:sz w:val="28"/>
          <w:szCs w:val="28"/>
        </w:rPr>
        <w:t>上年使用社会保障和就业支出（类）行政事业单位养老支出（款）事业单位离退休（项），本年更改为社会保障和就业支出（类）行政事业单位养老支出（款）行政单位离退休（项），因此本年较上年增长100%。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6.社会保障和就业支出（类）行政事业单位养老支出（款）事业单位离退休（项）：2026年预算数为0.00万元，比上年预算减少20.73万元，下降100.00%，主要原因是因</w:t>
      </w:r>
      <w:r>
        <w:rPr>
          <w:rFonts w:hint="eastAsia" w:ascii="仿宋" w:hAnsi="微软雅黑" w:eastAsia="仿宋"/>
          <w:sz w:val="28"/>
          <w:szCs w:val="28"/>
          <w:lang w:eastAsia="zh-CN"/>
        </w:rPr>
        <w:t>本部门</w:t>
      </w:r>
      <w:r>
        <w:rPr>
          <w:rFonts w:hint="eastAsia" w:ascii="仿宋" w:hAnsi="微软雅黑" w:eastAsia="仿宋"/>
          <w:sz w:val="28"/>
          <w:szCs w:val="28"/>
        </w:rPr>
        <w:t>为行政单位，</w:t>
      </w:r>
      <w:r>
        <w:rPr>
          <w:rFonts w:hint="eastAsia" w:ascii="仿宋" w:hAnsi="微软雅黑" w:eastAsia="仿宋"/>
          <w:sz w:val="28"/>
          <w:szCs w:val="28"/>
          <w:lang w:eastAsia="zh-CN"/>
        </w:rPr>
        <w:t>本部门</w:t>
      </w:r>
      <w:r>
        <w:rPr>
          <w:rFonts w:hint="eastAsia" w:ascii="仿宋" w:hAnsi="微软雅黑" w:eastAsia="仿宋"/>
          <w:sz w:val="28"/>
          <w:szCs w:val="28"/>
        </w:rPr>
        <w:t>上年使用社会保障和就业支出（类）行政事业单位养老支出（款）事业单位离退休（项），本年更改为社会保障和就业支出（类）行政事业单位养老支出（款）行政单位离退休（项），因此本年较上年下降100%。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7.社会保障和就业支出（类）行政事业单位养老支出（款）机关事业单位基本养老保险缴费支出（项）：2026年预算数为88.62万元，比上年预算增加10.37万元，增长13.25%，主要原因是因</w:t>
      </w:r>
      <w:r>
        <w:rPr>
          <w:rFonts w:hint="eastAsia" w:ascii="仿宋" w:hAnsi="微软雅黑" w:eastAsia="仿宋"/>
          <w:sz w:val="28"/>
          <w:szCs w:val="28"/>
          <w:lang w:eastAsia="zh-CN"/>
        </w:rPr>
        <w:t>本部门</w:t>
      </w:r>
      <w:r>
        <w:rPr>
          <w:rFonts w:hint="eastAsia" w:ascii="仿宋" w:hAnsi="微软雅黑" w:eastAsia="仿宋"/>
          <w:sz w:val="28"/>
          <w:szCs w:val="28"/>
        </w:rPr>
        <w:t>新增人员4人，并且本年有增资部分，因此养老保险增加，增加人员经费拨入。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社会保障和就业支出（类）行政事业单位养老支出（款）机关事业单位职业年金缴费支出（项）：2026年预算数为44.31万元，比上年预算增加44.31万元，增长100.00%，主要原因是上年预算未包含职业年金预算，本年新增职业年金预算，因此较上年增长100%。</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9.卫生健康支出（类）行政事业单位医疗（款）行政单位医疗（项）：2026年预算数为35.14万元，比上年预算增加9.66万元，增长37.91%，主要原因是因</w:t>
      </w:r>
      <w:r>
        <w:rPr>
          <w:rFonts w:hint="eastAsia" w:ascii="仿宋" w:hAnsi="微软雅黑" w:eastAsia="仿宋"/>
          <w:sz w:val="28"/>
          <w:szCs w:val="28"/>
          <w:lang w:eastAsia="zh-CN"/>
        </w:rPr>
        <w:t>本部门</w:t>
      </w:r>
      <w:r>
        <w:rPr>
          <w:rFonts w:hint="eastAsia" w:ascii="仿宋" w:hAnsi="微软雅黑" w:eastAsia="仿宋"/>
          <w:sz w:val="28"/>
          <w:szCs w:val="28"/>
        </w:rPr>
        <w:t>新增人员4人，并且本年有增资部分，因此行政单位医疗保险增加。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10.卫生健康支出（类）行政事业单位医疗（款）事业单位医疗（项）：2026年预算数为17.48万元，比上年预算增加3.83万元，增长28.06%，主要原因是因本年事业人员有增资部分，因此医疗保险增加，增加人员经费。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11.卫生健康支出（类）行政事业单位医疗（款）公务员医疗补助（项）：2026年预算数为22.16万元，比上年预算增加2.59万元，增长13.23%，主要原因是因</w:t>
      </w:r>
      <w:r>
        <w:rPr>
          <w:rFonts w:hint="eastAsia" w:ascii="仿宋" w:hAnsi="微软雅黑" w:eastAsia="仿宋"/>
          <w:sz w:val="28"/>
          <w:szCs w:val="28"/>
          <w:lang w:eastAsia="zh-CN"/>
        </w:rPr>
        <w:t>本部门</w:t>
      </w:r>
      <w:r>
        <w:rPr>
          <w:rFonts w:hint="eastAsia" w:ascii="仿宋" w:hAnsi="微软雅黑" w:eastAsia="仿宋"/>
          <w:sz w:val="28"/>
          <w:szCs w:val="28"/>
        </w:rPr>
        <w:t>新增人员4人，并且本年有增资部分，因此公务员医疗补助增加。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12.卫生健康支出（类）行政事业单位医疗（款）其他行政事业单位医疗支出（项）：2026年预算数为0.55万元，比上年预算增加0.06万元，增长12.24%，主要原因是因</w:t>
      </w:r>
      <w:r>
        <w:rPr>
          <w:rFonts w:hint="eastAsia" w:ascii="仿宋" w:hAnsi="微软雅黑" w:eastAsia="仿宋"/>
          <w:sz w:val="28"/>
          <w:szCs w:val="28"/>
          <w:lang w:eastAsia="zh-CN"/>
        </w:rPr>
        <w:t>本部门</w:t>
      </w:r>
      <w:r>
        <w:rPr>
          <w:rFonts w:hint="eastAsia" w:ascii="仿宋" w:hAnsi="微软雅黑" w:eastAsia="仿宋"/>
          <w:sz w:val="28"/>
          <w:szCs w:val="28"/>
        </w:rPr>
        <w:t>新增人员4人，并且本年有增资部分，因此其他行政事业单位医疗支出增加。</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13.住房保障支出（类）住房改革支出（款）住房公积金（项）：2026年预算数为75.49万元，比上年预算增加10.12万元，增长15.48%，主要原因是因</w:t>
      </w:r>
      <w:r>
        <w:rPr>
          <w:rFonts w:hint="eastAsia" w:ascii="仿宋" w:hAnsi="微软雅黑" w:eastAsia="仿宋"/>
          <w:sz w:val="28"/>
          <w:szCs w:val="28"/>
          <w:lang w:eastAsia="zh-CN"/>
        </w:rPr>
        <w:t>本部门</w:t>
      </w:r>
      <w:r>
        <w:rPr>
          <w:rFonts w:hint="eastAsia" w:ascii="仿宋" w:hAnsi="微软雅黑" w:eastAsia="仿宋"/>
          <w:sz w:val="28"/>
          <w:szCs w:val="28"/>
        </w:rPr>
        <w:t>新增人员4人，并且本年有增资部分，因此住房公积金增加。</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关于呼图壁县财政局2026年一般公共预算基本支出情况说明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呼图壁县财政局2026年一般公共预算基本支出988.58万元，其中：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人员经费946.31万元，主要包括：基本工资、津贴补贴、奖金、绩效工资、机关事业单位基本养老保险缴费、职业年金缴费、职工基本医疗保险缴费、公务员医疗补助缴费、其他社会保障缴费、住房公积金、退休费、生活补助、奖励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公用经费42.26万元，主要包括：办公费、印刷费、水费、电费、邮电费、取暖费、差旅费、工会经费、公务用车运行维护费。</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关于呼图壁县财政局2026年一般公共预算项目支出情况说明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（一）项目名称：2026年支付各类其他刚性资金</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设立的政策依据：《2025年呼图壁县财经委员会第五次会议纪要》（呼党财【2025】5号）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预算安排规模：20.88万元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项目承担单位：呼图壁县财政局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资金分配情况：印刷费0.5万元，水费0.6万元，电费1.7万元，购买办公用品5.85万元，生活补助3.6万元，劳务费8.43万元，主题党日活动费用0.2万元。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资金执行时间：2026年1月1日至2026年12月31日</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（二）项目名称：财政预算管理系统等软件运行使用费（非定额）</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设立的政策依据：《2026年呼图壁县财经委员会第一次会议纪要》（呼党财【2026】1号）</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预算安排规模：124.36万元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项目承担单位：呼图壁县财政局</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分配情况：2026年预算管理一体化系统（2.0）运维费24万，2026年政府财务报告9万，2026年横联系统2万，2026年博思开票软件5.76万，政采云服务费21万，2026年绩效管理相关服务费40万元，2026年金融办工作经费5万，2026年电子凭证库6.6万，2026年金电公司服务费3万，2026年河北财翔运维费5万，2026年绩效系统维护服务费3万。</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资金执行时间：2026年1月1日至2026年12月31日</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关于呼图壁县财政局2026年政府性基金预算拨款情况说明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呼图壁县财政局2026年没有使用政府性基金预算拨款安排的支出，政府性基金预算支出情况表为空表。</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关于呼图壁县财政局2026年国有资本经营预算拨款情况说明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呼图壁县财政局2026年没有使用国有资本经营预算拨款安排的支出，国有资本经营预算支出情况表为空表。</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关于呼图壁县财政局2026年财政拨款“三公”经费预算情况说明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呼图壁县财政局2026年财政拨款“三公”经费数为4.80万元，其中：因公出国（境）费用0.00万元，公务用车购置0.00万元，公务用车运行维护费4.80万元，公务接待费0.00万元。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预算比上年预算减少0.53万元，下降9.94%，其中：因公出国（境）费用增加0.00万元，增长0.00%，主要原因是2025年与2026年均未安排因公出国（境）费用；公务用车购置增加0.00万元，增长0.00%，主要原因是2025年与2026年均未安排公务用车购置；公务用车运行维护费增加0.00万元，增长0.00%，主要原因是严格执行中央八项规定，三公经费只减不增；公务接待费减少0.53万元，下降100.00%，主要原因是</w:t>
      </w:r>
      <w:r>
        <w:rPr>
          <w:rFonts w:hint="eastAsia" w:ascii="仿宋" w:hAnsi="微软雅黑" w:eastAsia="仿宋"/>
          <w:sz w:val="28"/>
          <w:szCs w:val="28"/>
          <w:lang w:val="en-US" w:eastAsia="zh-CN"/>
        </w:rPr>
        <w:t>2026</w:t>
      </w:r>
      <w:r>
        <w:rPr>
          <w:rFonts w:hint="eastAsia" w:ascii="仿宋" w:hAnsi="微软雅黑" w:eastAsia="仿宋"/>
          <w:sz w:val="28"/>
          <w:szCs w:val="28"/>
        </w:rPr>
        <w:t>年</w:t>
      </w:r>
      <w:r>
        <w:rPr>
          <w:rFonts w:hint="eastAsia" w:ascii="仿宋" w:hAnsi="微软雅黑" w:eastAsia="仿宋"/>
          <w:sz w:val="28"/>
          <w:szCs w:val="28"/>
          <w:lang w:eastAsia="zh-CN"/>
        </w:rPr>
        <w:t>本部门</w:t>
      </w:r>
      <w:r>
        <w:rPr>
          <w:rFonts w:hint="eastAsia" w:ascii="仿宋" w:hAnsi="微软雅黑" w:eastAsia="仿宋"/>
          <w:sz w:val="28"/>
          <w:szCs w:val="28"/>
        </w:rPr>
        <w:t>未发生公务接待。</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关于呼图壁县财政局2026年财政拨款委托业务费支出情况说明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呼图壁县财政局2026年委托业务费124.36万元，其中：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财政预算管理系统等软件运行使用费（非定额）委托业务费124.36万元，主要用于：2026年预算管理一体化系统（2.0）运维费24万，2026年政府财务报告9万，2026年横联系统2万，2026年博斯开票软件5.76万，政采云服务费21万，2026年绩效管理相关服务费40万元，2026年金融办工作经费5万，2026年电子凭证库6.6万，2026年金电公司服务费3万，2026年河北财翔运维费5万，2026年绩效系统维护服务费3万。</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关于呼图壁县财政局2026年上年结转结余预算情况说明</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呼图壁县财政局2026年上年结转结余42.05万元，包括：财政拨款42.05万元，非财政拨款0.00万元，其中：</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1.2025年昌吉州基层财政部门业务经费结转33.82万元，主要用于：支付我县绩效目标维护费。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2.2025年呼图壁县为民办实事经费结转5.00万元，主要用于：为五工台镇林场村的村委会购买办公用品、党建宣传及在村委会与村居民开展联谊活动支出。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3.昌州财预【2024】18号  为民办实事项目结转3.23万元，主要用于：为五工台镇林场村的村委会购买办公用品、党建宣传及在村委会与村居民开展联谊活动支出。</w:t>
      </w:r>
    </w:p>
    <w:p>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pPr>
        <w:pStyle w:val="2"/>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呼图壁县财政局2026年的机关运行经费财政拨款预算42.26万元，比上年预算增加1.83万元，增长4.53%，主要原因是工资调增，工会经费按比例相应调增，整体运行经费增加。</w:t>
      </w:r>
    </w:p>
    <w:p>
      <w:pPr>
        <w:pStyle w:val="2"/>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2026年，呼图壁县财政局政府采购预算176.98万元，其中：政府采购货物预算10.58万元，政府采购工程预算0.00万元，政府采购服务预算166.40万元。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2026年，呼图壁县财政局面向中小企业预留政府采购项目预算金额174.24万元，其中：小微企业预留政府采购项目预算金额130.82万元。</w:t>
      </w:r>
    </w:p>
    <w:p>
      <w:pPr>
        <w:pStyle w:val="2"/>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截至2025年底，呼图壁县财政局占用使用国有资产总体情况为：</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1.房屋0.00平方米，价值0.00万元。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2.车辆3辆，价值14.58万元；其中：一般公务用车3辆，价值14.58万元；执法执勤用车0辆，价值0.00万元；其他车辆0辆，价值0.00万元。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3.办公家具价值104.06万元。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4.其他资产价值486.99万元。</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部门价值单价50万元以上大型设备0台，部门价值单价100万元以上大型设备0台。</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2026年部门预算未安排购置车辆经费，安排购置单价50万元以上大型设备0台，部门单价100万元以上大型设备0台。</w:t>
      </w:r>
    </w:p>
    <w:p>
      <w:pPr>
        <w:pStyle w:val="2"/>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2026年，本部门预算绩效管理整体预算绩效目标1个，涉及预算金额1,842.37万元；当年预算安排项目共3个，其中：财政拨款项目涉及预算金额145.24万元；非财政拨款项目涉及预算金额90.00万元。</w:t>
      </w:r>
      <w:bookmarkStart w:id="0" w:name="_GoBack"/>
      <w:r>
        <w:rPr>
          <w:rFonts w:hint="eastAsia" w:ascii="仿宋" w:hAnsi="微软雅黑" w:eastAsia="仿宋"/>
          <w:sz w:val="28"/>
          <w:szCs w:val="28"/>
        </w:rPr>
        <w:t>具体情况见下表：</w:t>
      </w:r>
    </w:p>
    <w:bookmarkEnd w:id="0"/>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部门名称（盖章）</w:t>
            </w:r>
          </w:p>
        </w:tc>
        <w:tc>
          <w:tcPr>
            <w:tcW w:w="6578" w:type="dxa"/>
            <w:gridSpan w:val="5"/>
            <w:shd w:val="clear" w:color="auto" w:fill="auto"/>
            <w:vAlign w:val="center"/>
          </w:tcPr>
          <w:p>
            <w:pPr>
              <w:jc w:val="center"/>
              <w:rPr>
                <w:sz w:val="18"/>
                <w:szCs w:val="18"/>
              </w:rPr>
            </w:pPr>
            <w:r>
              <w:rPr>
                <w:rFonts w:hint="eastAsia"/>
                <w:sz w:val="18"/>
                <w:szCs w:val="18"/>
              </w:rPr>
              <w:t>呼图壁县财政局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pPr>
              <w:jc w:val="center"/>
              <w:rPr>
                <w:b/>
                <w:sz w:val="18"/>
                <w:szCs w:val="18"/>
              </w:rPr>
            </w:pPr>
            <w:r>
              <w:rPr>
                <w:rFonts w:hint="eastAsia"/>
                <w:b/>
                <w:sz w:val="18"/>
                <w:szCs w:val="18"/>
              </w:rPr>
              <w:t>部门联系人</w:t>
            </w:r>
          </w:p>
        </w:tc>
        <w:tc>
          <w:tcPr>
            <w:tcW w:w="2498" w:type="dxa"/>
            <w:gridSpan w:val="2"/>
            <w:shd w:val="clear" w:color="auto" w:fill="auto"/>
            <w:vAlign w:val="center"/>
          </w:tcPr>
          <w:p>
            <w:pPr>
              <w:jc w:val="center"/>
              <w:rPr>
                <w:b/>
                <w:sz w:val="18"/>
                <w:szCs w:val="18"/>
              </w:rPr>
            </w:pPr>
            <w:r>
              <w:rPr>
                <w:rFonts w:hint="eastAsia"/>
                <w:sz w:val="18"/>
                <w:szCs w:val="18"/>
              </w:rPr>
              <w:t>吴亚娟</w:t>
            </w:r>
          </w:p>
        </w:tc>
        <w:tc>
          <w:tcPr>
            <w:tcW w:w="1360" w:type="dxa"/>
            <w:shd w:val="clear" w:color="auto" w:fill="auto"/>
            <w:vAlign w:val="center"/>
          </w:tcPr>
          <w:p>
            <w:pPr>
              <w:jc w:val="center"/>
              <w:rPr>
                <w:b/>
                <w:sz w:val="18"/>
                <w:szCs w:val="18"/>
              </w:rPr>
            </w:pPr>
            <w:r>
              <w:rPr>
                <w:rFonts w:hint="eastAsia"/>
                <w:b/>
                <w:sz w:val="18"/>
                <w:szCs w:val="18"/>
              </w:rPr>
              <w:t>联系电话</w:t>
            </w:r>
          </w:p>
        </w:tc>
        <w:tc>
          <w:tcPr>
            <w:tcW w:w="2720" w:type="dxa"/>
            <w:gridSpan w:val="2"/>
            <w:shd w:val="clear" w:color="auto" w:fill="auto"/>
            <w:vAlign w:val="center"/>
          </w:tcPr>
          <w:p>
            <w:pPr>
              <w:jc w:val="center"/>
              <w:rPr>
                <w:sz w:val="18"/>
                <w:szCs w:val="18"/>
              </w:rPr>
            </w:pPr>
            <w:r>
              <w:rPr>
                <w:rFonts w:hint="eastAsia"/>
                <w:sz w:val="18"/>
                <w:szCs w:val="18"/>
              </w:rPr>
              <w:t>19039830528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pPr>
              <w:jc w:val="center"/>
              <w:rPr>
                <w:b/>
                <w:sz w:val="18"/>
                <w:szCs w:val="18"/>
              </w:rPr>
            </w:pPr>
            <w:r>
              <w:rPr>
                <w:rFonts w:hint="eastAsia"/>
                <w:b/>
                <w:sz w:val="18"/>
                <w:szCs w:val="18"/>
              </w:rPr>
              <w:t>年度绩效目标</w:t>
            </w:r>
          </w:p>
        </w:tc>
        <w:tc>
          <w:tcPr>
            <w:tcW w:w="6578" w:type="dxa"/>
            <w:gridSpan w:val="5"/>
            <w:shd w:val="clear" w:color="auto" w:fill="auto"/>
            <w:vAlign w:val="center"/>
          </w:tcPr>
          <w:p>
            <w:pPr>
              <w:rPr>
                <w:b/>
                <w:sz w:val="18"/>
                <w:szCs w:val="18"/>
              </w:rPr>
            </w:pPr>
            <w:r>
              <w:rPr>
                <w:rFonts w:hint="eastAsia"/>
                <w:color w:val="000000"/>
                <w:sz w:val="18"/>
                <w:szCs w:val="18"/>
              </w:rPr>
              <w:t>一是持续强化财源建设，狠抓财政收入稳增长，优化一般公共预算、政府性基金及国有资本经营预算收支结构，提升财政支撑保障能力；二是强化财政平台运维保障，推进系统高效运行，提升财政管理数字化水平；三是深化预算绩效管理改革，严格审核预决算并依法公开，确保内控检查覆盖行政事业单位40家以上，筑牢资金安全防线；四是完善财政内控体系，健全“预算编制-执行-监督”全链条机制，强化财政资金使用精准性和规范性；五是实施干部素质提升工程，组织财政业务专题培训不少于1次，增强干部专业能力与综合素养，打造“业务精、作风硬、效能高”的财政队伍，为县域经济社会高质量发展提供坚实财力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pPr>
              <w:jc w:val="center"/>
              <w:rPr>
                <w:b/>
                <w:sz w:val="18"/>
                <w:szCs w:val="18"/>
              </w:rPr>
            </w:pPr>
            <w:r>
              <w:rPr>
                <w:rFonts w:hint="eastAsia"/>
                <w:b/>
                <w:sz w:val="18"/>
                <w:szCs w:val="18"/>
              </w:rPr>
              <w:t>年度预算(万元)</w:t>
            </w:r>
          </w:p>
        </w:tc>
        <w:tc>
          <w:tcPr>
            <w:tcW w:w="3858" w:type="dxa"/>
            <w:gridSpan w:val="3"/>
            <w:shd w:val="clear" w:color="auto" w:fill="auto"/>
            <w:vAlign w:val="center"/>
          </w:tcPr>
          <w:p>
            <w:pPr>
              <w:jc w:val="center"/>
              <w:rPr>
                <w:sz w:val="18"/>
                <w:szCs w:val="18"/>
              </w:rPr>
            </w:pPr>
            <w:r>
              <w:rPr>
                <w:rFonts w:hint="eastAsia"/>
                <w:sz w:val="18"/>
                <w:szCs w:val="18"/>
              </w:rPr>
              <w:t>资金来源</w:t>
            </w:r>
          </w:p>
        </w:tc>
        <w:tc>
          <w:tcPr>
            <w:tcW w:w="2720" w:type="dxa"/>
            <w:gridSpan w:val="2"/>
            <w:shd w:val="clear" w:color="auto" w:fill="auto"/>
            <w:vAlign w:val="center"/>
          </w:tcPr>
          <w:p>
            <w:pPr>
              <w:jc w:val="center"/>
              <w:rPr>
                <w:sz w:val="18"/>
                <w:szCs w:val="18"/>
              </w:rPr>
            </w:pPr>
            <w:r>
              <w:rPr>
                <w:rFonts w:hint="eastAsia"/>
                <w:sz w:val="18"/>
                <w:szCs w:val="18"/>
              </w:rPr>
              <w:t>资金总额（万元）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restart"/>
            <w:shd w:val="clear" w:color="auto" w:fill="auto"/>
            <w:vAlign w:val="center"/>
          </w:tcPr>
          <w:p>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pPr>
              <w:jc w:val="center"/>
              <w:rPr>
                <w:sz w:val="18"/>
                <w:szCs w:val="18"/>
              </w:rPr>
            </w:pPr>
            <w:r>
              <w:rPr>
                <w:rFonts w:hint="eastAsia"/>
                <w:sz w:val="18"/>
                <w:szCs w:val="18"/>
              </w:rPr>
              <w:t>42.05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vMerge w:val="continue"/>
            <w:shd w:val="clear" w:color="auto" w:fill="auto"/>
            <w:vAlign w:val="center"/>
          </w:tcPr>
          <w:p>
            <w:pPr>
              <w:jc w:val="center"/>
              <w:rPr>
                <w:rFonts w:hint="eastAsia"/>
                <w:sz w:val="18"/>
                <w:szCs w:val="18"/>
              </w:rPr>
            </w:pPr>
          </w:p>
        </w:tc>
        <w:tc>
          <w:tcPr>
            <w:tcW w:w="1448" w:type="dxa"/>
            <w:gridSpan w:val="2"/>
            <w:shd w:val="clear" w:color="auto" w:fill="auto"/>
            <w:vAlign w:val="center"/>
          </w:tcPr>
          <w:p>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pPr>
              <w:jc w:val="center"/>
              <w:rPr>
                <w:sz w:val="18"/>
                <w:szCs w:val="18"/>
              </w:rPr>
            </w:pPr>
            <w:r>
              <w:rPr>
                <w:rFonts w:hint="eastAsia"/>
                <w:sz w:val="18"/>
                <w:szCs w:val="18"/>
              </w:rPr>
              <w:t>1,133.82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rFonts w:hint="eastAsia"/>
                <w:b/>
                <w:sz w:val="18"/>
                <w:szCs w:val="18"/>
              </w:rPr>
            </w:pPr>
          </w:p>
        </w:tc>
        <w:tc>
          <w:tcPr>
            <w:tcW w:w="2410" w:type="dxa"/>
            <w:shd w:val="clear" w:color="auto" w:fill="auto"/>
            <w:vAlign w:val="center"/>
          </w:tcPr>
          <w:p>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pPr>
              <w:jc w:val="center"/>
              <w:rPr>
                <w:rFonts w:hint="eastAsia"/>
                <w:sz w:val="18"/>
                <w:szCs w:val="18"/>
              </w:rPr>
            </w:pPr>
            <w:r>
              <w:rPr>
                <w:rFonts w:hint="eastAsia"/>
                <w:sz w:val="18"/>
                <w:szCs w:val="18"/>
              </w:rPr>
              <w:t>其他</w:t>
            </w:r>
          </w:p>
        </w:tc>
        <w:tc>
          <w:tcPr>
            <w:tcW w:w="2720" w:type="dxa"/>
            <w:gridSpan w:val="2"/>
            <w:shd w:val="clear" w:color="auto" w:fill="auto"/>
            <w:vAlign w:val="center"/>
          </w:tcPr>
          <w:p>
            <w:pPr>
              <w:jc w:val="center"/>
              <w:rPr>
                <w:sz w:val="18"/>
                <w:szCs w:val="18"/>
              </w:rPr>
            </w:pPr>
            <w:r>
              <w:rPr>
                <w:rFonts w:hint="eastAsia"/>
                <w:sz w:val="18"/>
                <w:szCs w:val="18"/>
              </w:rPr>
              <w:t>666.50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pPr>
              <w:jc w:val="center"/>
              <w:rPr>
                <w:b/>
                <w:sz w:val="18"/>
                <w:szCs w:val="18"/>
              </w:rPr>
            </w:pPr>
          </w:p>
        </w:tc>
        <w:tc>
          <w:tcPr>
            <w:tcW w:w="3858" w:type="dxa"/>
            <w:gridSpan w:val="3"/>
            <w:shd w:val="clear" w:color="auto" w:fill="auto"/>
            <w:vAlign w:val="center"/>
          </w:tcPr>
          <w:p>
            <w:pPr>
              <w:jc w:val="center"/>
              <w:rPr>
                <w:sz w:val="18"/>
                <w:szCs w:val="18"/>
              </w:rPr>
            </w:pPr>
            <w:r>
              <w:rPr>
                <w:rFonts w:hint="eastAsia"/>
                <w:sz w:val="18"/>
                <w:szCs w:val="18"/>
              </w:rPr>
              <w:t>合计：</w:t>
            </w:r>
          </w:p>
        </w:tc>
        <w:tc>
          <w:tcPr>
            <w:tcW w:w="2720" w:type="dxa"/>
            <w:gridSpan w:val="2"/>
            <w:shd w:val="clear" w:color="auto" w:fill="auto"/>
            <w:vAlign w:val="center"/>
          </w:tcPr>
          <w:p>
            <w:pPr>
              <w:jc w:val="center"/>
              <w:rPr>
                <w:sz w:val="18"/>
                <w:szCs w:val="18"/>
              </w:rPr>
            </w:pPr>
            <w:r>
              <w:rPr>
                <w:rFonts w:hint="eastAsia"/>
                <w:sz w:val="18"/>
                <w:szCs w:val="18"/>
              </w:rPr>
              <w:t>1,842.37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pPr>
              <w:jc w:val="center"/>
              <w:rPr>
                <w:b/>
                <w:sz w:val="18"/>
                <w:szCs w:val="18"/>
              </w:rPr>
            </w:pPr>
            <w:r>
              <w:rPr>
                <w:rFonts w:hint="eastAsia"/>
                <w:b/>
                <w:sz w:val="18"/>
                <w:szCs w:val="18"/>
              </w:rPr>
              <w:t>一级指标</w:t>
            </w:r>
          </w:p>
        </w:tc>
        <w:tc>
          <w:tcPr>
            <w:tcW w:w="1559" w:type="dxa"/>
            <w:shd w:val="clear" w:color="auto" w:fill="auto"/>
            <w:vAlign w:val="center"/>
          </w:tcPr>
          <w:p>
            <w:pPr>
              <w:jc w:val="center"/>
              <w:rPr>
                <w:b/>
                <w:sz w:val="18"/>
                <w:szCs w:val="18"/>
              </w:rPr>
            </w:pPr>
            <w:r>
              <w:rPr>
                <w:rFonts w:hint="eastAsia"/>
                <w:b/>
                <w:sz w:val="18"/>
                <w:szCs w:val="18"/>
              </w:rPr>
              <w:t>二级指标</w:t>
            </w:r>
          </w:p>
        </w:tc>
        <w:tc>
          <w:tcPr>
            <w:tcW w:w="2410" w:type="dxa"/>
            <w:shd w:val="clear" w:color="auto" w:fill="auto"/>
            <w:vAlign w:val="center"/>
          </w:tcPr>
          <w:p>
            <w:pPr>
              <w:jc w:val="center"/>
              <w:rPr>
                <w:b/>
                <w:sz w:val="18"/>
                <w:szCs w:val="18"/>
              </w:rPr>
            </w:pPr>
            <w:r>
              <w:rPr>
                <w:rFonts w:hint="eastAsia"/>
                <w:b/>
                <w:sz w:val="18"/>
                <w:szCs w:val="18"/>
              </w:rPr>
              <w:t>三级指标</w:t>
            </w:r>
          </w:p>
        </w:tc>
        <w:tc>
          <w:tcPr>
            <w:tcW w:w="1448" w:type="dxa"/>
            <w:gridSpan w:val="2"/>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指标设定依据</w:t>
            </w:r>
          </w:p>
        </w:tc>
        <w:tc>
          <w:tcPr>
            <w:tcW w:w="1360" w:type="dxa"/>
            <w:shd w:val="clear" w:color="auto" w:fill="auto"/>
            <w:vAlign w:val="center"/>
          </w:tcPr>
          <w:p>
            <w:pPr>
              <w:jc w:val="center"/>
              <w:rPr>
                <w:b/>
                <w:sz w:val="18"/>
                <w:szCs w:val="18"/>
              </w:rPr>
            </w:pPr>
            <w:r>
              <w:rPr>
                <w:rFonts w:hint="eastAsia"/>
                <w:b/>
                <w:sz w:val="18"/>
                <w:szCs w:val="18"/>
              </w:rPr>
              <w:t>分值权重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restart"/>
            <w:shd w:val="clear" w:color="auto" w:fill="auto"/>
            <w:vAlign w:val="center"/>
          </w:tcPr>
          <w:p>
            <w:pPr>
              <w:jc w:val="center"/>
              <w:rPr>
                <w:sz w:val="18"/>
                <w:szCs w:val="18"/>
              </w:rPr>
            </w:pPr>
            <w:r>
              <w:rPr>
                <w:rFonts w:hint="eastAsia"/>
                <w:sz w:val="18"/>
                <w:szCs w:val="18"/>
              </w:rPr>
              <w:t>履职效能</w:t>
            </w: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组织财政干部培训次数</w:t>
            </w:r>
          </w:p>
        </w:tc>
        <w:tc>
          <w:tcPr>
            <w:tcW w:w="1448" w:type="dxa"/>
            <w:gridSpan w:val="2"/>
            <w:shd w:val="clear" w:color="auto" w:fill="auto"/>
            <w:vAlign w:val="center"/>
          </w:tcPr>
          <w:p>
            <w:pPr>
              <w:jc w:val="center"/>
              <w:rPr>
                <w:sz w:val="18"/>
                <w:szCs w:val="18"/>
              </w:rPr>
            </w:pPr>
            <w:r>
              <w:rPr>
                <w:rFonts w:hint="eastAsia"/>
                <w:sz w:val="18"/>
                <w:szCs w:val="18"/>
              </w:rPr>
              <w:t>＞=1次</w:t>
            </w:r>
          </w:p>
        </w:tc>
        <w:tc>
          <w:tcPr>
            <w:tcW w:w="1360" w:type="dxa"/>
            <w:shd w:val="clear" w:color="auto" w:fill="auto"/>
            <w:vAlign w:val="center"/>
          </w:tcPr>
          <w:p>
            <w:pPr>
              <w:jc w:val="center"/>
              <w:rPr>
                <w:sz w:val="18"/>
                <w:szCs w:val="18"/>
              </w:rPr>
            </w:pPr>
            <w:r>
              <w:rPr>
                <w:rFonts w:hint="eastAsia"/>
                <w:sz w:val="18"/>
                <w:szCs w:val="18"/>
              </w:rPr>
              <w:t>2026年主要工作计划</w:t>
            </w:r>
          </w:p>
        </w:tc>
        <w:tc>
          <w:tcPr>
            <w:tcW w:w="1360" w:type="dxa"/>
            <w:shd w:val="clear" w:color="auto" w:fill="auto"/>
            <w:vAlign w:val="center"/>
          </w:tcPr>
          <w:p>
            <w:pPr>
              <w:jc w:val="center"/>
              <w:rPr>
                <w:sz w:val="18"/>
                <w:szCs w:val="18"/>
              </w:rPr>
            </w:pPr>
            <w:r>
              <w:rPr>
                <w:rFonts w:hint="eastAsia"/>
                <w:sz w:val="18"/>
                <w:szCs w:val="18"/>
              </w:rPr>
              <w:t>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vMerge w:val="restart"/>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内控检查行政事业单位数量</w:t>
            </w:r>
          </w:p>
        </w:tc>
        <w:tc>
          <w:tcPr>
            <w:tcW w:w="1448" w:type="dxa"/>
            <w:gridSpan w:val="2"/>
            <w:shd w:val="clear" w:color="auto" w:fill="auto"/>
            <w:vAlign w:val="center"/>
          </w:tcPr>
          <w:p>
            <w:pPr>
              <w:jc w:val="center"/>
              <w:rPr>
                <w:sz w:val="18"/>
                <w:szCs w:val="18"/>
              </w:rPr>
            </w:pPr>
            <w:r>
              <w:rPr>
                <w:rFonts w:hint="eastAsia"/>
                <w:sz w:val="18"/>
                <w:szCs w:val="18"/>
              </w:rPr>
              <w:t>＞=40家</w:t>
            </w:r>
          </w:p>
        </w:tc>
        <w:tc>
          <w:tcPr>
            <w:tcW w:w="1360" w:type="dxa"/>
            <w:shd w:val="clear" w:color="auto" w:fill="auto"/>
            <w:vAlign w:val="center"/>
          </w:tcPr>
          <w:p>
            <w:pPr>
              <w:jc w:val="center"/>
              <w:rPr>
                <w:sz w:val="18"/>
                <w:szCs w:val="18"/>
              </w:rPr>
            </w:pPr>
            <w:r>
              <w:rPr>
                <w:rFonts w:hint="eastAsia"/>
                <w:sz w:val="18"/>
                <w:szCs w:val="18"/>
              </w:rPr>
              <w:t>2026年主要工作计划</w:t>
            </w:r>
          </w:p>
        </w:tc>
        <w:tc>
          <w:tcPr>
            <w:tcW w:w="1360" w:type="dxa"/>
            <w:shd w:val="clear" w:color="auto" w:fill="auto"/>
            <w:vAlign w:val="center"/>
          </w:tcPr>
          <w:p>
            <w:pPr>
              <w:jc w:val="center"/>
              <w:rPr>
                <w:sz w:val="18"/>
                <w:szCs w:val="18"/>
              </w:rPr>
            </w:pPr>
            <w:r>
              <w:rPr>
                <w:rFonts w:hint="eastAsia"/>
                <w:sz w:val="18"/>
                <w:szCs w:val="18"/>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vMerge w:val="continue"/>
            <w:shd w:val="clear" w:color="auto" w:fill="auto"/>
            <w:vAlign w:val="center"/>
          </w:tcPr>
          <w:p>
            <w:pPr>
              <w:jc w:val="center"/>
              <w:rPr>
                <w:sz w:val="18"/>
                <w:szCs w:val="18"/>
              </w:rPr>
            </w:pPr>
          </w:p>
        </w:tc>
        <w:tc>
          <w:tcPr>
            <w:tcW w:w="1559" w:type="dxa"/>
            <w:shd w:val="clear" w:color="auto" w:fill="auto"/>
            <w:vAlign w:val="center"/>
          </w:tcPr>
          <w:p>
            <w:pPr>
              <w:jc w:val="center"/>
              <w:rPr>
                <w:sz w:val="18"/>
                <w:szCs w:val="18"/>
              </w:rPr>
            </w:pPr>
            <w:r>
              <w:rPr>
                <w:rFonts w:hint="eastAsia"/>
                <w:sz w:val="18"/>
                <w:szCs w:val="18"/>
              </w:rPr>
              <w:t>数量指标</w:t>
            </w:r>
          </w:p>
        </w:tc>
        <w:tc>
          <w:tcPr>
            <w:tcW w:w="2410" w:type="dxa"/>
            <w:shd w:val="clear" w:color="auto" w:fill="auto"/>
            <w:vAlign w:val="center"/>
          </w:tcPr>
          <w:p>
            <w:pPr>
              <w:jc w:val="center"/>
              <w:rPr>
                <w:sz w:val="18"/>
                <w:szCs w:val="18"/>
              </w:rPr>
            </w:pPr>
            <w:r>
              <w:rPr>
                <w:rFonts w:hint="eastAsia"/>
                <w:sz w:val="18"/>
                <w:szCs w:val="18"/>
              </w:rPr>
              <w:t>财政软件运行合格率</w:t>
            </w:r>
          </w:p>
        </w:tc>
        <w:tc>
          <w:tcPr>
            <w:tcW w:w="1448" w:type="dxa"/>
            <w:gridSpan w:val="2"/>
            <w:shd w:val="clear" w:color="auto" w:fill="auto"/>
            <w:vAlign w:val="center"/>
          </w:tcPr>
          <w:p>
            <w:pPr>
              <w:jc w:val="center"/>
              <w:rPr>
                <w:sz w:val="18"/>
                <w:szCs w:val="18"/>
              </w:rPr>
            </w:pPr>
            <w:r>
              <w:rPr>
                <w:rFonts w:hint="eastAsia"/>
                <w:sz w:val="18"/>
                <w:szCs w:val="18"/>
              </w:rPr>
              <w:t>＞=100%</w:t>
            </w:r>
          </w:p>
        </w:tc>
        <w:tc>
          <w:tcPr>
            <w:tcW w:w="1360" w:type="dxa"/>
            <w:shd w:val="clear" w:color="auto" w:fill="auto"/>
            <w:vAlign w:val="center"/>
          </w:tcPr>
          <w:p>
            <w:pPr>
              <w:jc w:val="center"/>
              <w:rPr>
                <w:sz w:val="18"/>
                <w:szCs w:val="18"/>
              </w:rPr>
            </w:pPr>
            <w:r>
              <w:rPr>
                <w:rFonts w:hint="eastAsia"/>
                <w:sz w:val="18"/>
                <w:szCs w:val="18"/>
              </w:rPr>
              <w:t>2026年主要工作计划</w:t>
            </w:r>
          </w:p>
        </w:tc>
        <w:tc>
          <w:tcPr>
            <w:tcW w:w="1360" w:type="dxa"/>
            <w:shd w:val="clear" w:color="auto" w:fill="auto"/>
            <w:vAlign w:val="center"/>
          </w:tcPr>
          <w:p>
            <w:pPr>
              <w:jc w:val="center"/>
              <w:rPr>
                <w:sz w:val="18"/>
                <w:szCs w:val="18"/>
              </w:rPr>
            </w:pPr>
            <w:r>
              <w:rPr>
                <w:rFonts w:hint="eastAsia"/>
                <w:sz w:val="18"/>
                <w:szCs w:val="18"/>
              </w:rPr>
              <w:t>37</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呼图壁县财政局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2026年支付各类其他刚性资金</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陈刚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20.88</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20.88</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本项目拟投入20.88万元，坚持以保障财政核心职能高效运转为核心，以规范预算执行、提升资金效益为主线，通过统筹安排并精准支付办公费、水电费、劳务费、生活补助及印刷费、其他交通费等各类刚性支出，具体为：1.办公运转经费：安排办公费5.85万元，主要用于购置日常办公所需的文具、纸张、耗材，支付报刊订阅费、资料印刷费以及维持办公设备正常运转的小额维修维护费用，确保机关日常行政工作的顺畅进行。印刷费0.5万元，专项用于各类财政报表、政策宣传册、内部文件资料等的印制，满足信息传递和档案管理的需要。2.公用事业支出：安排电费1.7万元、水费0.6万元，用于支付财政局办公大楼及所属公共服务区域的日常照明、空调、办公设备运行所消耗的电力费用，以及日常办公、清洁、绿化等产生的水费支出。此项内容是维持机构物理空间正常运转的基础保障，将结合节能减排要求，加强用水用电管理。3.劳务费用支出：安排劳务费8.43万元，主要用于支付临时聘用人员、助理性岗位人员、以及因阶段性专项工作任务（如数据录入、档案整理、专项检查辅助等）而聘请的社会劳务人员的工资报酬或服务费。此项支出有助于缓解在编人员不足的压力，提升专项工作的专业性和效率。4.特定补助支出：安排生活补助3.6万元，用于按照国家及地方相关政策规定，对单位内生活困难的职工、特殊岗位人员或因公致残等需要关怀的群体给予必要的经济补助，体现组织的温暖和关怀。5.其他交通费用：安排其他交通费0.2万元，主要用于支付因公务活动产生的无法使用公务用车保障的零星租车费用、公共交通费用或按规定发放的公务交通补贴范围外的特殊交通支出。通过项目的实施，全面夯实财政局的基础运行保障基础，确保机关日常运转平稳有序、公共服务供给持续稳定、阶段性重点任务顺利推进、干部职工队伍和谐稳定，为各项财政改革与发展政策的有效落实提供坚实有力的后勤支撑和资金保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办公用品采购种类</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大学生志愿者人数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外聘人员人数</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＞=3人</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办公用品采购合格率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生活补助发放完成时限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2026年12月25日前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劳务费发放时限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2026年12月25日前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办公用品采购时限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2026年12月10日</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办公费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＜=5.85万元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4</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印刷费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＜=0.50万元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水费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=0.60万元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电费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＜=1.70万元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生活补助</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＜=3.60万元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劳务费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＜=8.43万元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3</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其他交通费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＜=0.20万元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工作资料,原始凭证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干部队伍稳定性</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稳定</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行业标准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按评判等级赋分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服务对象满意度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满意度赋分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pPr>
        <w:spacing w:line="360" w:lineRule="exact"/>
        <w:jc w:val="center"/>
        <w:rPr>
          <w:rFonts w:hint="default" w:ascii="仿宋" w:eastAsia="仿宋"/>
          <w:sz w:val="18"/>
          <w:szCs w:val="18"/>
        </w:rPr>
      </w:pPr>
      <w:r>
        <w:rPr>
          <w:rFonts w:hint="eastAsia" w:ascii="仿宋" w:eastAsia="仿宋"/>
          <w:sz w:val="18"/>
          <w:szCs w:val="18"/>
        </w:rPr>
        <w:t>（2026年）</w:t>
      </w:r>
    </w:p>
    <w:tbl>
      <w:tblPr>
        <w:tblStyle w:val="8"/>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680"/>
        <w:gridCol w:w="1360"/>
        <w:gridCol w:w="680"/>
        <w:gridCol w:w="680"/>
        <w:gridCol w:w="1360"/>
        <w:gridCol w:w="680"/>
        <w:gridCol w:w="680"/>
        <w:gridCol w:w="1360"/>
        <w:gridCol w:w="13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预算单位</w:t>
            </w:r>
          </w:p>
        </w:tc>
        <w:tc>
          <w:tcPr>
            <w:tcW w:w="8160" w:type="dxa"/>
            <w:gridSpan w:val="8"/>
            <w:shd w:val="clear" w:color="auto" w:fill="auto"/>
            <w:vAlign w:val="center"/>
          </w:tcPr>
          <w:p>
            <w:pPr>
              <w:jc w:val="center"/>
              <w:rPr>
                <w:sz w:val="18"/>
                <w:szCs w:val="18"/>
              </w:rPr>
            </w:pPr>
            <w:r>
              <w:rPr>
                <w:rFonts w:hint="eastAsia"/>
                <w:sz w:val="18"/>
                <w:szCs w:val="18"/>
              </w:rPr>
              <w:t>呼图壁县财政局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rFonts w:hint="eastAsia"/>
                <w:b/>
                <w:sz w:val="18"/>
                <w:szCs w:val="18"/>
              </w:rPr>
            </w:pPr>
            <w:r>
              <w:rPr>
                <w:rFonts w:hint="eastAsia"/>
                <w:b/>
                <w:sz w:val="18"/>
                <w:szCs w:val="18"/>
              </w:rPr>
              <w:t>项目名称</w:t>
            </w:r>
          </w:p>
        </w:tc>
        <w:tc>
          <w:tcPr>
            <w:tcW w:w="5440" w:type="dxa"/>
            <w:gridSpan w:val="6"/>
            <w:shd w:val="clear" w:color="auto" w:fill="auto"/>
            <w:vAlign w:val="center"/>
          </w:tcPr>
          <w:p>
            <w:pPr>
              <w:jc w:val="center"/>
              <w:rPr>
                <w:rFonts w:hint="eastAsia"/>
                <w:b/>
                <w:sz w:val="18"/>
                <w:szCs w:val="18"/>
              </w:rPr>
            </w:pPr>
            <w:r>
              <w:rPr>
                <w:rFonts w:hint="eastAsia"/>
                <w:sz w:val="18"/>
                <w:szCs w:val="18"/>
              </w:rPr>
              <w:t>财政预算管理系统等软件运行使用费（非定额）</w:t>
            </w:r>
          </w:p>
        </w:tc>
        <w:tc>
          <w:tcPr>
            <w:tcW w:w="1360" w:type="dxa"/>
            <w:shd w:val="clear" w:color="auto" w:fill="auto"/>
            <w:vAlign w:val="center"/>
          </w:tcPr>
          <w:p>
            <w:pPr>
              <w:jc w:val="center"/>
              <w:rPr>
                <w:rFonts w:hint="eastAsia"/>
                <w:sz w:val="18"/>
                <w:szCs w:val="18"/>
              </w:rPr>
            </w:pPr>
            <w:r>
              <w:rPr>
                <w:rFonts w:hint="eastAsia"/>
                <w:b/>
                <w:sz w:val="18"/>
                <w:szCs w:val="18"/>
              </w:rPr>
              <w:t>项目负责人</w:t>
            </w:r>
          </w:p>
        </w:tc>
        <w:tc>
          <w:tcPr>
            <w:tcW w:w="1360" w:type="dxa"/>
            <w:shd w:val="clear" w:color="auto" w:fill="auto"/>
            <w:vAlign w:val="center"/>
          </w:tcPr>
          <w:p>
            <w:pPr>
              <w:jc w:val="center"/>
              <w:rPr>
                <w:rFonts w:hint="eastAsia"/>
                <w:sz w:val="18"/>
                <w:szCs w:val="18"/>
              </w:rPr>
            </w:pPr>
            <w:r>
              <w:rPr>
                <w:rFonts w:hint="eastAsia"/>
                <w:sz w:val="18"/>
                <w:szCs w:val="18"/>
              </w:rPr>
              <w:t>陈刚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60" w:type="dxa"/>
            <w:gridSpan w:val="2"/>
            <w:shd w:val="clear" w:color="auto" w:fill="auto"/>
            <w:vAlign w:val="center"/>
          </w:tcPr>
          <w:p>
            <w:pPr>
              <w:jc w:val="center"/>
              <w:rPr>
                <w:b/>
                <w:sz w:val="18"/>
                <w:szCs w:val="18"/>
              </w:rPr>
            </w:pPr>
            <w:r>
              <w:rPr>
                <w:rFonts w:hint="eastAsia"/>
                <w:b/>
                <w:sz w:val="18"/>
                <w:szCs w:val="18"/>
              </w:rPr>
              <w:t>项目资金(万元)</w:t>
            </w:r>
          </w:p>
        </w:tc>
        <w:tc>
          <w:tcPr>
            <w:tcW w:w="1360" w:type="dxa"/>
            <w:shd w:val="clear" w:color="auto" w:fill="auto"/>
            <w:vAlign w:val="center"/>
          </w:tcPr>
          <w:p>
            <w:pPr>
              <w:jc w:val="center"/>
              <w:rPr>
                <w:sz w:val="18"/>
                <w:szCs w:val="18"/>
              </w:rPr>
            </w:pPr>
            <w:r>
              <w:rPr>
                <w:rFonts w:hint="eastAsia"/>
                <w:sz w:val="18"/>
                <w:szCs w:val="18"/>
              </w:rPr>
              <w:t>年度预算总额</w:t>
            </w:r>
          </w:p>
        </w:tc>
        <w:tc>
          <w:tcPr>
            <w:tcW w:w="1360" w:type="dxa"/>
            <w:gridSpan w:val="2"/>
            <w:shd w:val="clear" w:color="auto" w:fill="auto"/>
            <w:vAlign w:val="center"/>
          </w:tcPr>
          <w:p>
            <w:pPr>
              <w:jc w:val="center"/>
              <w:rPr>
                <w:sz w:val="18"/>
                <w:szCs w:val="18"/>
              </w:rPr>
            </w:pPr>
            <w:r>
              <w:rPr>
                <w:rFonts w:hint="eastAsia"/>
                <w:sz w:val="18"/>
                <w:szCs w:val="18"/>
              </w:rPr>
              <w:t>124.36</w:t>
            </w:r>
          </w:p>
        </w:tc>
        <w:tc>
          <w:tcPr>
            <w:tcW w:w="1360" w:type="dxa"/>
            <w:shd w:val="clear" w:color="auto" w:fill="auto"/>
            <w:vAlign w:val="center"/>
          </w:tcPr>
          <w:p>
            <w:pPr>
              <w:jc w:val="center"/>
              <w:rPr>
                <w:sz w:val="18"/>
                <w:szCs w:val="18"/>
              </w:rPr>
            </w:pPr>
            <w:r>
              <w:rPr>
                <w:rFonts w:hint="eastAsia"/>
                <w:sz w:val="18"/>
                <w:szCs w:val="18"/>
              </w:rPr>
              <w:t>其中：财政拨款</w:t>
            </w:r>
          </w:p>
        </w:tc>
        <w:tc>
          <w:tcPr>
            <w:tcW w:w="1360" w:type="dxa"/>
            <w:gridSpan w:val="2"/>
            <w:shd w:val="clear" w:color="auto" w:fill="auto"/>
            <w:vAlign w:val="center"/>
          </w:tcPr>
          <w:p>
            <w:pPr>
              <w:jc w:val="center"/>
              <w:rPr>
                <w:sz w:val="18"/>
                <w:szCs w:val="18"/>
              </w:rPr>
            </w:pPr>
            <w:r>
              <w:rPr>
                <w:rFonts w:hint="eastAsia"/>
                <w:sz w:val="18"/>
                <w:szCs w:val="18"/>
              </w:rPr>
              <w:t>124.36</w:t>
            </w:r>
          </w:p>
        </w:tc>
        <w:tc>
          <w:tcPr>
            <w:tcW w:w="1360" w:type="dxa"/>
            <w:shd w:val="clear" w:color="auto" w:fill="auto"/>
            <w:vAlign w:val="center"/>
          </w:tcPr>
          <w:p>
            <w:pPr>
              <w:jc w:val="center"/>
              <w:rPr>
                <w:sz w:val="18"/>
                <w:szCs w:val="18"/>
              </w:rPr>
            </w:pPr>
            <w:r>
              <w:rPr>
                <w:rFonts w:hint="eastAsia"/>
                <w:sz w:val="18"/>
                <w:szCs w:val="18"/>
              </w:rPr>
              <w:t>其他资金</w:t>
            </w:r>
          </w:p>
        </w:tc>
        <w:tc>
          <w:tcPr>
            <w:tcW w:w="1360" w:type="dxa"/>
            <w:shd w:val="clear" w:color="auto" w:fill="auto"/>
            <w:vAlign w:val="center"/>
          </w:tcPr>
          <w:p>
            <w:pPr>
              <w:jc w:val="center"/>
              <w:rPr>
                <w:sz w:val="18"/>
                <w:szCs w:val="18"/>
              </w:rPr>
            </w:pPr>
            <w:r>
              <w:rPr>
                <w:rFonts w:hint="eastAsia"/>
                <w:sz w:val="18"/>
                <w:szCs w:val="18"/>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360" w:type="dxa"/>
            <w:gridSpan w:val="2"/>
            <w:shd w:val="clear" w:color="auto" w:fill="auto"/>
            <w:vAlign w:val="center"/>
          </w:tcPr>
          <w:p>
            <w:pPr>
              <w:jc w:val="center"/>
              <w:rPr>
                <w:b/>
                <w:sz w:val="18"/>
                <w:szCs w:val="18"/>
              </w:rPr>
            </w:pPr>
            <w:r>
              <w:rPr>
                <w:rFonts w:hint="eastAsia"/>
                <w:b/>
                <w:sz w:val="18"/>
                <w:szCs w:val="18"/>
              </w:rPr>
              <w:t>项目总体目标</w:t>
            </w:r>
          </w:p>
        </w:tc>
        <w:tc>
          <w:tcPr>
            <w:tcW w:w="8160" w:type="dxa"/>
            <w:gridSpan w:val="8"/>
            <w:shd w:val="clear" w:color="auto" w:fill="auto"/>
            <w:vAlign w:val="center"/>
          </w:tcPr>
          <w:p>
            <w:pPr>
              <w:rPr>
                <w:b/>
                <w:sz w:val="18"/>
                <w:szCs w:val="18"/>
              </w:rPr>
            </w:pPr>
            <w:r>
              <w:rPr>
                <w:rFonts w:hint="eastAsia"/>
                <w:color w:val="000000"/>
                <w:sz w:val="18"/>
                <w:szCs w:val="18"/>
              </w:rPr>
              <w:t>本项目拟投入124.36万元，用于完成2026年预算管理一体化系统（2.0）运维费；2026年政府财务报告；2026年横联系统；2026年博思开票软件，政采云服务费，2026年绩效管理相关服务费，2026年金融办工作经费；2026年电子凭证库运维，2026年金电公司服务费，2026年河北财祥运维，2026年绩效系统软件维护费。通过项目的实施，运用大数据分析、数据挖掘技术，深度剖析财政数据，为财政决策提供精准支持。通过设置预警指标，及时发现潜在风险，如预算超支、债务风险等，为财政安全运行保驾护航，保障财政资金安全，维护财政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pPr>
              <w:jc w:val="center"/>
              <w:rPr>
                <w:b/>
                <w:sz w:val="18"/>
                <w:szCs w:val="18"/>
              </w:rPr>
            </w:pPr>
            <w:r>
              <w:rPr>
                <w:rFonts w:hint="eastAsia"/>
                <w:b/>
                <w:sz w:val="18"/>
                <w:szCs w:val="18"/>
              </w:rPr>
              <w:t>一级指标</w:t>
            </w:r>
          </w:p>
        </w:tc>
        <w:tc>
          <w:tcPr>
            <w:tcW w:w="680" w:type="dxa"/>
            <w:shd w:val="clear" w:color="auto" w:fill="auto"/>
            <w:vAlign w:val="center"/>
          </w:tcPr>
          <w:p>
            <w:pPr>
              <w:jc w:val="center"/>
              <w:rPr>
                <w:b/>
                <w:sz w:val="18"/>
                <w:szCs w:val="18"/>
              </w:rPr>
            </w:pPr>
            <w:r>
              <w:rPr>
                <w:rFonts w:hint="eastAsia"/>
                <w:b/>
                <w:sz w:val="18"/>
                <w:szCs w:val="18"/>
              </w:rPr>
              <w:t>二级指标</w:t>
            </w:r>
          </w:p>
        </w:tc>
        <w:tc>
          <w:tcPr>
            <w:tcW w:w="2040" w:type="dxa"/>
            <w:gridSpan w:val="2"/>
            <w:shd w:val="clear" w:color="auto" w:fill="auto"/>
            <w:vAlign w:val="center"/>
          </w:tcPr>
          <w:p>
            <w:pPr>
              <w:jc w:val="center"/>
              <w:rPr>
                <w:b/>
                <w:sz w:val="18"/>
                <w:szCs w:val="18"/>
              </w:rPr>
            </w:pPr>
            <w:r>
              <w:rPr>
                <w:rFonts w:hint="eastAsia"/>
                <w:b/>
                <w:sz w:val="18"/>
                <w:szCs w:val="18"/>
              </w:rPr>
              <w:t>三级指标</w:t>
            </w:r>
          </w:p>
        </w:tc>
        <w:tc>
          <w:tcPr>
            <w:tcW w:w="680" w:type="dxa"/>
            <w:shd w:val="clear" w:color="auto" w:fill="auto"/>
            <w:vAlign w:val="center"/>
          </w:tcPr>
          <w:p>
            <w:pPr>
              <w:jc w:val="center"/>
              <w:rPr>
                <w:b/>
                <w:sz w:val="18"/>
                <w:szCs w:val="18"/>
              </w:rPr>
            </w:pPr>
            <w:r>
              <w:rPr>
                <w:rFonts w:hint="eastAsia"/>
                <w:b/>
                <w:sz w:val="18"/>
                <w:szCs w:val="18"/>
              </w:rPr>
              <w:t>指标值</w:t>
            </w:r>
          </w:p>
        </w:tc>
        <w:tc>
          <w:tcPr>
            <w:tcW w:w="1360" w:type="dxa"/>
            <w:shd w:val="clear" w:color="auto" w:fill="auto"/>
            <w:vAlign w:val="center"/>
          </w:tcPr>
          <w:p>
            <w:pPr>
              <w:jc w:val="center"/>
              <w:rPr>
                <w:b/>
                <w:sz w:val="18"/>
                <w:szCs w:val="18"/>
              </w:rPr>
            </w:pPr>
            <w:r>
              <w:rPr>
                <w:rFonts w:hint="eastAsia"/>
                <w:b/>
                <w:sz w:val="18"/>
                <w:szCs w:val="18"/>
              </w:rPr>
              <w:t>指标值设置依据</w:t>
            </w:r>
          </w:p>
        </w:tc>
        <w:tc>
          <w:tcPr>
            <w:tcW w:w="680" w:type="dxa"/>
            <w:shd w:val="clear" w:color="auto" w:fill="auto"/>
            <w:vAlign w:val="center"/>
          </w:tcPr>
          <w:p>
            <w:pPr>
              <w:jc w:val="center"/>
              <w:rPr>
                <w:b/>
                <w:sz w:val="18"/>
                <w:szCs w:val="18"/>
              </w:rPr>
            </w:pPr>
            <w:r>
              <w:rPr>
                <w:rFonts w:hint="eastAsia"/>
                <w:b/>
                <w:sz w:val="18"/>
                <w:szCs w:val="18"/>
              </w:rPr>
              <w:t>上年完成值</w:t>
            </w:r>
          </w:p>
        </w:tc>
        <w:tc>
          <w:tcPr>
            <w:tcW w:w="680" w:type="dxa"/>
            <w:shd w:val="clear" w:color="auto" w:fill="auto"/>
            <w:vAlign w:val="center"/>
          </w:tcPr>
          <w:p>
            <w:pPr>
              <w:jc w:val="center"/>
              <w:rPr>
                <w:b/>
                <w:sz w:val="18"/>
                <w:szCs w:val="18"/>
              </w:rPr>
            </w:pPr>
            <w:r>
              <w:rPr>
                <w:rFonts w:hint="eastAsia"/>
                <w:b/>
                <w:sz w:val="18"/>
                <w:szCs w:val="18"/>
              </w:rPr>
              <w:t>指标分值权重</w:t>
            </w:r>
          </w:p>
        </w:tc>
        <w:tc>
          <w:tcPr>
            <w:tcW w:w="1360" w:type="dxa"/>
            <w:shd w:val="clear" w:color="auto" w:fill="auto"/>
            <w:vAlign w:val="center"/>
          </w:tcPr>
          <w:p>
            <w:pPr>
              <w:jc w:val="center"/>
              <w:rPr>
                <w:b/>
                <w:sz w:val="18"/>
                <w:szCs w:val="18"/>
              </w:rPr>
            </w:pPr>
            <w:r>
              <w:rPr>
                <w:rFonts w:hint="eastAsia"/>
                <w:b/>
                <w:sz w:val="18"/>
                <w:szCs w:val="18"/>
              </w:rPr>
              <w:t>指标赋分规则</w:t>
            </w:r>
          </w:p>
        </w:tc>
        <w:tc>
          <w:tcPr>
            <w:tcW w:w="1360" w:type="dxa"/>
            <w:shd w:val="clear" w:color="auto" w:fill="auto"/>
            <w:vAlign w:val="center"/>
          </w:tcPr>
          <w:p>
            <w:pPr>
              <w:jc w:val="center"/>
              <w:rPr>
                <w:b/>
                <w:sz w:val="18"/>
                <w:szCs w:val="18"/>
              </w:rPr>
            </w:pPr>
            <w:r>
              <w:rPr>
                <w:rFonts w:hint="eastAsia"/>
                <w:b/>
                <w:sz w:val="18"/>
                <w:szCs w:val="18"/>
              </w:rPr>
              <w:t>佐证资料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产出指标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数量指标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维护系统数量</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＞＝10个</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=8个</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质量指标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软件运行维护质量标准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行业标准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=98%</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7</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维护软件系统不间断正常运行</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行业标准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=90%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时效指标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系统维护时限</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2026年12月31日前</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16</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成本指标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经济成本指标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软件运行维护价格</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＜＝119.36万元</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=129.41万元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12</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pPr>
              <w:jc w:val="center"/>
              <w:rPr>
                <w:rFonts w:hint="eastAsia" w:ascii="宋体" w:hAnsi="宋体"/>
                <w:sz w:val="16"/>
                <w:szCs w:val="16"/>
              </w:rPr>
            </w:pPr>
          </w:p>
        </w:tc>
        <w:tc>
          <w:tcPr>
            <w:tcW w:w="680" w:type="dxa"/>
            <w:vMerge w:val="continue"/>
            <w:shd w:val="clear" w:color="auto" w:fill="auto"/>
            <w:vAlign w:val="center"/>
          </w:tcPr>
          <w:p>
            <w:pPr>
              <w:jc w:val="center"/>
              <w:rPr>
                <w:rFonts w:hint="eastAsia" w:ascii="宋体" w:hAnsi="宋体"/>
                <w:sz w:val="16"/>
                <w:szCs w:val="16"/>
              </w:rPr>
            </w:pP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金融工作经费</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＜＝5万元</w:t>
            </w:r>
          </w:p>
        </w:tc>
        <w:tc>
          <w:tcPr>
            <w:tcW w:w="136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=5万元</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8</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效益指标</w:t>
            </w:r>
          </w:p>
        </w:tc>
        <w:tc>
          <w:tcPr>
            <w:tcW w:w="680" w:type="dxa"/>
            <w:vMerge w:val="restart"/>
            <w:shd w:val="clear" w:color="auto" w:fill="auto"/>
            <w:vAlign w:val="center"/>
          </w:tcPr>
          <w:p>
            <w:pPr>
              <w:jc w:val="center"/>
              <w:rPr>
                <w:rFonts w:hint="eastAsia" w:ascii="宋体" w:hAnsi="宋体"/>
                <w:sz w:val="16"/>
                <w:szCs w:val="16"/>
              </w:rPr>
            </w:pPr>
            <w:r>
              <w:rPr>
                <w:rFonts w:hint="default" w:ascii="宋体" w:hAnsi="宋体" w:cs="宋体"/>
                <w:sz w:val="16"/>
                <w:szCs w:val="16"/>
              </w:rPr>
              <w:t>社会效益指标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提高财政业务办事效率</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显著提升</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20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按照完成比例赋分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680" w:type="dxa"/>
            <w:shd w:val="clear" w:color="auto" w:fill="auto"/>
            <w:vAlign w:val="center"/>
          </w:tcPr>
          <w:p>
            <w:pPr>
              <w:jc w:val="center"/>
              <w:rPr>
                <w:rFonts w:hint="eastAsia" w:ascii="宋体" w:hAnsi="宋体"/>
                <w:sz w:val="16"/>
                <w:szCs w:val="16"/>
              </w:rPr>
            </w:pPr>
            <w:r>
              <w:rPr>
                <w:rFonts w:hint="default" w:ascii="宋体" w:hAnsi="宋体" w:cs="宋体"/>
                <w:sz w:val="16"/>
                <w:szCs w:val="16"/>
              </w:rPr>
              <w:t>满意度指标</w:t>
            </w:r>
          </w:p>
        </w:tc>
        <w:tc>
          <w:tcPr>
            <w:tcW w:w="2040" w:type="dxa"/>
            <w:gridSpan w:val="2"/>
            <w:shd w:val="clear" w:color="auto" w:fill="auto"/>
            <w:vAlign w:val="center"/>
          </w:tcPr>
          <w:p>
            <w:pPr>
              <w:jc w:val="center"/>
              <w:rPr>
                <w:rFonts w:hint="eastAsia" w:ascii="宋体" w:hAnsi="宋体"/>
                <w:sz w:val="16"/>
                <w:szCs w:val="16"/>
              </w:rPr>
            </w:pPr>
            <w:r>
              <w:rPr>
                <w:rFonts w:hint="default" w:ascii="宋体" w:hAnsi="宋体"/>
                <w:sz w:val="16"/>
                <w:szCs w:val="16"/>
              </w:rPr>
              <w:t>服务对象满意度</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计划标准</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＝100%</w:t>
            </w:r>
          </w:p>
        </w:tc>
        <w:tc>
          <w:tcPr>
            <w:tcW w:w="680" w:type="dxa"/>
            <w:shd w:val="clear" w:color="auto" w:fill="auto"/>
            <w:vAlign w:val="center"/>
          </w:tcPr>
          <w:p>
            <w:pPr>
              <w:jc w:val="center"/>
              <w:rPr>
                <w:rFonts w:hint="eastAsia" w:ascii="宋体" w:hAnsi="宋体"/>
                <w:sz w:val="16"/>
                <w:szCs w:val="16"/>
              </w:rPr>
            </w:pPr>
            <w:r>
              <w:rPr>
                <w:rFonts w:hint="default" w:ascii="宋体" w:hAnsi="宋体"/>
                <w:sz w:val="16"/>
                <w:szCs w:val="16"/>
              </w:rPr>
              <w:t>10</w:t>
            </w:r>
          </w:p>
        </w:tc>
        <w:tc>
          <w:tcPr>
            <w:tcW w:w="1360" w:type="dxa"/>
            <w:shd w:val="clear" w:color="auto" w:fill="auto"/>
            <w:vAlign w:val="center"/>
          </w:tcPr>
          <w:p>
            <w:pPr>
              <w:jc w:val="center"/>
            </w:pPr>
            <w:r>
              <w:rPr>
                <w:rFonts w:hint="default" w:ascii="宋体" w:hAnsi="宋体"/>
                <w:sz w:val="16"/>
                <w:szCs w:val="16"/>
              </w:rPr>
              <w:t>直接赋分</w:t>
            </w:r>
          </w:p>
        </w:tc>
        <w:tc>
          <w:tcPr>
            <w:tcW w:w="1360" w:type="dxa"/>
            <w:shd w:val="clear" w:color="auto" w:fill="auto"/>
            <w:vAlign w:val="center"/>
          </w:tcPr>
          <w:p>
            <w:pPr>
              <w:jc w:val="center"/>
              <w:rPr>
                <w:rFonts w:hint="eastAsia" w:ascii="宋体" w:hAnsi="宋体"/>
                <w:sz w:val="16"/>
                <w:szCs w:val="16"/>
              </w:rPr>
            </w:pPr>
            <w:r>
              <w:rPr>
                <w:rFonts w:hint="default" w:ascii="宋体" w:hAnsi="宋体"/>
                <w:sz w:val="16"/>
                <w:szCs w:val="16"/>
              </w:rPr>
              <w:t>工作资料</w:t>
            </w:r>
          </w:p>
        </w:tc>
      </w:tr>
    </w:tbl>
    <w:p>
      <w:pPr>
        <w:pStyle w:val="2"/>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其他需说明的事项</w:t>
      </w:r>
    </w:p>
    <w:p>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本部门非财政拨款项目1个，涉及金额90万元，主要用于财政拨款基本户资金，不重复做绩效目标表，不公开绩效目标表。</w:t>
      </w:r>
    </w:p>
    <w:p>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呼图壁县财政局</w:t>
      </w:r>
    </w:p>
    <w:p>
      <w:pPr>
        <w:spacing w:line="560" w:lineRule="exact"/>
        <w:jc w:val="right"/>
        <w:rPr>
          <w:rFonts w:hint="default" w:ascii="仿宋" w:eastAsia="仿宋"/>
          <w:sz w:val="28"/>
          <w:szCs w:val="28"/>
        </w:rPr>
      </w:pPr>
      <w:r>
        <w:rPr>
          <w:rFonts w:hint="eastAsia" w:ascii="仿宋" w:hAnsi="CIDFont+F6" w:eastAsia="仿宋"/>
          <w:color w:val="000000"/>
          <w:sz w:val="28"/>
          <w:szCs w:val="28"/>
        </w:rPr>
        <w:t>2026年2月25日</w:t>
      </w:r>
    </w:p>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D52196"/>
    <w:multiLevelType w:val="multilevel"/>
    <w:tmpl w:val="80D52196"/>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CAE3DDFC"/>
    <w:multiLevelType w:val="multilevel"/>
    <w:tmpl w:val="CAE3DDF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79F94CBA"/>
    <w:multiLevelType w:val="multilevel"/>
    <w:tmpl w:val="79F94CB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4A7F13"/>
    <w:rsid w:val="11493F09"/>
    <w:rsid w:val="1FC80D82"/>
    <w:rsid w:val="2B3E6378"/>
    <w:rsid w:val="4C313A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12"/>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link w:val="13"/>
    <w:qFormat/>
    <w:uiPriority w:val="0"/>
    <w:pPr>
      <w:keepNext/>
      <w:keepLines/>
      <w:spacing w:before="260" w:after="260" w:line="416" w:lineRule="auto"/>
      <w:outlineLvl w:val="1"/>
    </w:pPr>
    <w:rPr>
      <w:rFonts w:hint="default" w:ascii="Cambria" w:hAnsi="Cambria"/>
      <w:b/>
      <w:sz w:val="32"/>
      <w:szCs w:val="32"/>
    </w:rPr>
  </w:style>
  <w:style w:type="paragraph" w:styleId="2">
    <w:name w:val="heading 3"/>
    <w:basedOn w:val="1"/>
    <w:next w:val="1"/>
    <w:link w:val="14"/>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0">
    <w:name w:val="Default Paragraph Font"/>
    <w:qFormat/>
    <w:uiPriority w:val="0"/>
  </w:style>
  <w:style w:type="table" w:default="1" w:styleId="8">
    <w:name w:val="Normal Table"/>
    <w:qFormat/>
    <w:uiPriority w:val="0"/>
    <w:rPr>
      <w:lang w:val="en-US" w:eastAsia="zh-CN" w:bidi="ar-SA"/>
    </w:rPr>
    <w:tblPr>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footer"/>
    <w:basedOn w:val="1"/>
    <w:link w:val="16"/>
    <w:qFormat/>
    <w:uiPriority w:val="0"/>
    <w:pPr>
      <w:snapToGrid w:val="0"/>
      <w:jc w:val="left"/>
    </w:pPr>
    <w:rPr>
      <w:sz w:val="18"/>
      <w:szCs w:val="18"/>
    </w:rPr>
  </w:style>
  <w:style w:type="paragraph" w:styleId="7">
    <w:name w:val="header"/>
    <w:basedOn w:val="1"/>
    <w:link w:val="15"/>
    <w:qFormat/>
    <w:uiPriority w:val="0"/>
    <w:pPr>
      <w:pBdr>
        <w:bottom w:val="single" w:color="auto" w:sz="6" w:space="1"/>
      </w:pBdr>
      <w:snapToGrid w:val="0"/>
      <w:jc w:val="center"/>
    </w:pPr>
    <w:rPr>
      <w:sz w:val="18"/>
      <w:szCs w:val="18"/>
    </w:rPr>
  </w:style>
  <w:style w:type="table" w:styleId="9">
    <w:name w:val="Table Grid"/>
    <w:basedOn w:val="8"/>
    <w:qFormat/>
    <w:uiPriority w:val="0"/>
    <w:rPr>
      <w:lang w:val="en-US" w:eastAsia="zh-CN" w:bidi="ar-S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1">
    <w:name w:val="List Paragraph"/>
    <w:basedOn w:val="1"/>
    <w:qFormat/>
    <w:uiPriority w:val="0"/>
    <w:pPr>
      <w:ind w:firstLine="420" w:firstLineChars="200"/>
    </w:pPr>
  </w:style>
  <w:style w:type="character" w:customStyle="1" w:styleId="12">
    <w:name w:val="标题 1 Char"/>
    <w:link w:val="3"/>
    <w:qFormat/>
    <w:uiPriority w:val="0"/>
    <w:rPr>
      <w:rFonts w:hint="default" w:ascii="Times New Roman" w:hAnsi="Times New Roman"/>
      <w:b/>
      <w:kern w:val="44"/>
      <w:sz w:val="44"/>
      <w:szCs w:val="44"/>
    </w:rPr>
  </w:style>
  <w:style w:type="character" w:customStyle="1" w:styleId="13">
    <w:name w:val="标题 2 Char"/>
    <w:link w:val="4"/>
    <w:qFormat/>
    <w:uiPriority w:val="0"/>
    <w:rPr>
      <w:rFonts w:hint="default" w:ascii="Cambria" w:hAnsi="Cambria"/>
      <w:b/>
      <w:kern w:val="2"/>
      <w:sz w:val="32"/>
      <w:szCs w:val="32"/>
    </w:rPr>
  </w:style>
  <w:style w:type="character" w:customStyle="1" w:styleId="14">
    <w:name w:val="标题 3 Char"/>
    <w:link w:val="2"/>
    <w:qFormat/>
    <w:uiPriority w:val="0"/>
    <w:rPr>
      <w:rFonts w:hint="default" w:ascii="Times New Roman" w:hAnsi="Times New Roman"/>
      <w:b/>
      <w:kern w:val="2"/>
      <w:sz w:val="32"/>
      <w:szCs w:val="32"/>
    </w:rPr>
  </w:style>
  <w:style w:type="character" w:customStyle="1" w:styleId="15">
    <w:name w:val="页眉 Char"/>
    <w:link w:val="7"/>
    <w:qFormat/>
    <w:uiPriority w:val="0"/>
    <w:rPr>
      <w:kern w:val="2"/>
      <w:sz w:val="18"/>
      <w:szCs w:val="18"/>
    </w:rPr>
  </w:style>
  <w:style w:type="character" w:customStyle="1" w:styleId="16">
    <w:name w:val="页脚 Char"/>
    <w:link w:val="6"/>
    <w:qFormat/>
    <w:uiPriority w:val="0"/>
    <w:rPr>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beijing</Company>
  <Pages>31</Pages>
  <Words>3724</Words>
  <Characters>5412</Characters>
  <Lines>40</Lines>
  <Paragraphs>11</Paragraphs>
  <TotalTime>39</TotalTime>
  <ScaleCrop>false</ScaleCrop>
  <LinksUpToDate>false</LinksUpToDate>
  <CharactersWithSpaces>5798</CharactersWithSpaces>
  <Application>WPS Office_11.8.2.10154_F1E327BC-269C-435d-A152-05C5408002CA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2020-11-10T12:53:00Z</dcterms:created>
  <dc:creator>home</dc:creator>
  <cp:lastModifiedBy>htbczj</cp:lastModifiedBy>
  <dcterms:modified xsi:type="dcterms:W3CDTF">2026-06-04T11:15:02Z</dcterms:modified>
  <cp:revision>87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eyJoZGlkIjoiM2QyNTVlMjA1MzU0ZmE2ZGVjNjEzNjExZjg0MmQ1MzciLCJ1c2VySWQiOiIyMjk4MzUzNDIifQ==</vt:lpwstr>
  </property>
  <property fmtid="{D5CDD505-2E9C-101B-9397-08002B2CF9AE}" pid="3" name="KSOProductBuildVer">
    <vt:lpwstr>2052-11.8.2.10154</vt:lpwstr>
  </property>
  <property fmtid="{D5CDD505-2E9C-101B-9397-08002B2CF9AE}" pid="4" name="ICV">
    <vt:lpwstr>C2FD56C01AC9419E987E2CCB5AFA0314_12</vt:lpwstr>
  </property>
</Properties>
</file>