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lang w:eastAsia="zh-CN"/>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2026年中共呼图壁县委员会办公室</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关于中共呼图壁县委员会办公室2026年收支预算情况的总体说明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关于中共呼图壁县委员会办公室2026年收入预算情况说明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关于中共呼图壁县委员会办公室2026年支出预算情况说明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关于中共呼图壁县委员会办公室2026年财政拨款收支预算情况的总体说明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关于中共呼图壁县委员会办公室2026年一般公共预算当年拨款情况说明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关于中共呼图壁县委员会办公室2026年一般公共预算基本支出情况说明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关于中共呼图壁县委员会办公室2026年一般公共预算项目支出情况说明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关于中共呼图壁县委员会办公室2026年政府性基金预算拨款情况说明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关于中共呼图壁县委员会办公室2026年国有资本经营预算拨款情况说明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关于中共呼图壁县委员会办公室2026年财政拨款“三公”经费预算情况说明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关于中共呼图壁县委员会办公室2026年财政拨款委托业务费支出情况说明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关于中共呼图壁县委员会办公室2026年上年结转结余预算情况说明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2026年部门概况</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部门职能不予公开。</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中共呼图壁县委员会办公室无下属预算单位。</w:t>
      </w:r>
    </w:p>
    <w:p>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081"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编制部门：中共呼图壁县委员会办公室</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997.41</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718.48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927.56</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927.56</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54.97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69.85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69.85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1.20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1.20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1.20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120.68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998.61</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998.61</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8"/>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编制部门：中共呼图壁县委员会办公室</w:t>
            </w:r>
          </w:p>
        </w:tc>
        <w:tc>
          <w:tcPr>
            <w:tcW w:w="1800" w:type="dxa"/>
            <w:gridSpan w:val="2"/>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0"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pPr>
              <w:jc w:val="center"/>
              <w:rPr>
                <w:rFonts w:hint="default" w:ascii="宋体" w:hAnsi="宋体"/>
                <w:sz w:val="18"/>
                <w:szCs w:val="18"/>
              </w:rPr>
            </w:pPr>
          </w:p>
        </w:tc>
        <w:tc>
          <w:tcPr>
            <w:tcW w:w="1140" w:type="dxa"/>
            <w:vMerge w:val="continue"/>
            <w:shd w:val="clear" w:color="auto" w:fill="auto"/>
            <w:vAlign w:val="center"/>
          </w:tcPr>
          <w:p>
            <w:pPr>
              <w:jc w:val="center"/>
              <w:rPr>
                <w:rFonts w:hint="default" w:ascii="宋体" w:hAnsi="宋体"/>
                <w:sz w:val="18"/>
                <w:szCs w:val="18"/>
              </w:rPr>
            </w:pP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00"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一般公共服务支出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718.48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713.43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713.43</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3.85</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1.20</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31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党委办公厅（室）及相关机构事务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718.48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713.43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713.43</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3.85</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1.20</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31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411.78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411.43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411.43</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0.35</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31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一般行政管理事务</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1.20</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31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50</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171.29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167.79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167.79</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3.50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31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其他党委办公厅（室）及相关机构事务支出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134.20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134.20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134.20</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104.49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104.49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104.49</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104.49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104.49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104.49</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行政单位离退休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7.49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7.49</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7.49</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64.67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64.67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64.67</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机关事业单位职业年金缴费支出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32.33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32.33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32.33</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54.97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54.97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54.97</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54.97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54.97</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54.97</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24.56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24.56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24.56</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13.83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13.83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13.83</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公务员医疗补助</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16.17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16.17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16.17</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其他行政事业单位医疗支出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0.40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0.40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0.40</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120.68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54.68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54.68</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66.00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120.68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54.68</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54.68</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66.00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120.68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54.68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54.68</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66.00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998.61</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927.56</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927.56</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69.85</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1.20</w:t>
            </w:r>
          </w:p>
        </w:tc>
        <w:tc>
          <w:tcPr>
            <w:tcW w:w="900" w:type="dxa"/>
            <w:shd w:val="clear" w:color="auto" w:fill="auto"/>
            <w:vAlign w:val="center"/>
          </w:tcPr>
          <w:p>
            <w:pPr>
              <w:jc w:val="right"/>
              <w:rPr>
                <w:rFonts w:hint="eastAsia" w:ascii="宋体" w:hAnsi="宋体"/>
                <w:b/>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编制部门：中共呼图壁县委员会办公室</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169" w:type="dxa"/>
            <w:vMerge w:val="restart"/>
            <w:shd w:val="clear" w:color="auto" w:fill="auto"/>
            <w:vAlign w:val="center"/>
          </w:tcPr>
          <w:p>
            <w:pPr>
              <w:jc w:val="center"/>
              <w:rPr>
                <w:sz w:val="18"/>
                <w:szCs w:val="18"/>
              </w:rPr>
            </w:pPr>
            <w:r>
              <w:rPr>
                <w:rFonts w:hint="eastAsia"/>
                <w:sz w:val="18"/>
                <w:szCs w:val="18"/>
              </w:rPr>
              <w:t>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一般公共服务支出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718.48</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583.08</w:t>
            </w:r>
          </w:p>
        </w:tc>
        <w:tc>
          <w:tcPr>
            <w:tcW w:w="340" w:type="dxa"/>
            <w:shd w:val="clear" w:color="auto" w:fill="auto"/>
            <w:vAlign w:val="center"/>
          </w:tcPr>
          <w:p>
            <w:pPr>
              <w:jc w:val="right"/>
              <w:rPr>
                <w:b/>
                <w:sz w:val="18"/>
                <w:szCs w:val="18"/>
              </w:rPr>
            </w:pPr>
            <w:r>
              <w:rPr>
                <w:rFonts w:hint="eastAsia" w:ascii="宋体" w:hAnsi="宋体"/>
                <w:b/>
                <w:color w:val="000000"/>
                <w:sz w:val="18"/>
                <w:szCs w:val="18"/>
              </w:rPr>
              <w:t>135.40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31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党委办公厅（室）及相关机构事务</w:t>
            </w:r>
          </w:p>
        </w:tc>
        <w:tc>
          <w:tcPr>
            <w:tcW w:w="340" w:type="dxa"/>
            <w:shd w:val="clear" w:color="auto" w:fill="auto"/>
            <w:vAlign w:val="center"/>
          </w:tcPr>
          <w:p>
            <w:pPr>
              <w:jc w:val="right"/>
              <w:rPr>
                <w:b/>
                <w:sz w:val="18"/>
                <w:szCs w:val="18"/>
              </w:rPr>
            </w:pPr>
            <w:r>
              <w:rPr>
                <w:rFonts w:hint="eastAsia" w:ascii="宋体" w:hAnsi="宋体"/>
                <w:b/>
                <w:color w:val="000000"/>
                <w:sz w:val="18"/>
                <w:szCs w:val="18"/>
              </w:rPr>
              <w:t>718.48</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583.08</w:t>
            </w:r>
          </w:p>
        </w:tc>
        <w:tc>
          <w:tcPr>
            <w:tcW w:w="340" w:type="dxa"/>
            <w:shd w:val="clear" w:color="auto" w:fill="auto"/>
            <w:vAlign w:val="center"/>
          </w:tcPr>
          <w:p>
            <w:pPr>
              <w:jc w:val="right"/>
              <w:rPr>
                <w:b/>
                <w:sz w:val="18"/>
                <w:szCs w:val="18"/>
              </w:rPr>
            </w:pPr>
            <w:r>
              <w:rPr>
                <w:rFonts w:hint="eastAsia" w:ascii="宋体" w:hAnsi="宋体"/>
                <w:b/>
                <w:color w:val="000000"/>
                <w:sz w:val="18"/>
                <w:szCs w:val="18"/>
              </w:rPr>
              <w:t>135.40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31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行政运行</w:t>
            </w:r>
          </w:p>
        </w:tc>
        <w:tc>
          <w:tcPr>
            <w:tcW w:w="340" w:type="dxa"/>
            <w:shd w:val="clear" w:color="auto" w:fill="auto"/>
            <w:vAlign w:val="center"/>
          </w:tcPr>
          <w:p>
            <w:pPr>
              <w:jc w:val="right"/>
              <w:rPr>
                <w:sz w:val="18"/>
                <w:szCs w:val="18"/>
              </w:rPr>
            </w:pPr>
            <w:r>
              <w:rPr>
                <w:rFonts w:hint="eastAsia" w:ascii="宋体" w:hAnsi="宋体"/>
                <w:color w:val="000000"/>
                <w:sz w:val="18"/>
                <w:szCs w:val="18"/>
              </w:rPr>
              <w:t>411.78</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411.78</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31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一般行政管理事务</w:t>
            </w:r>
          </w:p>
        </w:tc>
        <w:tc>
          <w:tcPr>
            <w:tcW w:w="340" w:type="dxa"/>
            <w:shd w:val="clear" w:color="auto" w:fill="auto"/>
            <w:vAlign w:val="center"/>
          </w:tcPr>
          <w:p>
            <w:pPr>
              <w:jc w:val="right"/>
              <w:rPr>
                <w:sz w:val="18"/>
                <w:szCs w:val="18"/>
              </w:rPr>
            </w:pPr>
            <w:r>
              <w:rPr>
                <w:rFonts w:hint="eastAsia" w:ascii="宋体" w:hAnsi="宋体"/>
                <w:color w:val="000000"/>
                <w:sz w:val="18"/>
                <w:szCs w:val="18"/>
              </w:rPr>
              <w:t>1.20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31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50</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事业运行</w:t>
            </w:r>
          </w:p>
        </w:tc>
        <w:tc>
          <w:tcPr>
            <w:tcW w:w="340" w:type="dxa"/>
            <w:shd w:val="clear" w:color="auto" w:fill="auto"/>
            <w:vAlign w:val="center"/>
          </w:tcPr>
          <w:p>
            <w:pPr>
              <w:jc w:val="right"/>
              <w:rPr>
                <w:sz w:val="18"/>
                <w:szCs w:val="18"/>
              </w:rPr>
            </w:pPr>
            <w:r>
              <w:rPr>
                <w:rFonts w:hint="eastAsia" w:ascii="宋体" w:hAnsi="宋体"/>
                <w:color w:val="000000"/>
                <w:sz w:val="18"/>
                <w:szCs w:val="18"/>
              </w:rPr>
              <w:t>171.29</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171.29</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31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其他党委办公厅（室）及相关机构事务支出</w:t>
            </w:r>
          </w:p>
        </w:tc>
        <w:tc>
          <w:tcPr>
            <w:tcW w:w="340" w:type="dxa"/>
            <w:shd w:val="clear" w:color="auto" w:fill="auto"/>
            <w:vAlign w:val="center"/>
          </w:tcPr>
          <w:p>
            <w:pPr>
              <w:jc w:val="right"/>
              <w:rPr>
                <w:sz w:val="18"/>
                <w:szCs w:val="18"/>
              </w:rPr>
            </w:pPr>
            <w:r>
              <w:rPr>
                <w:rFonts w:hint="eastAsia" w:ascii="宋体" w:hAnsi="宋体"/>
                <w:color w:val="000000"/>
                <w:sz w:val="18"/>
                <w:szCs w:val="18"/>
              </w:rPr>
              <w:t>134.20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134.20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104.49</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104.49</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104.49</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104.49</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行政单位离退休</w:t>
            </w:r>
          </w:p>
        </w:tc>
        <w:tc>
          <w:tcPr>
            <w:tcW w:w="340" w:type="dxa"/>
            <w:shd w:val="clear" w:color="auto" w:fill="auto"/>
            <w:vAlign w:val="center"/>
          </w:tcPr>
          <w:p>
            <w:pPr>
              <w:jc w:val="right"/>
              <w:rPr>
                <w:sz w:val="18"/>
                <w:szCs w:val="18"/>
              </w:rPr>
            </w:pPr>
            <w:r>
              <w:rPr>
                <w:rFonts w:hint="eastAsia" w:ascii="宋体" w:hAnsi="宋体"/>
                <w:color w:val="000000"/>
                <w:sz w:val="18"/>
                <w:szCs w:val="18"/>
              </w:rPr>
              <w:t>7.49</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7.49</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64.67</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64.67</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机关事业单位职业年金缴费支出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32.33</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32.33</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54.97</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54.97</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340" w:type="dxa"/>
            <w:shd w:val="clear" w:color="auto" w:fill="auto"/>
            <w:vAlign w:val="center"/>
          </w:tcPr>
          <w:p>
            <w:pPr>
              <w:jc w:val="right"/>
              <w:rPr>
                <w:b/>
                <w:sz w:val="18"/>
                <w:szCs w:val="18"/>
              </w:rPr>
            </w:pPr>
            <w:r>
              <w:rPr>
                <w:rFonts w:hint="eastAsia" w:ascii="宋体" w:hAnsi="宋体"/>
                <w:b/>
                <w:color w:val="000000"/>
                <w:sz w:val="18"/>
                <w:szCs w:val="18"/>
              </w:rPr>
              <w:t>54.97</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54.97</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24.56</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24.56</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13.83</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13.83</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公务员医疗补助</w:t>
            </w:r>
          </w:p>
        </w:tc>
        <w:tc>
          <w:tcPr>
            <w:tcW w:w="340" w:type="dxa"/>
            <w:shd w:val="clear" w:color="auto" w:fill="auto"/>
            <w:vAlign w:val="center"/>
          </w:tcPr>
          <w:p>
            <w:pPr>
              <w:jc w:val="right"/>
              <w:rPr>
                <w:sz w:val="18"/>
                <w:szCs w:val="18"/>
              </w:rPr>
            </w:pPr>
            <w:r>
              <w:rPr>
                <w:rFonts w:hint="eastAsia" w:ascii="宋体" w:hAnsi="宋体"/>
                <w:color w:val="000000"/>
                <w:sz w:val="18"/>
                <w:szCs w:val="18"/>
              </w:rPr>
              <w:t>16.17</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16.17</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其他行政事业单位医疗支出</w:t>
            </w:r>
          </w:p>
        </w:tc>
        <w:tc>
          <w:tcPr>
            <w:tcW w:w="340" w:type="dxa"/>
            <w:shd w:val="clear" w:color="auto" w:fill="auto"/>
            <w:vAlign w:val="center"/>
          </w:tcPr>
          <w:p>
            <w:pPr>
              <w:jc w:val="right"/>
              <w:rPr>
                <w:sz w:val="18"/>
                <w:szCs w:val="18"/>
              </w:rPr>
            </w:pPr>
            <w:r>
              <w:rPr>
                <w:rFonts w:hint="eastAsia" w:ascii="宋体" w:hAnsi="宋体"/>
                <w:color w:val="000000"/>
                <w:sz w:val="18"/>
                <w:szCs w:val="18"/>
              </w:rPr>
              <w:t>0.40</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0.40</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120.68</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120.68</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120.68</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120.68</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340" w:type="dxa"/>
            <w:shd w:val="clear" w:color="auto" w:fill="auto"/>
            <w:vAlign w:val="center"/>
          </w:tcPr>
          <w:p>
            <w:pPr>
              <w:jc w:val="right"/>
              <w:rPr>
                <w:sz w:val="18"/>
                <w:szCs w:val="18"/>
              </w:rPr>
            </w:pPr>
            <w:r>
              <w:rPr>
                <w:rFonts w:hint="eastAsia" w:ascii="宋体" w:hAnsi="宋体"/>
                <w:color w:val="000000"/>
                <w:sz w:val="18"/>
                <w:szCs w:val="18"/>
              </w:rPr>
              <w:t>120.68</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120.68</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340" w:type="dxa"/>
            <w:shd w:val="clear" w:color="auto" w:fill="auto"/>
            <w:vAlign w:val="center"/>
          </w:tcPr>
          <w:p>
            <w:pPr>
              <w:jc w:val="right"/>
              <w:rPr>
                <w:b/>
                <w:sz w:val="18"/>
                <w:szCs w:val="18"/>
              </w:rPr>
            </w:pPr>
            <w:r>
              <w:rPr>
                <w:rFonts w:hint="eastAsia" w:ascii="宋体" w:hAnsi="宋体"/>
                <w:b/>
                <w:color w:val="000000"/>
                <w:sz w:val="18"/>
                <w:szCs w:val="18"/>
              </w:rPr>
              <w:t>998.61</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863.21</w:t>
            </w:r>
          </w:p>
        </w:tc>
        <w:tc>
          <w:tcPr>
            <w:tcW w:w="340" w:type="dxa"/>
            <w:shd w:val="clear" w:color="auto" w:fill="auto"/>
            <w:vAlign w:val="center"/>
          </w:tcPr>
          <w:p>
            <w:pPr>
              <w:jc w:val="right"/>
              <w:rPr>
                <w:b/>
                <w:sz w:val="18"/>
                <w:szCs w:val="18"/>
              </w:rPr>
            </w:pPr>
            <w:r>
              <w:rPr>
                <w:rFonts w:hint="eastAsia" w:ascii="宋体" w:hAnsi="宋体"/>
                <w:b/>
                <w:color w:val="000000"/>
                <w:sz w:val="18"/>
                <w:szCs w:val="18"/>
              </w:rPr>
              <w:t>135.40</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8"/>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编制部门：中共呼图壁县委员会办公室</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927.56</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713.43</w:t>
            </w:r>
          </w:p>
        </w:tc>
        <w:tc>
          <w:tcPr>
            <w:tcW w:w="1063" w:type="dxa"/>
            <w:gridSpan w:val="2"/>
            <w:shd w:val="clear" w:color="auto" w:fill="auto"/>
          </w:tcPr>
          <w:p>
            <w:pPr>
              <w:jc w:val="right"/>
              <w:rPr>
                <w:rFonts w:hint="default" w:ascii="宋体" w:hAnsi="宋体"/>
                <w:color w:val="000000"/>
                <w:sz w:val="18"/>
                <w:szCs w:val="18"/>
              </w:rPr>
            </w:pPr>
            <w:r>
              <w:rPr>
                <w:rFonts w:hint="eastAsia" w:ascii="宋体" w:hAnsi="宋体"/>
                <w:color w:val="000000"/>
                <w:sz w:val="18"/>
                <w:szCs w:val="18"/>
              </w:rPr>
              <w:t>713.43</w:t>
            </w: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927.56</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104.49</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104.49</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54.97</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54.97</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54.68</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54.68</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927.56</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927.56</w:t>
            </w:r>
          </w:p>
        </w:tc>
        <w:tc>
          <w:tcPr>
            <w:tcW w:w="1063" w:type="dxa"/>
            <w:gridSpan w:val="2"/>
            <w:shd w:val="clear" w:color="auto" w:fill="auto"/>
          </w:tcPr>
          <w:p>
            <w:pPr>
              <w:jc w:val="right"/>
              <w:rPr>
                <w:sz w:val="18"/>
                <w:szCs w:val="18"/>
              </w:rPr>
            </w:pPr>
            <w:r>
              <w:rPr>
                <w:rFonts w:hint="eastAsia" w:ascii="宋体" w:hAnsi="宋体"/>
                <w:b/>
                <w:color w:val="000000"/>
                <w:sz w:val="18"/>
                <w:szCs w:val="18"/>
              </w:rPr>
              <w:t>927.56</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编制部门：中共呼图壁县委员会办公室</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026"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一般公共服务支出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713.43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579.23</w:t>
            </w:r>
          </w:p>
        </w:tc>
        <w:tc>
          <w:tcPr>
            <w:tcW w:w="1427" w:type="dxa"/>
            <w:shd w:val="clear" w:color="auto" w:fill="auto"/>
            <w:vAlign w:val="center"/>
          </w:tcPr>
          <w:p>
            <w:pPr>
              <w:jc w:val="right"/>
              <w:rPr>
                <w:b/>
                <w:sz w:val="18"/>
                <w:szCs w:val="18"/>
              </w:rPr>
            </w:pPr>
            <w:r>
              <w:rPr>
                <w:rFonts w:hint="eastAsia" w:ascii="宋体" w:hAnsi="宋体"/>
                <w:b/>
                <w:color w:val="000000"/>
                <w:sz w:val="18"/>
                <w:szCs w:val="18"/>
              </w:rPr>
              <w:t>134.20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r>
              <w:rPr>
                <w:rFonts w:hint="eastAsia" w:ascii="宋体" w:hAnsi="宋体"/>
                <w:b/>
                <w:color w:val="000000"/>
                <w:sz w:val="18"/>
                <w:szCs w:val="18"/>
              </w:rPr>
              <w:t>31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党委办公厅（室）及相关机构事务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713.43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579.23</w:t>
            </w:r>
          </w:p>
        </w:tc>
        <w:tc>
          <w:tcPr>
            <w:tcW w:w="1427" w:type="dxa"/>
            <w:shd w:val="clear" w:color="auto" w:fill="auto"/>
            <w:vAlign w:val="center"/>
          </w:tcPr>
          <w:p>
            <w:pPr>
              <w:jc w:val="right"/>
              <w:rPr>
                <w:b/>
                <w:sz w:val="18"/>
                <w:szCs w:val="18"/>
              </w:rPr>
            </w:pPr>
            <w:r>
              <w:rPr>
                <w:rFonts w:hint="eastAsia" w:ascii="宋体" w:hAnsi="宋体"/>
                <w:b/>
                <w:color w:val="000000"/>
                <w:sz w:val="18"/>
                <w:szCs w:val="18"/>
              </w:rPr>
              <w:t>134.20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31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411.43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411.43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31</w:t>
            </w:r>
          </w:p>
        </w:tc>
        <w:tc>
          <w:tcPr>
            <w:tcW w:w="567" w:type="dxa"/>
            <w:shd w:val="clear" w:color="auto" w:fill="auto"/>
            <w:vAlign w:val="center"/>
          </w:tcPr>
          <w:p>
            <w:pPr>
              <w:jc w:val="center"/>
              <w:rPr>
                <w:sz w:val="18"/>
                <w:szCs w:val="18"/>
              </w:rPr>
            </w:pPr>
            <w:r>
              <w:rPr>
                <w:rFonts w:hint="eastAsia" w:ascii="宋体" w:hAnsi="宋体"/>
                <w:color w:val="000000"/>
                <w:sz w:val="18"/>
                <w:szCs w:val="18"/>
              </w:rPr>
              <w:t>50</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167.79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167.79</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31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其他党委办公厅（室）及相关机构事务支出</w:t>
            </w:r>
          </w:p>
        </w:tc>
        <w:tc>
          <w:tcPr>
            <w:tcW w:w="1367" w:type="dxa"/>
            <w:shd w:val="clear" w:color="auto" w:fill="auto"/>
            <w:vAlign w:val="center"/>
          </w:tcPr>
          <w:p>
            <w:pPr>
              <w:jc w:val="right"/>
              <w:rPr>
                <w:sz w:val="18"/>
                <w:szCs w:val="18"/>
              </w:rPr>
            </w:pPr>
            <w:r>
              <w:rPr>
                <w:rFonts w:hint="eastAsia" w:ascii="宋体" w:hAnsi="宋体"/>
                <w:color w:val="000000"/>
                <w:sz w:val="18"/>
                <w:szCs w:val="18"/>
              </w:rPr>
              <w:t>134.20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134.20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104.49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104.49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104.49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104.49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7.49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7.49</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64.67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64.67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机关事业单位职业年金缴费支出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32.33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32.33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54.97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54.97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54.97</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54.97</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24.56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24.56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13.83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13.83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16.17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16.17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其他行政事业单位医疗支出</w:t>
            </w:r>
          </w:p>
        </w:tc>
        <w:tc>
          <w:tcPr>
            <w:tcW w:w="1367" w:type="dxa"/>
            <w:shd w:val="clear" w:color="auto" w:fill="auto"/>
            <w:vAlign w:val="center"/>
          </w:tcPr>
          <w:p>
            <w:pPr>
              <w:jc w:val="right"/>
              <w:rPr>
                <w:sz w:val="18"/>
                <w:szCs w:val="18"/>
              </w:rPr>
            </w:pPr>
            <w:r>
              <w:rPr>
                <w:rFonts w:hint="eastAsia" w:ascii="宋体" w:hAnsi="宋体"/>
                <w:color w:val="000000"/>
                <w:sz w:val="18"/>
                <w:szCs w:val="18"/>
              </w:rPr>
              <w:t>0.40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0.40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54.68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54.68</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54.68</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54.68</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54.68</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54.68</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927.56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793.36</w:t>
            </w:r>
          </w:p>
        </w:tc>
        <w:tc>
          <w:tcPr>
            <w:tcW w:w="1427" w:type="dxa"/>
            <w:shd w:val="clear" w:color="auto" w:fill="auto"/>
            <w:vAlign w:val="center"/>
          </w:tcPr>
          <w:p>
            <w:pPr>
              <w:jc w:val="right"/>
              <w:rPr>
                <w:b/>
                <w:sz w:val="18"/>
                <w:szCs w:val="18"/>
              </w:rPr>
            </w:pPr>
            <w:r>
              <w:rPr>
                <w:rFonts w:hint="eastAsia" w:ascii="宋体" w:hAnsi="宋体"/>
                <w:b/>
                <w:color w:val="000000"/>
                <w:sz w:val="18"/>
                <w:szCs w:val="18"/>
              </w:rPr>
              <w:t>134.20</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编制部门：中共呼图壁县委员会办公室</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科目代码</w:t>
            </w:r>
          </w:p>
        </w:tc>
        <w:tc>
          <w:tcPr>
            <w:tcW w:w="4593"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664.66</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664.66</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168.77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168.77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113.27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113.27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135.40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135.40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38.23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38.23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64.67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64.67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职业年金缴费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32.33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32.33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38.40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38.40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16.17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16.17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2.75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2.75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54.68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54.68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116.80</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116.80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3.56</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3.56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0.11</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0.18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1.26</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差旅费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1.04</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公务接待费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1.11</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劳务费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80.15</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80.15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7.80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7.80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21.60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11.90</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11.90</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7.49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7.49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3.64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3.64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0.77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0.77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793.36</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676.56</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116.80</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8"/>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1748"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编制部门：中共呼图壁县委员会办公室</w:t>
            </w:r>
          </w:p>
        </w:tc>
        <w:tc>
          <w:tcPr>
            <w:tcW w:w="1700"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60" w:type="dxa"/>
            <w:gridSpan w:val="3"/>
            <w:shd w:val="clear" w:color="auto" w:fill="auto"/>
            <w:vAlign w:val="center"/>
          </w:tcPr>
          <w:p>
            <w:pPr>
              <w:jc w:val="center"/>
              <w:rPr>
                <w:sz w:val="18"/>
                <w:szCs w:val="18"/>
              </w:rPr>
            </w:pPr>
            <w:r>
              <w:rPr>
                <w:rFonts w:hint="eastAsia"/>
                <w:sz w:val="18"/>
                <w:szCs w:val="18"/>
              </w:rPr>
              <w:t>科目代码</w:t>
            </w:r>
          </w:p>
        </w:tc>
        <w:tc>
          <w:tcPr>
            <w:tcW w:w="2000" w:type="dxa"/>
            <w:vMerge w:val="restart"/>
            <w:shd w:val="clear" w:color="auto" w:fill="auto"/>
            <w:vAlign w:val="center"/>
          </w:tcPr>
          <w:p>
            <w:pPr>
              <w:jc w:val="center"/>
              <w:rPr>
                <w:sz w:val="18"/>
                <w:szCs w:val="18"/>
              </w:rPr>
            </w:pPr>
            <w:r>
              <w:rPr>
                <w:rFonts w:hint="eastAsia"/>
                <w:sz w:val="18"/>
                <w:szCs w:val="18"/>
              </w:rPr>
              <w:t>科目名称</w:t>
            </w:r>
          </w:p>
        </w:tc>
        <w:tc>
          <w:tcPr>
            <w:tcW w:w="2000" w:type="dxa"/>
            <w:vMerge w:val="restart"/>
            <w:shd w:val="clear" w:color="auto" w:fill="auto"/>
            <w:vAlign w:val="center"/>
          </w:tcPr>
          <w:p>
            <w:pPr>
              <w:jc w:val="center"/>
              <w:rPr>
                <w:sz w:val="18"/>
                <w:szCs w:val="18"/>
              </w:rPr>
            </w:pPr>
            <w:r>
              <w:rPr>
                <w:rFonts w:hint="eastAsia"/>
                <w:sz w:val="18"/>
                <w:szCs w:val="18"/>
              </w:rPr>
              <w:t>项目名称</w:t>
            </w:r>
          </w:p>
        </w:tc>
        <w:tc>
          <w:tcPr>
            <w:tcW w:w="850" w:type="dxa"/>
            <w:vMerge w:val="restart"/>
            <w:shd w:val="clear" w:color="auto" w:fill="auto"/>
            <w:vAlign w:val="center"/>
          </w:tcPr>
          <w:p>
            <w:pPr>
              <w:jc w:val="center"/>
              <w:rPr>
                <w:sz w:val="18"/>
                <w:szCs w:val="18"/>
              </w:rPr>
            </w:pPr>
            <w:r>
              <w:rPr>
                <w:rFonts w:hint="eastAsia"/>
                <w:sz w:val="18"/>
                <w:szCs w:val="18"/>
              </w:rPr>
              <w:t>项目支出合计</w:t>
            </w:r>
          </w:p>
        </w:tc>
        <w:tc>
          <w:tcPr>
            <w:tcW w:w="850" w:type="dxa"/>
            <w:vMerge w:val="restart"/>
            <w:shd w:val="clear" w:color="auto" w:fill="auto"/>
            <w:vAlign w:val="center"/>
          </w:tcPr>
          <w:p>
            <w:pPr>
              <w:jc w:val="center"/>
              <w:rPr>
                <w:sz w:val="18"/>
                <w:szCs w:val="18"/>
              </w:rPr>
            </w:pPr>
            <w:r>
              <w:rPr>
                <w:rFonts w:hint="eastAsia"/>
                <w:sz w:val="18"/>
                <w:szCs w:val="18"/>
              </w:rPr>
              <w:t>工资福利支出</w:t>
            </w:r>
          </w:p>
        </w:tc>
        <w:tc>
          <w:tcPr>
            <w:tcW w:w="850" w:type="dxa"/>
            <w:vMerge w:val="restart"/>
            <w:shd w:val="clear" w:color="auto" w:fill="auto"/>
            <w:vAlign w:val="center"/>
          </w:tcPr>
          <w:p>
            <w:pPr>
              <w:jc w:val="center"/>
              <w:rPr>
                <w:sz w:val="18"/>
                <w:szCs w:val="18"/>
              </w:rPr>
            </w:pPr>
            <w:r>
              <w:rPr>
                <w:rFonts w:hint="eastAsia"/>
                <w:sz w:val="18"/>
                <w:szCs w:val="18"/>
              </w:rPr>
              <w:t>商品和服务支出</w:t>
            </w:r>
          </w:p>
        </w:tc>
        <w:tc>
          <w:tcPr>
            <w:tcW w:w="850" w:type="dxa"/>
            <w:vMerge w:val="restart"/>
            <w:shd w:val="clear" w:color="auto" w:fill="auto"/>
            <w:vAlign w:val="center"/>
          </w:tcPr>
          <w:p>
            <w:pPr>
              <w:jc w:val="center"/>
              <w:rPr>
                <w:sz w:val="18"/>
                <w:szCs w:val="18"/>
              </w:rPr>
            </w:pPr>
            <w:r>
              <w:rPr>
                <w:rFonts w:hint="eastAsia"/>
                <w:sz w:val="18"/>
                <w:szCs w:val="18"/>
              </w:rPr>
              <w:t>对个人和家庭的补助</w:t>
            </w:r>
          </w:p>
        </w:tc>
        <w:tc>
          <w:tcPr>
            <w:tcW w:w="850" w:type="dxa"/>
            <w:vMerge w:val="restart"/>
            <w:shd w:val="clear" w:color="auto" w:fill="auto"/>
            <w:vAlign w:val="center"/>
          </w:tcPr>
          <w:p>
            <w:pPr>
              <w:jc w:val="center"/>
              <w:rPr>
                <w:sz w:val="18"/>
                <w:szCs w:val="18"/>
              </w:rPr>
            </w:pPr>
            <w:r>
              <w:rPr>
                <w:rFonts w:hint="eastAsia"/>
                <w:sz w:val="18"/>
                <w:szCs w:val="18"/>
              </w:rPr>
              <w:t>债务利息及费用支出</w:t>
            </w:r>
          </w:p>
        </w:tc>
        <w:tc>
          <w:tcPr>
            <w:tcW w:w="850" w:type="dxa"/>
            <w:vMerge w:val="restart"/>
            <w:shd w:val="clear" w:color="auto" w:fill="auto"/>
            <w:vAlign w:val="center"/>
          </w:tcPr>
          <w:p>
            <w:pPr>
              <w:jc w:val="center"/>
              <w:rPr>
                <w:sz w:val="18"/>
                <w:szCs w:val="18"/>
              </w:rPr>
            </w:pPr>
            <w:r>
              <w:rPr>
                <w:rFonts w:hint="eastAsia"/>
                <w:sz w:val="18"/>
                <w:szCs w:val="18"/>
              </w:rPr>
              <w:t>资本性支出（基本建设）</w:t>
            </w:r>
          </w:p>
        </w:tc>
        <w:tc>
          <w:tcPr>
            <w:tcW w:w="850" w:type="dxa"/>
            <w:vMerge w:val="restart"/>
            <w:shd w:val="clear" w:color="auto" w:fill="auto"/>
            <w:vAlign w:val="center"/>
          </w:tcPr>
          <w:p>
            <w:pPr>
              <w:jc w:val="center"/>
              <w:rPr>
                <w:sz w:val="18"/>
                <w:szCs w:val="18"/>
              </w:rPr>
            </w:pPr>
            <w:r>
              <w:rPr>
                <w:rFonts w:hint="eastAsia"/>
                <w:sz w:val="18"/>
                <w:szCs w:val="18"/>
              </w:rPr>
              <w:t>资本性支出</w:t>
            </w:r>
          </w:p>
        </w:tc>
        <w:tc>
          <w:tcPr>
            <w:tcW w:w="850" w:type="dxa"/>
            <w:vMerge w:val="restart"/>
            <w:shd w:val="clear" w:color="auto" w:fill="auto"/>
            <w:vAlign w:val="center"/>
          </w:tcPr>
          <w:p>
            <w:pPr>
              <w:jc w:val="center"/>
              <w:rPr>
                <w:sz w:val="18"/>
                <w:szCs w:val="18"/>
              </w:rPr>
            </w:pPr>
            <w:r>
              <w:rPr>
                <w:rFonts w:hint="eastAsia"/>
                <w:sz w:val="18"/>
                <w:szCs w:val="18"/>
              </w:rPr>
              <w:t>对企业补助（基本建设）</w:t>
            </w:r>
          </w:p>
        </w:tc>
        <w:tc>
          <w:tcPr>
            <w:tcW w:w="850" w:type="dxa"/>
            <w:vMerge w:val="restart"/>
            <w:shd w:val="clear" w:color="auto" w:fill="auto"/>
            <w:vAlign w:val="center"/>
          </w:tcPr>
          <w:p>
            <w:pPr>
              <w:jc w:val="center"/>
              <w:rPr>
                <w:sz w:val="18"/>
                <w:szCs w:val="18"/>
              </w:rPr>
            </w:pPr>
            <w:r>
              <w:rPr>
                <w:rFonts w:hint="eastAsia"/>
                <w:sz w:val="18"/>
                <w:szCs w:val="18"/>
              </w:rPr>
              <w:t>对企业补助</w:t>
            </w:r>
          </w:p>
        </w:tc>
        <w:tc>
          <w:tcPr>
            <w:tcW w:w="850" w:type="dxa"/>
            <w:vMerge w:val="restart"/>
            <w:shd w:val="clear" w:color="auto" w:fill="auto"/>
            <w:vAlign w:val="center"/>
          </w:tcPr>
          <w:p>
            <w:pPr>
              <w:jc w:val="center"/>
              <w:rPr>
                <w:sz w:val="18"/>
                <w:szCs w:val="18"/>
              </w:rPr>
            </w:pPr>
            <w:r>
              <w:rPr>
                <w:rFonts w:hint="eastAsia"/>
                <w:sz w:val="18"/>
                <w:szCs w:val="18"/>
              </w:rPr>
              <w:t>对社会保障基金补助</w:t>
            </w:r>
          </w:p>
        </w:tc>
        <w:tc>
          <w:tcPr>
            <w:tcW w:w="850"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260" w:type="dxa"/>
            <w:shd w:val="clear" w:color="auto" w:fill="auto"/>
            <w:vAlign w:val="center"/>
          </w:tcPr>
          <w:p>
            <w:pPr>
              <w:jc w:val="center"/>
              <w:rPr>
                <w:sz w:val="18"/>
                <w:szCs w:val="18"/>
              </w:rPr>
            </w:pPr>
            <w:r>
              <w:rPr>
                <w:rFonts w:hint="eastAsia"/>
                <w:sz w:val="18"/>
                <w:szCs w:val="18"/>
              </w:rPr>
              <w:t>项</w:t>
            </w:r>
          </w:p>
        </w:tc>
        <w:tc>
          <w:tcPr>
            <w:tcW w:w="2500" w:type="dxa"/>
            <w:vMerge w:val="continue"/>
            <w:shd w:val="clear" w:color="auto" w:fill="auto"/>
            <w:vAlign w:val="center"/>
          </w:tcPr>
          <w:p>
            <w:pPr>
              <w:jc w:val="center"/>
              <w:rPr>
                <w:sz w:val="18"/>
                <w:szCs w:val="18"/>
              </w:rPr>
            </w:pPr>
          </w:p>
        </w:tc>
        <w:tc>
          <w:tcPr>
            <w:tcW w:w="250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中共呼图壁县委员会办公室</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134.20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109.28</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24.92</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一般公共服务支出</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134.20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109.28</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24.92</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r>
              <w:rPr>
                <w:rFonts w:hint="default" w:ascii="宋体" w:hAnsi="宋体"/>
                <w:b/>
                <w:kern w:val="0"/>
                <w:sz w:val="13"/>
                <w:szCs w:val="13"/>
              </w:rPr>
              <w:t>31</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党委办公厅（室）及相关机构事务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134.20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109.28</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24.92</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201</w:t>
            </w:r>
          </w:p>
        </w:tc>
        <w:tc>
          <w:tcPr>
            <w:tcW w:w="260" w:type="dxa"/>
            <w:shd w:val="clear" w:color="auto" w:fill="auto"/>
            <w:vAlign w:val="center"/>
          </w:tcPr>
          <w:p>
            <w:pPr>
              <w:jc w:val="center"/>
              <w:rPr>
                <w:sz w:val="18"/>
                <w:szCs w:val="18"/>
              </w:rPr>
            </w:pPr>
            <w:r>
              <w:rPr>
                <w:rFonts w:hint="default" w:ascii="宋体" w:hAnsi="宋体"/>
                <w:kern w:val="0"/>
                <w:sz w:val="13"/>
                <w:szCs w:val="13"/>
              </w:rPr>
              <w:t>31</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其他党委办公厅（室）及相关机构事务支出</w:t>
            </w:r>
          </w:p>
        </w:tc>
        <w:tc>
          <w:tcPr>
            <w:tcW w:w="2500" w:type="dxa"/>
            <w:shd w:val="clear" w:color="auto" w:fill="auto"/>
            <w:vAlign w:val="center"/>
          </w:tcPr>
          <w:p>
            <w:pPr>
              <w:jc w:val="left"/>
              <w:rPr>
                <w:sz w:val="18"/>
                <w:szCs w:val="18"/>
              </w:rPr>
            </w:pPr>
            <w:r>
              <w:rPr>
                <w:rFonts w:hint="default" w:ascii="宋体" w:hAnsi="宋体"/>
                <w:kern w:val="0"/>
                <w:sz w:val="13"/>
                <w:szCs w:val="13"/>
              </w:rPr>
              <w:t>2026年支付各类其他刚性资金</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14.20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14.20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201</w:t>
            </w:r>
          </w:p>
        </w:tc>
        <w:tc>
          <w:tcPr>
            <w:tcW w:w="260" w:type="dxa"/>
            <w:shd w:val="clear" w:color="auto" w:fill="auto"/>
            <w:vAlign w:val="center"/>
          </w:tcPr>
          <w:p>
            <w:pPr>
              <w:jc w:val="center"/>
              <w:rPr>
                <w:sz w:val="18"/>
                <w:szCs w:val="18"/>
              </w:rPr>
            </w:pPr>
            <w:r>
              <w:rPr>
                <w:rFonts w:hint="default" w:ascii="宋体" w:hAnsi="宋体"/>
                <w:kern w:val="0"/>
                <w:sz w:val="13"/>
                <w:szCs w:val="13"/>
              </w:rPr>
              <w:t>31</w:t>
            </w:r>
          </w:p>
        </w:tc>
        <w:tc>
          <w:tcPr>
            <w:tcW w:w="260" w:type="dxa"/>
            <w:shd w:val="clear" w:color="auto" w:fill="auto"/>
            <w:vAlign w:val="center"/>
          </w:tcPr>
          <w:p>
            <w:pPr>
              <w:jc w:val="center"/>
              <w:rPr>
                <w:sz w:val="18"/>
                <w:szCs w:val="18"/>
              </w:rPr>
            </w:pPr>
            <w:r>
              <w:rPr>
                <w:rFonts w:hint="default" w:ascii="宋体" w:hAnsi="宋体"/>
                <w:kern w:val="0"/>
                <w:sz w:val="13"/>
                <w:szCs w:val="13"/>
              </w:rPr>
              <w:t>99</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其他党委办公厅（室）及相关机构事务支出</w:t>
            </w:r>
          </w:p>
        </w:tc>
        <w:tc>
          <w:tcPr>
            <w:tcW w:w="2500" w:type="dxa"/>
            <w:shd w:val="clear" w:color="auto" w:fill="auto"/>
            <w:vAlign w:val="center"/>
          </w:tcPr>
          <w:p>
            <w:pPr>
              <w:jc w:val="left"/>
              <w:rPr>
                <w:sz w:val="18"/>
                <w:szCs w:val="18"/>
              </w:rPr>
            </w:pPr>
            <w:r>
              <w:rPr>
                <w:rFonts w:hint="default" w:ascii="宋体" w:hAnsi="宋体"/>
                <w:kern w:val="0"/>
                <w:sz w:val="13"/>
                <w:szCs w:val="13"/>
              </w:rPr>
              <w:t>2026年运转经费-非定额项目</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120.00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95.08</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24.92</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center"/>
              <w:rPr>
                <w:b/>
                <w:sz w:val="18"/>
                <w:szCs w:val="18"/>
              </w:rPr>
            </w:pPr>
            <w:r>
              <w:rPr>
                <w:rFonts w:hint="default" w:ascii="宋体" w:hAnsi="宋体"/>
                <w:b/>
                <w:kern w:val="0"/>
                <w:sz w:val="13"/>
                <w:szCs w:val="13"/>
              </w:rPr>
              <w:t>总计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134.20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109.28</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24.92</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编制部门：中共呼图壁县委员会办公室</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中共呼图壁县委员会办公室2026年没有使用政府性基金预算拨款安排的支出，政府性基金预算支出情况表为空表。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编制部门：中共呼图壁县委员会办公室</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中共呼图壁县委员会办公室2026年没有使用国有资本经营预算拨款安排的支出，国有资本经营预算支出情况表为空表。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47"/>
        <w:gridCol w:w="1408"/>
        <w:gridCol w:w="1408"/>
        <w:gridCol w:w="1359"/>
        <w:gridCol w:w="1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编制部门：中共呼图壁县委员会办公室</w:t>
            </w:r>
          </w:p>
        </w:tc>
        <w:tc>
          <w:tcPr>
            <w:tcW w:w="16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hint="default" w:ascii="宋体" w:hAnsi="宋体"/>
                <w:color w:val="000000"/>
                <w:sz w:val="18"/>
                <w:szCs w:val="18"/>
              </w:rPr>
            </w:pPr>
          </w:p>
        </w:tc>
        <w:tc>
          <w:tcPr>
            <w:tcW w:w="1600" w:type="dxa"/>
            <w:vMerge w:val="continue"/>
            <w:shd w:val="clear" w:color="auto" w:fill="auto"/>
            <w:vAlign w:val="center"/>
          </w:tcPr>
          <w:p>
            <w:pPr>
              <w:jc w:val="center"/>
              <w:rPr>
                <w:rFonts w:hint="default" w:ascii="宋体" w:hAnsi="宋体"/>
                <w:color w:val="000000"/>
                <w:sz w:val="18"/>
                <w:szCs w:val="18"/>
              </w:rPr>
            </w:pP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因公出国（境）费用</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1.11</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1.11</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公务用车购置及运行维护费（小计）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21.60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21.60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公务用车运行维护费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21.60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21.60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总计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22.71</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22.71</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882"/>
        <w:gridCol w:w="1200"/>
        <w:gridCol w:w="1200"/>
        <w:gridCol w:w="1200"/>
        <w:gridCol w:w="1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10062"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编制部门：中共呼图壁县委员会办公室</w:t>
            </w:r>
          </w:p>
        </w:tc>
        <w:tc>
          <w:tcPr>
            <w:tcW w:w="14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5862"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项目名称</w:t>
            </w:r>
          </w:p>
        </w:tc>
        <w:tc>
          <w:tcPr>
            <w:tcW w:w="14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2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5862" w:type="dxa"/>
            <w:vMerge w:val="continue"/>
            <w:shd w:val="clear" w:color="auto" w:fill="auto"/>
            <w:vAlign w:val="center"/>
          </w:tcPr>
          <w:p>
            <w:pPr>
              <w:jc w:val="center"/>
              <w:rPr>
                <w:rFonts w:hint="default" w:ascii="宋体" w:hAnsi="宋体"/>
                <w:color w:val="000000"/>
                <w:sz w:val="18"/>
                <w:szCs w:val="18"/>
              </w:rPr>
            </w:pPr>
          </w:p>
        </w:tc>
        <w:tc>
          <w:tcPr>
            <w:tcW w:w="1400" w:type="dxa"/>
            <w:vMerge w:val="continue"/>
            <w:shd w:val="clear" w:color="auto" w:fill="auto"/>
            <w:vAlign w:val="center"/>
          </w:tcPr>
          <w:p>
            <w:pPr>
              <w:jc w:val="center"/>
              <w:rPr>
                <w:rFonts w:hint="default" w:ascii="宋体" w:hAnsi="宋体"/>
                <w:color w:val="000000"/>
                <w:sz w:val="18"/>
                <w:szCs w:val="18"/>
              </w:rPr>
            </w:pP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center"/>
              <w:rPr>
                <w:rFonts w:hint="default" w:ascii="宋体" w:hAnsi="宋体"/>
                <w:b/>
                <w:color w:val="000000"/>
                <w:sz w:val="18"/>
                <w:szCs w:val="18"/>
              </w:rPr>
            </w:pPr>
            <w:r>
              <w:rPr>
                <w:rFonts w:hint="default" w:ascii="宋体" w:hAnsi="宋体"/>
                <w:b/>
                <w:kern w:val="0"/>
                <w:sz w:val="18"/>
                <w:szCs w:val="18"/>
              </w:rPr>
              <w:t>总计</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中共呼图壁县委员会办公室2026年没有委托业务费预算的支出，财政拨款委托业务费支出情况表为空表。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8"/>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编制部门：中共呼图壁县委员会办公室</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中共呼图壁县委员会办公室</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1.20</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1.20</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1.20</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2024年为民办实事经费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1.20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1.20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1.20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1.20</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1.20</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1.20</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2026年部门预算情况说明</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关于中共呼图壁县委员会办公室2026年收支预算情况总体说明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按照全口径预算的原则，中共呼图壁县委员会办公室2026年所有收入和支出均纳入部门预算管理。收支总预算998.61万元。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收入预算包括：一般公共预算、单位资金、财政拨款结转结余。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关于中共呼图壁县委员会办公室2026年收入预算情况说明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中共呼图壁县委员会办公室部门收入预算998.61万元，其中：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一般公共预算927.56万元，占92.89%，比上年预算增加128.40万元，增长16.07%，主要原因是本年度人员新增2人，人员经费及公用经费增加及2026年支付各类其他刚性支出资金预算增加，因此一般公共预算增长。</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单位资金69.85万元，占6.99%，比上年预算减少13.25万元，下降15.94%，主要原因是上年度将援疆资金列入预算，本年度未预算援疆资金，因此单位资金预算减少。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财政拨款结转1.20万元，占0.12%，比上年预算减少2.59万元，下降68.34%，主要原因是上年度结转资金已使用2.59万元，本年度将剩余资金1.2万元结转至本年度，因此财政拨款预算减少。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关于中共呼图壁县委员会办公室2026年支出预算情况说明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中共呼图壁县委员会办公室2026年支出预算998.61万元，其中：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基本支出863.21万元，占86.44%，比上年预算增加115.95万元，增长15.52%，主要原因是本年度人员新增2人，人员经费及公用经费增加，因此基本支出预算增加。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项目支出135.40万元，占13.56%，比上年预算减少3.39万元，下降2.44%，主要原因是本年度未预算援疆资金，因此项目支出预算减少。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关于中共呼图壁县委员会办公室2026年财政拨款收支预算情况的总体说明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2026年财政拨款收支总预算927.56万元。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收入预算包括：一般公共预算拨款927.56万元。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一般公共服务支出713.43万元，主要用于人员工资、津贴补贴、工作经费；社会保障和就业支出104.49万元，主要用于在职人员养老保险费及职业年金缴费；卫生健康支出54.97万元，主要用于在职医疗保险、公务员医疗补助、大病保险等缴费支出；住房保障支出54.68万元，主要用于缴纳在职住房公积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关于中共呼图壁县委员会办公室2026年一般公共预算当年拨款情况说明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中共呼图壁县委员会办公室2026年一般公共预算拨款合计927.56万元，其中：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基本支出793.36万元，比上年预算增加114.20万元，增长16.81%，主要原因是本年度新增2人，工资社保增加，公用经费增加。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项目支出134.20万元，比上年预算增加14.20万元，增长11.83%，主要原因是本年度财政安排2026年支付各类其他刚性支出资金列入预算。</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1.一般公共服务支出（类）713.43万元，占76.91%。</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2.社会保障和就业支出（类）104.49万元，占11.2</w:t>
      </w:r>
      <w:r>
        <w:rPr>
          <w:rFonts w:hint="eastAsia" w:ascii="仿宋" w:hAnsi="微软雅黑" w:eastAsia="仿宋"/>
          <w:sz w:val="28"/>
          <w:szCs w:val="28"/>
          <w:lang w:val="en-US" w:eastAsia="zh-CN"/>
        </w:rPr>
        <w:t>7</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3.卫生健康支出（类）54.97万元，占5.93%。</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4.住房保障支出（类）54.68万元，占5.90%。</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1.一般公共服务支出（类）党委办公厅（室）及相关机构事务（款）行政运行（项）：2026年预算数为411.43万元，比上年预算增加42.72万元，增长11.59%，主要原因是本年度新增</w:t>
      </w:r>
      <w:r>
        <w:rPr>
          <w:rFonts w:hint="eastAsia" w:ascii="仿宋" w:hAnsi="微软雅黑" w:eastAsia="仿宋"/>
          <w:sz w:val="28"/>
          <w:szCs w:val="28"/>
          <w:lang w:val="en-US" w:eastAsia="zh-CN"/>
        </w:rPr>
        <w:t>2</w:t>
      </w:r>
      <w:r>
        <w:rPr>
          <w:rFonts w:hint="eastAsia" w:ascii="仿宋" w:hAnsi="微软雅黑" w:eastAsia="仿宋"/>
          <w:sz w:val="28"/>
          <w:szCs w:val="28"/>
        </w:rPr>
        <w:t>人，工资社保增加，公用经费增加。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2.一般公共服务支出（类）党委办公厅（室）及相关机构事务（款）事业运行（项）：2026年预算数为167.79万元，比上年预算增加12.78万元，增长8.24%，主要原因是本年度新增</w:t>
      </w:r>
      <w:r>
        <w:rPr>
          <w:rFonts w:hint="eastAsia" w:ascii="仿宋" w:hAnsi="微软雅黑" w:eastAsia="仿宋"/>
          <w:sz w:val="28"/>
          <w:szCs w:val="28"/>
          <w:lang w:val="en-US" w:eastAsia="zh-CN"/>
        </w:rPr>
        <w:t>2</w:t>
      </w:r>
      <w:r>
        <w:rPr>
          <w:rFonts w:hint="eastAsia" w:ascii="仿宋" w:hAnsi="微软雅黑" w:eastAsia="仿宋"/>
          <w:sz w:val="28"/>
          <w:szCs w:val="28"/>
        </w:rPr>
        <w:t>人，人员工资、社保增加。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一般公共服务支出（类）党委办公厅（室）及相关机构事务（款）其他党委办公厅（室）及相关机构事务支出（项）：2026年预算数为134.20万元，比上年预算增加14.20万元，增长11.83%，主要原因是本年度财政安排2026年支付各类其他刚性支出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4.社会保障和就业支出（类）行政事业单位养老支出（款）行政单位离退休（项）：2026年预算数为7.49万元，比上年预算增加1.89万元，增长33.75%，主要原因是新增退休人员1人，行政单位离退休（项）预算增加。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64.67万元，比上年预算增加6.71万元，增长11.58%，主要原因是2026年养老保险费费缴费基数增加、人数增加、费率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32.33万元，比上年预算增加32.33万元，增长100.00%，主要原因是以前年度职业年金缴费单位部分未记实，财政未安排预算，本年度职业年金单位缴费部分记实，财政安排预算，机关事业单位职业年金缴费支出（项）职业年金缴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7.卫生健康支出（类）行政事业单位医疗（款）行政单位医疗（项）：2026年预算数为24.56万元，比上年预算增加6.58万元，增长36.60%，主要原因是本年度新增</w:t>
      </w:r>
      <w:r>
        <w:rPr>
          <w:rFonts w:hint="eastAsia" w:ascii="仿宋" w:hAnsi="微软雅黑" w:eastAsia="仿宋"/>
          <w:sz w:val="28"/>
          <w:szCs w:val="28"/>
          <w:lang w:val="en-US" w:eastAsia="zh-CN"/>
        </w:rPr>
        <w:t>2</w:t>
      </w:r>
      <w:r>
        <w:rPr>
          <w:rFonts w:hint="eastAsia" w:ascii="仿宋" w:hAnsi="微软雅黑" w:eastAsia="仿宋"/>
          <w:sz w:val="28"/>
          <w:szCs w:val="28"/>
        </w:rPr>
        <w:t>人，行政单位医疗（项）医疗缴费增加。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8.卫生健康支出（类）行政事业单位医疗（款）事业单位医疗（项）：2026年预算数为13.83万元，比上年预算增加2.84万元，增长25.84%，主要原因是本年度新增1人，事业单位医疗（项）医疗缴费增加。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卫生健康支出（类）行政事业单位医疗（款）公务员医疗补助（项）：2026年预算数为16.17万元，比上年预算增加1.68万元，增长11.59%，主要原因是本年度新增2人，公务员医疗补助（项）公务员医疗补助缴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卫生健康支出（类）行政事业单位医疗（款）其他行政事业单位医疗支出（项）：2026年预算数为0.40万元，比上年预算增加0.04万元，增长11.11%，主要原因是本年度新增2人，其他行政事业单位医疗支出（项）大病医疗缴费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11.住房保障支出（类）住房改革支出（款）住房公积金（项）：2026年预算数为54.68万元，比上年预算增加6.63万元，增长13.80%，主要原因是本年度新增2人，住房公积金（项）住房公积金缴费增加。</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关于中共呼图壁县委员会办公室2026年一般公共预算基本支出情况说明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中共呼图壁县委员会办公室2026年一般公共预算基本支出793.36万元，其中：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676.56万元，主要包括：基本工资、津贴补贴、奖金、绩效工资、机关事业单位基本养老保险缴费、职业年金缴费、职工基本医疗保险缴费、公务员医疗补助缴费、其他社会保障缴费、住房公积金、退休费、生活补助、奖励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公用经费116.80万元，主要包括：办公费、水费、电费、邮电费、差旅费、公务接待费、劳务费、工会经费、公务用车运行维护费。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关于中共呼图壁县委员会办公室2026年一般公共预算项目支出情况说明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（一）项目名称：2026年支付各类其他刚性资金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设立的政策依据：《2025年呼图壁县财经委员会第五次会议纪要》（呼党财【2025】5号） 预算安排规模：14.20万元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项目承担单位：中共呼图壁县委员会办公室</w:t>
      </w:r>
    </w:p>
    <w:p>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资金分配情况：办公费14.2万元</w:t>
      </w:r>
      <w:r>
        <w:rPr>
          <w:rFonts w:hint="eastAsia" w:ascii="仿宋" w:hAnsi="微软雅黑" w:eastAsia="仿宋"/>
          <w:sz w:val="28"/>
          <w:szCs w:val="28"/>
          <w:lang w:val="en-US" w:eastAsia="zh-CN"/>
        </w:rPr>
        <w:t>全部用于支付办公经费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资金执行时间：2026年1月-12月</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（二）项目名称：2026年运转经费-非定额项目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设立的政策依据：呼图壁县第十八届人民政府第88次（2026年第一次）常务会议纪要》（呼县政阅&lt;2026&gt;2号）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预算安排规模：120.00万元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项目承担单位：中共呼图壁县委员会办公室</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w:t>
      </w:r>
      <w:r>
        <w:rPr>
          <w:rFonts w:hint="eastAsia" w:ascii="仿宋" w:hAnsi="微软雅黑" w:eastAsia="仿宋"/>
          <w:sz w:val="28"/>
          <w:szCs w:val="28"/>
          <w:lang w:val="en-US" w:eastAsia="zh-CN"/>
        </w:rPr>
        <w:t>购买</w:t>
      </w:r>
      <w:r>
        <w:rPr>
          <w:rFonts w:hint="eastAsia" w:ascii="仿宋" w:hAnsi="微软雅黑" w:eastAsia="仿宋"/>
          <w:sz w:val="28"/>
          <w:szCs w:val="28"/>
        </w:rPr>
        <w:t>办公</w:t>
      </w:r>
      <w:r>
        <w:rPr>
          <w:rFonts w:hint="eastAsia" w:ascii="仿宋" w:hAnsi="微软雅黑" w:eastAsia="仿宋"/>
          <w:sz w:val="28"/>
          <w:szCs w:val="28"/>
          <w:lang w:val="en-US" w:eastAsia="zh-CN"/>
        </w:rPr>
        <w:t>用品60.14</w:t>
      </w:r>
      <w:r>
        <w:rPr>
          <w:rFonts w:hint="eastAsia" w:ascii="仿宋" w:hAnsi="微软雅黑" w:eastAsia="仿宋"/>
          <w:sz w:val="28"/>
          <w:szCs w:val="28"/>
        </w:rPr>
        <w:t>万元，维修费1.7万元，租赁费7.44万元，差旅费3万元，其他交通费12.5万元，志愿者生活补助及房屋租赁费5.3万元，办公设备购置24.92万元，补充工会经费5万元等</w:t>
      </w:r>
      <w:r>
        <w:rPr>
          <w:rFonts w:hint="eastAsia" w:ascii="仿宋" w:hAnsi="微软雅黑" w:eastAsia="仿宋"/>
          <w:sz w:val="28"/>
          <w:szCs w:val="28"/>
          <w:lang w:eastAsia="zh-CN"/>
        </w:rPr>
        <w:t>，</w:t>
      </w:r>
      <w:r>
        <w:rPr>
          <w:rFonts w:hint="eastAsia" w:ascii="仿宋" w:hAnsi="微软雅黑" w:eastAsia="仿宋"/>
          <w:sz w:val="28"/>
          <w:szCs w:val="28"/>
          <w:lang w:val="en-US" w:eastAsia="zh-CN"/>
        </w:rPr>
        <w:t>总计120万元</w:t>
      </w:r>
      <w:bookmarkStart w:id="0" w:name="_GoBack"/>
      <w:bookmarkEnd w:id="0"/>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资金执行时间：2026年1月-12月</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关于中共呼图壁县委员会办公室2026年政府性基金预算拨款情况说明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中共呼图壁县委员会办公室2026年没有使用政府性基金预算拨款安排的支出，政府性基金预算支出情况表为空表。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关于中共呼图壁县委员会办公室2026年国有资本经营预算拨款情况说明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中共呼图壁县委员会办公室2026年没有使用国有资本经营预算拨款安排的支出，国有资本经营预算支出情况表为空表。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关于中共呼图壁县委员会办公室2026年财政拨款“三公”经费预算情况说明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中共呼图壁县委员会办公室2026年财政拨款“三公”经费数为22.71万元，其中：因公出国（境）费用0.00万元，公务用车购置0.00万元，公务用车运行维护费21.60万元，公务接待费1.11万元。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预算比上年预算增加6.51万元，增长40.19%，其中：因公出国（境）费用增加0.00万元，增长0.00%，主要原因是2025年与2026年均未安排因公出国（境）费用；公务用车购置增加0.00万元，增长0.00%，主要原因是2025年与2026年均未安排公务用车购置；公务用车运行维护费增加5.60万元，增长35.00%，主要原因是本年度新增公务用车2辆，公务用车运行维护费增加；公务接待费增加0.91万元，增长455.00%，主要原因是本年度根据工作需要，安排公务接待预算。</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关于中共呼图壁县委员会办公室2026年财政拨款委托业务费支出情况说明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中共呼图壁县委员会办公室2026年没有委托业务费预算的支出，财政拨款委托业务费支出情况表为空表。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关于中共呼图壁县委员会办公室2026年上年结转结余预算情况说明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中共呼图壁县委员会办公室2026年上年结转结余1.20万元，包括：财政拨款1.20万元，非财政拨款0.00万元，其中：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1.2024年为民办实事经费结转1.20万元，主要用于：为贫困户安装天然气采暖用壁挂炉。</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中共呼图壁县委员会办公室2026年的机关运行经费财政拨款预算116.80万元，比上年预算增加0.05万元，增长0.04%，主要原因是本年度新增2人，机关运行经费增加。</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2026年，中共呼图壁县委员会办公室政府采购预算147.87万元，其中：政府采购货物预算62.44万元，政府采购工程预算1.20万元，政府采购服务预算84.23万元。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2026年，中共呼图壁县委员会办公室面向中小企业预留政府采购项目预算金额127.27万元，其中：小微企业预留政府采购项目预算金额127.27万元。</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截至2025年底，中共呼图壁县委员会办公室占用使用国有资产总体情况为：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1.房屋0.00平方米，价值0.00万元。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2.车辆4辆，价值41.73万元；其中：一般公务用车4辆，价值41.73万元；执法执勤用车0辆，价值0.00万元；其他车辆0辆，价值0.00万元。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3.办公家具价值51.85万元。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4.其他资产价值191.41万元。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部门价值单价50万元以上大型设备0台，部门价值单价100万元以上大型设备0台。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2026年部门预算未安排购置车辆经费，安排购置单价50万元以上大型设备0台，部门单价100万元以上大型设备0台。</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2026年，本部门预算绩效管理整体预算绩效目标1个，涉及预算金额998.61万元；当年预算安排项目共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个，其中：财政拨款项目涉及预算金额134.20万元；非财政拨款项目涉及预算金额0.00万元。具体情况见下表：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中共呼图壁县委员会办公室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张小丽</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18096815059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一是强化技术支撑与服务保障，组织专业队伍做好视频会议系统及设备的运行维护、巡检调试，确保县委会议高效顺畅召开失误次数减少；二是狠抓基层减负实效，开展专项督查检查不少于4次，推动基层减负政策落地见效；三是深化“节约型机关”建设，统筹规范文件管理，高质量完成县委文件、文稿的起草审核及各级请示报告承办工作，精准做好党政文件、电报传递及会务组织，优化资源利用效能；四是增强应急处置与综合协调水平，协助县委领导妥善处理突发事件和重大事故，高标准做好上级领导及重要客人的接待服务，为县委决策落实和县域高质量发展提供坚实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927.56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69.85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3858" w:type="dxa"/>
            <w:gridSpan w:val="3"/>
            <w:shd w:val="clear" w:color="auto" w:fill="auto"/>
            <w:vAlign w:val="center"/>
          </w:tcPr>
          <w:p>
            <w:pPr>
              <w:jc w:val="center"/>
              <w:rPr>
                <w:sz w:val="18"/>
                <w:szCs w:val="18"/>
              </w:rPr>
            </w:pPr>
            <w:r>
              <w:rPr>
                <w:rFonts w:hint="eastAsia"/>
                <w:sz w:val="18"/>
                <w:szCs w:val="18"/>
              </w:rPr>
              <w:t>合计：</w:t>
            </w:r>
          </w:p>
        </w:tc>
        <w:tc>
          <w:tcPr>
            <w:tcW w:w="2720" w:type="dxa"/>
            <w:gridSpan w:val="2"/>
            <w:shd w:val="clear" w:color="auto" w:fill="auto"/>
            <w:vAlign w:val="center"/>
          </w:tcPr>
          <w:p>
            <w:pPr>
              <w:jc w:val="center"/>
              <w:rPr>
                <w:sz w:val="18"/>
                <w:szCs w:val="18"/>
              </w:rPr>
            </w:pPr>
            <w:r>
              <w:rPr>
                <w:rFonts w:hint="eastAsia"/>
                <w:sz w:val="18"/>
                <w:szCs w:val="18"/>
              </w:rPr>
              <w:t>998.61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基层减负督查检查次数</w:t>
            </w:r>
          </w:p>
        </w:tc>
        <w:tc>
          <w:tcPr>
            <w:tcW w:w="1448" w:type="dxa"/>
            <w:gridSpan w:val="2"/>
            <w:shd w:val="clear" w:color="auto" w:fill="auto"/>
            <w:vAlign w:val="center"/>
          </w:tcPr>
          <w:p>
            <w:pPr>
              <w:jc w:val="center"/>
              <w:rPr>
                <w:sz w:val="18"/>
                <w:szCs w:val="18"/>
              </w:rPr>
            </w:pPr>
            <w:r>
              <w:rPr>
                <w:rFonts w:hint="eastAsia"/>
                <w:sz w:val="18"/>
                <w:szCs w:val="18"/>
              </w:rPr>
              <w:t>＞=4次</w:t>
            </w:r>
          </w:p>
        </w:tc>
        <w:tc>
          <w:tcPr>
            <w:tcW w:w="1360" w:type="dxa"/>
            <w:shd w:val="clear" w:color="auto" w:fill="auto"/>
            <w:vAlign w:val="center"/>
          </w:tcPr>
          <w:p>
            <w:pPr>
              <w:jc w:val="center"/>
              <w:rPr>
                <w:sz w:val="18"/>
                <w:szCs w:val="18"/>
              </w:rPr>
            </w:pPr>
            <w:r>
              <w:rPr>
                <w:rFonts w:hint="eastAsia"/>
                <w:sz w:val="18"/>
                <w:szCs w:val="18"/>
              </w:rPr>
              <w:t>2026年工作计划</w:t>
            </w:r>
          </w:p>
        </w:tc>
        <w:tc>
          <w:tcPr>
            <w:tcW w:w="1360" w:type="dxa"/>
            <w:shd w:val="clear" w:color="auto" w:fill="auto"/>
            <w:vAlign w:val="center"/>
          </w:tcPr>
          <w:p>
            <w:pPr>
              <w:jc w:val="center"/>
              <w:rPr>
                <w:sz w:val="18"/>
                <w:szCs w:val="18"/>
              </w:rPr>
            </w:pPr>
            <w:r>
              <w:rPr>
                <w:rFonts w:hint="eastAsia"/>
                <w:sz w:val="18"/>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重大会议、活动、筹备和组织落实失误数</w:t>
            </w:r>
          </w:p>
        </w:tc>
        <w:tc>
          <w:tcPr>
            <w:tcW w:w="1448" w:type="dxa"/>
            <w:gridSpan w:val="2"/>
            <w:shd w:val="clear" w:color="auto" w:fill="auto"/>
            <w:vAlign w:val="center"/>
          </w:tcPr>
          <w:p>
            <w:pPr>
              <w:jc w:val="center"/>
              <w:rPr>
                <w:sz w:val="18"/>
                <w:szCs w:val="18"/>
              </w:rPr>
            </w:pPr>
            <w:r>
              <w:rPr>
                <w:rFonts w:hint="eastAsia"/>
                <w:sz w:val="18"/>
                <w:szCs w:val="18"/>
              </w:rPr>
              <w:t>＜=1次</w:t>
            </w:r>
          </w:p>
        </w:tc>
        <w:tc>
          <w:tcPr>
            <w:tcW w:w="1360" w:type="dxa"/>
            <w:shd w:val="clear" w:color="auto" w:fill="auto"/>
            <w:vAlign w:val="center"/>
          </w:tcPr>
          <w:p>
            <w:pPr>
              <w:jc w:val="center"/>
              <w:rPr>
                <w:sz w:val="18"/>
                <w:szCs w:val="18"/>
              </w:rPr>
            </w:pPr>
            <w:r>
              <w:rPr>
                <w:rFonts w:hint="eastAsia"/>
                <w:sz w:val="18"/>
                <w:szCs w:val="18"/>
              </w:rPr>
              <w:t>2026年工作计划</w:t>
            </w:r>
          </w:p>
        </w:tc>
        <w:tc>
          <w:tcPr>
            <w:tcW w:w="1360" w:type="dxa"/>
            <w:shd w:val="clear" w:color="auto" w:fill="auto"/>
            <w:vAlign w:val="center"/>
          </w:tcPr>
          <w:p>
            <w:pPr>
              <w:jc w:val="center"/>
              <w:rPr>
                <w:sz w:val="18"/>
                <w:szCs w:val="18"/>
              </w:rPr>
            </w:pPr>
            <w:r>
              <w:rPr>
                <w:rFonts w:hint="eastAsia"/>
                <w:sz w:val="18"/>
                <w:szCs w:val="18"/>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文件起草及修改质量达标率</w:t>
            </w:r>
          </w:p>
        </w:tc>
        <w:tc>
          <w:tcPr>
            <w:tcW w:w="1448" w:type="dxa"/>
            <w:gridSpan w:val="2"/>
            <w:shd w:val="clear" w:color="auto" w:fill="auto"/>
            <w:vAlign w:val="center"/>
          </w:tcPr>
          <w:p>
            <w:pPr>
              <w:jc w:val="center"/>
              <w:rPr>
                <w:sz w:val="18"/>
                <w:szCs w:val="18"/>
              </w:rPr>
            </w:pPr>
            <w:r>
              <w:rPr>
                <w:rFonts w:hint="eastAsia"/>
                <w:sz w:val="18"/>
                <w:szCs w:val="18"/>
              </w:rPr>
              <w:t>＞=98%</w:t>
            </w:r>
          </w:p>
        </w:tc>
        <w:tc>
          <w:tcPr>
            <w:tcW w:w="1360" w:type="dxa"/>
            <w:shd w:val="clear" w:color="auto" w:fill="auto"/>
            <w:vAlign w:val="center"/>
          </w:tcPr>
          <w:p>
            <w:pPr>
              <w:jc w:val="center"/>
              <w:rPr>
                <w:sz w:val="18"/>
                <w:szCs w:val="18"/>
              </w:rPr>
            </w:pPr>
            <w:r>
              <w:rPr>
                <w:rFonts w:hint="eastAsia"/>
                <w:sz w:val="18"/>
                <w:szCs w:val="18"/>
              </w:rPr>
              <w:t>2026年工作计划</w:t>
            </w:r>
          </w:p>
        </w:tc>
        <w:tc>
          <w:tcPr>
            <w:tcW w:w="1360" w:type="dxa"/>
            <w:shd w:val="clear" w:color="auto" w:fill="auto"/>
            <w:vAlign w:val="center"/>
          </w:tcPr>
          <w:p>
            <w:pPr>
              <w:jc w:val="center"/>
              <w:rPr>
                <w:sz w:val="18"/>
                <w:szCs w:val="18"/>
              </w:rPr>
            </w:pPr>
            <w:r>
              <w:rPr>
                <w:rFonts w:hint="eastAsia"/>
                <w:sz w:val="18"/>
                <w:szCs w:val="18"/>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质量指标</w:t>
            </w:r>
          </w:p>
        </w:tc>
        <w:tc>
          <w:tcPr>
            <w:tcW w:w="2410" w:type="dxa"/>
            <w:shd w:val="clear" w:color="auto" w:fill="auto"/>
            <w:vAlign w:val="center"/>
          </w:tcPr>
          <w:p>
            <w:pPr>
              <w:jc w:val="center"/>
              <w:rPr>
                <w:sz w:val="18"/>
                <w:szCs w:val="18"/>
              </w:rPr>
            </w:pPr>
            <w:r>
              <w:rPr>
                <w:rFonts w:hint="eastAsia"/>
                <w:sz w:val="18"/>
                <w:szCs w:val="18"/>
              </w:rPr>
              <w:t>重大突发事件处置率</w:t>
            </w:r>
          </w:p>
        </w:tc>
        <w:tc>
          <w:tcPr>
            <w:tcW w:w="1448" w:type="dxa"/>
            <w:gridSpan w:val="2"/>
            <w:shd w:val="clear" w:color="auto" w:fill="auto"/>
            <w:vAlign w:val="center"/>
          </w:tcPr>
          <w:p>
            <w:pPr>
              <w:jc w:val="center"/>
              <w:rPr>
                <w:sz w:val="18"/>
                <w:szCs w:val="18"/>
              </w:rPr>
            </w:pPr>
            <w:r>
              <w:rPr>
                <w:rFonts w:hint="eastAsia"/>
                <w:sz w:val="18"/>
                <w:szCs w:val="18"/>
              </w:rPr>
              <w:t>1</w:t>
            </w:r>
          </w:p>
        </w:tc>
        <w:tc>
          <w:tcPr>
            <w:tcW w:w="1360" w:type="dxa"/>
            <w:shd w:val="clear" w:color="auto" w:fill="auto"/>
            <w:vAlign w:val="center"/>
          </w:tcPr>
          <w:p>
            <w:pPr>
              <w:jc w:val="center"/>
              <w:rPr>
                <w:sz w:val="18"/>
                <w:szCs w:val="18"/>
              </w:rPr>
            </w:pPr>
            <w:r>
              <w:rPr>
                <w:rFonts w:hint="eastAsia"/>
                <w:sz w:val="18"/>
                <w:szCs w:val="18"/>
              </w:rPr>
              <w:t>2026年工作计划</w:t>
            </w:r>
          </w:p>
        </w:tc>
        <w:tc>
          <w:tcPr>
            <w:tcW w:w="1360" w:type="dxa"/>
            <w:shd w:val="clear" w:color="auto" w:fill="auto"/>
            <w:vAlign w:val="center"/>
          </w:tcPr>
          <w:p>
            <w:pPr>
              <w:jc w:val="center"/>
              <w:rPr>
                <w:sz w:val="18"/>
                <w:szCs w:val="18"/>
              </w:rPr>
            </w:pPr>
            <w:r>
              <w:rPr>
                <w:rFonts w:hint="eastAsia"/>
                <w:sz w:val="18"/>
                <w:szCs w:val="18"/>
              </w:rPr>
              <w:t>23</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中共呼图壁县委员会办公室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2026年支付各类其他刚性资金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王希勇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134.20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134.20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本项目拟投入134.2万元主要用于保障2026年县委工作正常运转，确保重大会议、活动、筹备和组织落实减少失误，进行文件起草及修改，狠抓基层减负实效，开展专项督查检查4次，应急处置与综合协调水平提升，协助县委领导妥善处理突发事件和重大事故。通过项目的实施，能够推进公共机构节能改造，推进绿色机关日常监管，保障核心业务持续运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重大会议、活动、筹备和组织落实失误数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基层减负督查数量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文件起草及修改质量达标率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重大突发事件处置率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文件起草及修改时限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=2025年12月10日</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＜=74.34万元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=59.19万元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办公设备购置费用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＜=24.92万元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=26.11万元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其他运转经费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＜=37.94万元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=9.4万元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原始凭证,工作资料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保障核心业务持续运转</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有效保障</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有效保障</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县委机关人员满意度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本部门无其他需说明事项。</w:t>
      </w: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中共呼图壁县委员会办公室</w:t>
      </w:r>
    </w:p>
    <w:p>
      <w:pPr>
        <w:spacing w:line="560" w:lineRule="exact"/>
        <w:jc w:val="right"/>
        <w:rPr>
          <w:rFonts w:hint="default" w:ascii="仿宋" w:eastAsia="仿宋"/>
          <w:sz w:val="28"/>
          <w:szCs w:val="28"/>
        </w:rPr>
      </w:pPr>
      <w:r>
        <w:rPr>
          <w:rFonts w:hint="eastAsia" w:ascii="仿宋" w:hAnsi="CIDFont+F6" w:eastAsia="仿宋"/>
          <w:color w:val="000000"/>
          <w:sz w:val="28"/>
          <w:szCs w:val="28"/>
        </w:rPr>
        <w:t>2026年2月25日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A96214"/>
    <w:multiLevelType w:val="multilevel"/>
    <w:tmpl w:val="DDA96214"/>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E9945F93"/>
    <w:multiLevelType w:val="multilevel"/>
    <w:tmpl w:val="E9945F93"/>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F4D34913"/>
    <w:multiLevelType w:val="multilevel"/>
    <w:tmpl w:val="F4D3491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AB747D"/>
    <w:rsid w:val="29B02555"/>
    <w:rsid w:val="53053791"/>
    <w:rsid w:val="6CC872D3"/>
    <w:rsid w:val="7A2112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3"/>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4"/>
    <w:uiPriority w:val="0"/>
    <w:pPr>
      <w:keepNext/>
      <w:keepLines/>
      <w:spacing w:before="260" w:after="260" w:line="416" w:lineRule="auto"/>
      <w:outlineLvl w:val="2"/>
    </w:pPr>
    <w:rPr>
      <w:rFonts w:hint="default" w:ascii="Times New Roman" w:hAnsi="Times New Roman"/>
      <w:b/>
      <w:sz w:val="32"/>
      <w:szCs w:val="32"/>
    </w:rPr>
  </w:style>
  <w:style w:type="character" w:default="1" w:styleId="10">
    <w:name w:val="Default Paragraph Font"/>
    <w:qFormat/>
    <w:uiPriority w:val="0"/>
  </w:style>
  <w:style w:type="table" w:default="1" w:styleId="8">
    <w:name w:val="Normal Table"/>
    <w:qFormat/>
    <w:uiPriority w:val="0"/>
    <w:rPr>
      <w:lang w:val="en-US" w:eastAsia="zh-CN" w:bidi="ar-SA"/>
    </w:rPr>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link w:val="16"/>
    <w:qFormat/>
    <w:uiPriority w:val="0"/>
    <w:pPr>
      <w:snapToGrid w:val="0"/>
      <w:jc w:val="left"/>
    </w:pPr>
    <w:rPr>
      <w:sz w:val="18"/>
      <w:szCs w:val="18"/>
    </w:rPr>
  </w:style>
  <w:style w:type="paragraph" w:styleId="7">
    <w:name w:val="header"/>
    <w:basedOn w:val="1"/>
    <w:link w:val="15"/>
    <w:qFormat/>
    <w:uiPriority w:val="0"/>
    <w:pPr>
      <w:pBdr>
        <w:bottom w:val="single" w:color="auto" w:sz="6" w:space="1"/>
      </w:pBdr>
      <w:snapToGrid w:val="0"/>
      <w:jc w:val="center"/>
    </w:pPr>
    <w:rPr>
      <w:sz w:val="18"/>
      <w:szCs w:val="18"/>
    </w:rPr>
  </w:style>
  <w:style w:type="table" w:styleId="9">
    <w:name w:val="Table Grid"/>
    <w:basedOn w:val="8"/>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List Paragraph"/>
    <w:basedOn w:val="1"/>
    <w:qFormat/>
    <w:uiPriority w:val="0"/>
    <w:pPr>
      <w:ind w:firstLine="420" w:firstLineChars="200"/>
    </w:pPr>
  </w:style>
  <w:style w:type="character" w:customStyle="1" w:styleId="12">
    <w:name w:val="标题 1 Char"/>
    <w:link w:val="2"/>
    <w:qFormat/>
    <w:uiPriority w:val="0"/>
    <w:rPr>
      <w:rFonts w:hint="default" w:ascii="Times New Roman" w:hAnsi="Times New Roman"/>
      <w:b/>
      <w:kern w:val="44"/>
      <w:sz w:val="44"/>
      <w:szCs w:val="44"/>
    </w:rPr>
  </w:style>
  <w:style w:type="character" w:customStyle="1" w:styleId="13">
    <w:name w:val="标题 2 Char"/>
    <w:link w:val="3"/>
    <w:uiPriority w:val="0"/>
    <w:rPr>
      <w:rFonts w:hint="default" w:ascii="Cambria" w:hAnsi="Cambria"/>
      <w:b/>
      <w:kern w:val="2"/>
      <w:sz w:val="32"/>
      <w:szCs w:val="32"/>
    </w:rPr>
  </w:style>
  <w:style w:type="character" w:customStyle="1" w:styleId="14">
    <w:name w:val="标题 3 Char"/>
    <w:link w:val="4"/>
    <w:qFormat/>
    <w:uiPriority w:val="0"/>
    <w:rPr>
      <w:rFonts w:hint="default" w:ascii="Times New Roman" w:hAnsi="Times New Roman"/>
      <w:b/>
      <w:kern w:val="2"/>
      <w:sz w:val="32"/>
      <w:szCs w:val="32"/>
    </w:rPr>
  </w:style>
  <w:style w:type="character" w:customStyle="1" w:styleId="15">
    <w:name w:val="页眉 Char"/>
    <w:link w:val="7"/>
    <w:uiPriority w:val="0"/>
    <w:rPr>
      <w:kern w:val="2"/>
      <w:sz w:val="18"/>
      <w:szCs w:val="18"/>
    </w:rPr>
  </w:style>
  <w:style w:type="character" w:customStyle="1" w:styleId="16">
    <w:name w:val="页脚 Char"/>
    <w:link w:val="6"/>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beijing</Company>
  <Pages>28</Pages>
  <Words>2060</Words>
  <Characters>2881</Characters>
  <Lines>40</Lines>
  <Paragraphs>11</Paragraphs>
  <TotalTime>15</TotalTime>
  <ScaleCrop>false</ScaleCrop>
  <LinksUpToDate>false</LinksUpToDate>
  <CharactersWithSpaces>3123</CharactersWithSpaces>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Administrator</cp:lastModifiedBy>
  <dcterms:modified xsi:type="dcterms:W3CDTF">2026-05-31T05:00:06Z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eyJoZGlkIjoiYWJmNTAxYTA0NTllZTU0OWY5NWY0MWNlMzBjNGU2OTYiLCJ1c2VySWQiOiIyNDc3ODExMjkifQ==</vt:lpwstr>
  </property>
  <property fmtid="{D5CDD505-2E9C-101B-9397-08002B2CF9AE}" pid="3" name="KSOProductBuildVer">
    <vt:lpwstr>2052-11.8.2.10972</vt:lpwstr>
  </property>
  <property fmtid="{D5CDD505-2E9C-101B-9397-08002B2CF9AE}" pid="4" name="ICV">
    <vt:lpwstr>28AAB781A752490EA7D4E4B38B61DDD4_13</vt:lpwstr>
  </property>
</Properties>
</file>