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eastAsia="zh-CN"/>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2026年中共呼图壁县委员会机要保密局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关于中共呼图壁县委员会机要保密局2026年收支预算情况的总体说明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关于中共呼图壁县委员会机要保密局2026年收入预算情况说明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关于中共呼图壁县委员会机要保密局2026年支出预算情况说明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关于中共呼图壁县委员会机要保密局2026年财政拨款收支预算情况的总体说明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关于中共呼图壁县委员会机要保密局2026年一般公共预算当年拨款情况说明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关于中共呼图壁县委员会机要保密局2026年一般公共预算基本支出情况说明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关于中共呼图壁县委员会机要保密局2026年一般公共预算项目支出情况说明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关于中共呼图壁县委员会机要保密局2026年政府性基金预算拨款情况说明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关于中共呼图壁县委员会机要保密局2026年国有资本经营预算拨款情况说明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关于中共呼图壁县委员会机要保密局2026年财政拨款“三公”经费预算情况说明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关于中共呼图壁县委员会机要保密局2026年财政拨款委托业务费支出情况说明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关于中共呼图壁县委员会机要保密局2026年上年结转结余预算情况说明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部门职能不予公开。</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部门机构设置情况不予公开。</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编制部门：中共呼图壁县委员会机要保密局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194.35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127.04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179.85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179.85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14.50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61.53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61.53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61.53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255.87</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255.87</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编制部门：中共呼图壁县委员会机要保密局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127.04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127.04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127.04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31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党委办公厅（室）及相关机构事务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127.04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127.04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127.04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66.06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66.06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66.06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57.18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57.18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57.18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其他党委办公厅（室）及相关机构事务支出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24.74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24.74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24.74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24.74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24.74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24.74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8.25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4.12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4.12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4.12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215</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资源勘探工业信息等支出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61.53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61.53</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215</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制造业</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61.53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61.53</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07</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通信设备、计算机及其他电子设备制造业</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61.53</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61.53</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28.54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14.50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28.54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14.50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28.54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14.04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14.04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14.50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255.87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179.85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61.53</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编制部门：中共呼图壁县委员会机要保密局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127.04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123.24</w:t>
            </w:r>
          </w:p>
        </w:tc>
        <w:tc>
          <w:tcPr>
            <w:tcW w:w="340" w:type="dxa"/>
            <w:shd w:val="clear" w:color="auto" w:fill="auto"/>
            <w:vAlign w:val="center"/>
          </w:tcPr>
          <w:p>
            <w:pPr>
              <w:jc w:val="right"/>
              <w:rPr>
                <w:b/>
                <w:sz w:val="18"/>
                <w:szCs w:val="18"/>
              </w:rPr>
            </w:pPr>
            <w:r>
              <w:rPr>
                <w:rFonts w:hint="eastAsia" w:ascii="宋体" w:hAnsi="宋体"/>
                <w:b/>
                <w:color w:val="000000"/>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31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党委办公厅（室）及相关机构事务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127.04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123.24</w:t>
            </w:r>
          </w:p>
        </w:tc>
        <w:tc>
          <w:tcPr>
            <w:tcW w:w="340" w:type="dxa"/>
            <w:shd w:val="clear" w:color="auto" w:fill="auto"/>
            <w:vAlign w:val="center"/>
          </w:tcPr>
          <w:p>
            <w:pPr>
              <w:jc w:val="right"/>
              <w:rPr>
                <w:b/>
                <w:sz w:val="18"/>
                <w:szCs w:val="18"/>
              </w:rPr>
            </w:pPr>
            <w:r>
              <w:rPr>
                <w:rFonts w:hint="eastAsia" w:ascii="宋体" w:hAnsi="宋体"/>
                <w:b/>
                <w:color w:val="000000"/>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66.06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66.06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57.18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57.18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其他党委办公厅（室）及相关机构事务支出</w:t>
            </w:r>
          </w:p>
        </w:tc>
        <w:tc>
          <w:tcPr>
            <w:tcW w:w="340" w:type="dxa"/>
            <w:shd w:val="clear" w:color="auto" w:fill="auto"/>
            <w:vAlign w:val="center"/>
          </w:tcPr>
          <w:p>
            <w:pPr>
              <w:jc w:val="right"/>
              <w:rPr>
                <w:sz w:val="18"/>
                <w:szCs w:val="18"/>
              </w:rPr>
            </w:pPr>
            <w:r>
              <w:rPr>
                <w:rFonts w:hint="eastAsia" w:ascii="宋体" w:hAnsi="宋体"/>
                <w:color w:val="000000"/>
                <w:sz w:val="18"/>
                <w:szCs w:val="18"/>
              </w:rPr>
              <w:t>3.80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24.74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24.74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24.74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24.74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16.50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16.50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8.25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8.25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14.02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14.02</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14.02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14.02</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5.07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5.07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4.73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4.73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4.12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4.12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0.10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0.10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资源勘探工业信息等支出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61.53</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61.53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215</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制造业</w:t>
            </w:r>
          </w:p>
        </w:tc>
        <w:tc>
          <w:tcPr>
            <w:tcW w:w="340" w:type="dxa"/>
            <w:shd w:val="clear" w:color="auto" w:fill="auto"/>
            <w:vAlign w:val="center"/>
          </w:tcPr>
          <w:p>
            <w:pPr>
              <w:jc w:val="right"/>
              <w:rPr>
                <w:b/>
                <w:sz w:val="18"/>
                <w:szCs w:val="18"/>
              </w:rPr>
            </w:pPr>
            <w:r>
              <w:rPr>
                <w:rFonts w:hint="eastAsia" w:ascii="宋体" w:hAnsi="宋体"/>
                <w:b/>
                <w:color w:val="000000"/>
                <w:sz w:val="18"/>
                <w:szCs w:val="18"/>
              </w:rPr>
              <w:t>61.53</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61.53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07</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通信设备、计算机及其他电子设备制造业</w:t>
            </w:r>
          </w:p>
        </w:tc>
        <w:tc>
          <w:tcPr>
            <w:tcW w:w="340" w:type="dxa"/>
            <w:shd w:val="clear" w:color="auto" w:fill="auto"/>
            <w:vAlign w:val="center"/>
          </w:tcPr>
          <w:p>
            <w:pPr>
              <w:jc w:val="right"/>
              <w:rPr>
                <w:sz w:val="18"/>
                <w:szCs w:val="18"/>
              </w:rPr>
            </w:pPr>
            <w:r>
              <w:rPr>
                <w:rFonts w:hint="eastAsia" w:ascii="宋体" w:hAnsi="宋体"/>
                <w:color w:val="000000"/>
                <w:sz w:val="18"/>
                <w:szCs w:val="18"/>
              </w:rPr>
              <w:t>61.53</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61.53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28.54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28.54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28.54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28.54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28.54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28.54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255.87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190.55</w:t>
            </w:r>
          </w:p>
        </w:tc>
        <w:tc>
          <w:tcPr>
            <w:tcW w:w="340" w:type="dxa"/>
            <w:shd w:val="clear" w:color="auto" w:fill="auto"/>
            <w:vAlign w:val="center"/>
          </w:tcPr>
          <w:p>
            <w:pPr>
              <w:jc w:val="right"/>
              <w:rPr>
                <w:b/>
                <w:sz w:val="18"/>
                <w:szCs w:val="18"/>
              </w:rPr>
            </w:pPr>
            <w:r>
              <w:rPr>
                <w:rFonts w:hint="eastAsia" w:ascii="宋体" w:hAnsi="宋体"/>
                <w:b/>
                <w:color w:val="000000"/>
                <w:sz w:val="18"/>
                <w:szCs w:val="18"/>
              </w:rPr>
              <w:t>65.33</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编制部门：中共呼图壁县委员会机要保密局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179.85</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127.04</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127.04</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179.85</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24.74</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24.74</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14.02</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14.02</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14.04</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14.04</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179.85</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179.85</w:t>
            </w:r>
          </w:p>
        </w:tc>
        <w:tc>
          <w:tcPr>
            <w:tcW w:w="1063" w:type="dxa"/>
            <w:gridSpan w:val="2"/>
            <w:shd w:val="clear" w:color="auto" w:fill="auto"/>
          </w:tcPr>
          <w:p>
            <w:pPr>
              <w:jc w:val="right"/>
              <w:rPr>
                <w:sz w:val="18"/>
                <w:szCs w:val="18"/>
              </w:rPr>
            </w:pPr>
            <w:r>
              <w:rPr>
                <w:rFonts w:hint="eastAsia" w:ascii="宋体" w:hAnsi="宋体"/>
                <w:b/>
                <w:color w:val="000000"/>
                <w:sz w:val="18"/>
                <w:szCs w:val="18"/>
              </w:rPr>
              <w:t>179.85</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编制部门：中共呼图壁县委员会机要保密局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127.04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123.24</w:t>
            </w:r>
          </w:p>
        </w:tc>
        <w:tc>
          <w:tcPr>
            <w:tcW w:w="1427" w:type="dxa"/>
            <w:shd w:val="clear" w:color="auto" w:fill="auto"/>
            <w:vAlign w:val="center"/>
          </w:tcPr>
          <w:p>
            <w:pPr>
              <w:jc w:val="right"/>
              <w:rPr>
                <w:b/>
                <w:sz w:val="18"/>
                <w:szCs w:val="18"/>
              </w:rPr>
            </w:pPr>
            <w:r>
              <w:rPr>
                <w:rFonts w:hint="eastAsia" w:ascii="宋体" w:hAnsi="宋体"/>
                <w:b/>
                <w:color w:val="000000"/>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31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党委办公厅（室）及相关机构事务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127.04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123.24</w:t>
            </w:r>
          </w:p>
        </w:tc>
        <w:tc>
          <w:tcPr>
            <w:tcW w:w="1427" w:type="dxa"/>
            <w:shd w:val="clear" w:color="auto" w:fill="auto"/>
            <w:vAlign w:val="center"/>
          </w:tcPr>
          <w:p>
            <w:pPr>
              <w:jc w:val="right"/>
              <w:rPr>
                <w:b/>
                <w:sz w:val="18"/>
                <w:szCs w:val="18"/>
              </w:rPr>
            </w:pPr>
            <w:r>
              <w:rPr>
                <w:rFonts w:hint="eastAsia" w:ascii="宋体" w:hAnsi="宋体"/>
                <w:b/>
                <w:color w:val="000000"/>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66.06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66.06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31</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57.18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57.18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其他党委办公厅（室）及相关机构事务支出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3.80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24.74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24.74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24.74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24.74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16.50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16.50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8.25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8.25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14.02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14.02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14.02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14.02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5.07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5.07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4.73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4.73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4.12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4.12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0.10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0.10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14.04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14.04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14.04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14.04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14.04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14.04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179.85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176.05</w:t>
            </w:r>
          </w:p>
        </w:tc>
        <w:tc>
          <w:tcPr>
            <w:tcW w:w="1427" w:type="dxa"/>
            <w:shd w:val="clear" w:color="auto" w:fill="auto"/>
            <w:vAlign w:val="center"/>
          </w:tcPr>
          <w:p>
            <w:pPr>
              <w:jc w:val="right"/>
              <w:rPr>
                <w:b/>
                <w:sz w:val="18"/>
                <w:szCs w:val="18"/>
              </w:rPr>
            </w:pPr>
            <w:r>
              <w:rPr>
                <w:rFonts w:hint="eastAsia" w:ascii="宋体" w:hAnsi="宋体"/>
                <w:b/>
                <w:color w:val="000000"/>
                <w:sz w:val="18"/>
                <w:szCs w:val="18"/>
              </w:rPr>
              <w:t>3.80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编制部门：中共呼图壁县委员会机要保密局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170.49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170.49</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41.82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41.82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27.61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27.61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35.00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35.00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12.59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12.59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16.50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16.50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8.25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8.25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9.79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9.79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4.12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4.12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0.76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0.76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14.04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14.04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5.54</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0.45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公务接待费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1.99</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0.78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0.82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0.01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0.01</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0.01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176.05</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170.51</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5.54</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编制部门：中共呼图壁县委员会机要保密局</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中共呼图壁县委员会机要保密局</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3.80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3.44</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0.36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3.80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3.44</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0.36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31</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党委办公厅（室）及相关机构事务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3.80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3.44</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0.36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31</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其他党委办公厅（室）及相关机构事务支出</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3.80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3.44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0.36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3.80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3.44</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0.36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编制部门：中共呼图壁县委员会机要保密局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中共呼图壁县委员会机要保密局2026年没有使用政府性基金预算拨款安排的支出，政府性基金预算支出情况表为空表。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编制部门：中共呼图壁县委员会机要保密局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中共呼图壁县委员会机要保密局2026年没有使用国有资本经营预算拨款安排的支出，国有资本经营预算支出情况表为空表。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编制部门：中共呼图壁县委员会机要保密局</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0.10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0.10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0.78</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0.78</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0.78</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0.78</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0.88</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0.88</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82"/>
        <w:gridCol w:w="1200"/>
        <w:gridCol w:w="1200"/>
        <w:gridCol w:w="120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编制部门：中共呼图壁县委员会机要保密局</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中共呼图壁县委员会机要保密局2026年没有委托业务费预算的支出，财政拨款委托业务费支出情况表为空表。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编制部门：中共呼图壁县委员会机要保密局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中共呼图壁县委员会机要保密局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61.53</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61.53</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61.53</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特定目标7310537P</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61.53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61.53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61.53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61.53</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61.53</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61.53</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按照全口径预算的原则，中共呼图壁县委员会机要保密局2026年所有收入和支出均纳入部门预算管理。收支总预算255.87万元。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支出预算包括：一般公共服务支出、社会保障和就业支出、卫生健康支出、资源勘探工业信息等支出、住房保障支出。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中共呼图壁县委员会机要保密局部门收入预算255.87万元，其中：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一般公共预算179.85万元，占70.29%，比上年预算减少283.56万元，下降61.19%，主要原因是2026年度项目</w:t>
      </w:r>
      <w:r>
        <w:rPr>
          <w:rFonts w:hint="eastAsia" w:ascii="仿宋" w:hAnsi="微软雅黑" w:eastAsia="仿宋"/>
          <w:sz w:val="28"/>
          <w:szCs w:val="28"/>
          <w:lang w:val="en-US" w:eastAsia="zh-CN"/>
        </w:rPr>
        <w:t>支出减少一般公共预算</w:t>
      </w:r>
      <w:r>
        <w:rPr>
          <w:rFonts w:hint="eastAsia" w:ascii="仿宋" w:hAnsi="微软雅黑" w:eastAsia="仿宋"/>
          <w:sz w:val="28"/>
          <w:szCs w:val="28"/>
        </w:rPr>
        <w:t>资金安排减少。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单位资金14.50万元，占5.67%，比上年预算减少59.18万元，下降80.32%，主要原因是本年度未将工资扣款部分纳入单位资金预算。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财政拨款结转61.53万元，占24.05%，比上年预算增加61.53万元，增长100.00%，主要原因是上年度上级专项项目未完结，部分资金未使用。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中共呼图壁县委员会机要保密局2026年支出预算255.87万元，其中：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基本支出190.55万元，占74.47%，比上年预算减少40.47万元，下降17.52%，主要原因是本年度未将个人工资扣款社保部分纳入单位资金预算支出。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项目支出65.33万元，占25.53%，比上年预算减少240.74万元，下降78.66%，主要原因是2026年度项目</w:t>
      </w:r>
      <w:r>
        <w:rPr>
          <w:rFonts w:hint="eastAsia" w:ascii="仿宋" w:hAnsi="微软雅黑" w:eastAsia="仿宋"/>
          <w:sz w:val="28"/>
          <w:szCs w:val="28"/>
          <w:lang w:val="en-US" w:eastAsia="zh-CN"/>
        </w:rPr>
        <w:t>支出减少一般公共预算</w:t>
      </w:r>
      <w:r>
        <w:rPr>
          <w:rFonts w:hint="eastAsia" w:ascii="仿宋" w:hAnsi="微软雅黑" w:eastAsia="仿宋"/>
          <w:sz w:val="28"/>
          <w:szCs w:val="28"/>
        </w:rPr>
        <w:t>资金安排减少。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2026年财政拨款收支总预算179.85万元。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收入预算包括：一般公共预算拨款179.85万元。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127.04万元，主要用于人员工资、津贴补贴、工作经费；社会保障和就业支出24.74万元，主要用于在职人员机关养老保险及职业年金缴费支出；卫生健康支出14.02万元，主要用于在职城镇职工医疗保险缴费支出；住房保障支出14.04万元，主要用于在职住房公积金缴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中共呼图壁县委员会机要保密局2026年一般公共预算拨款合计179.85万元，其中：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基本支出176.05万元，比上年预算增加18.71万元，增长11.89%，主要原因是工资调标、社保基数调整缴费预算增加、公积金基数调整缴费预算增加。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项目支出3.80万元，比上年预算减少302.27万元，下降98.76%，主要原因是2026年度项目</w:t>
      </w:r>
      <w:r>
        <w:rPr>
          <w:rFonts w:hint="eastAsia" w:ascii="仿宋" w:hAnsi="微软雅黑" w:eastAsia="仿宋"/>
          <w:sz w:val="28"/>
          <w:szCs w:val="28"/>
          <w:lang w:val="en-US" w:eastAsia="zh-CN"/>
        </w:rPr>
        <w:t>支出减少一般公共预算</w:t>
      </w:r>
      <w:r>
        <w:rPr>
          <w:rFonts w:hint="eastAsia" w:ascii="仿宋" w:hAnsi="微软雅黑" w:eastAsia="仿宋"/>
          <w:sz w:val="28"/>
          <w:szCs w:val="28"/>
        </w:rPr>
        <w:t>资金安排减少。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1.一般公共服务支出（类）127.04万元，占70.64%。</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2.社会保障和就业支出（类）24.74万元，占13.76%。</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3.卫生健康支出（类）14.02万元，占7.80%。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4.住房保障支出（类）14.04万元，占7.81%。</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党委办公厅（室）及相关机构事务（款）行政运行（项）：2026年预算数为66.06万元，比上年预算增加2.29万元，增长3.59%，主要原因是工资调标、社保基数调整缴费增加、公积金基数调整缴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党委办公厅（室）及相关机构事务（款）事业运行（项）：2026年预算数为57.18万元，比上年预算增加4.71万元，增长8.98%，主要原因是工资调标、社保基数调整缴费增加、公积金基数调整缴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服务支出（类）党委办公厅（室）及相关机构事务（款）其他党委办公厅（室）及相关机构事务支出（项）：2026年预算数为3.80万元，比上年预算减少302.27万元，下降98.76%，主要原因是2026年度项目资金预算安排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16.50万元，比上年预算增加0.62万元，增长3.90%，主要原因是社保基数调整机关事业单位基本养老保险缴费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8.25万元，比上年预算增加8.25万元，增长100.00%，主要原因是上年度称财政未安排机关事业单位职业年金缴费支出，职业年金单位部分未记实，本年度财政予以安排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6.卫生健康支出（类）行政事业单位医疗（款）行政单位医疗（项）：2026年预算数为5.07万元，比上年预算增加0.86万元，增长20.43%，主要原因是社保基数调整行政单位医疗缴费支出增加。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7.卫生健康支出（类）行政事业单位医疗（款）事业单位医疗（项）：2026年预算数为4.73万元，比上年预算增加1.00万元，增长26.81%，主要原因是社保基数调整事业单位医疗缴费支出增加。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8.卫生健康支出（类）行政事业单位医疗（款）公务员医疗补助（项）：2026年预算数为4.12万元，比上年预算增加0.16万元，增长4.04%，主要原因是社保基数调整公务员医疗补助缴费支出增加。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9.卫生健康支出（类）行政事业单位医疗（款）其他行政事业单位医疗支出（项）：2026年预算数为0.10万元，比上年预算增加0.00万元，增长0.00%，主要原因是</w:t>
      </w:r>
      <w:r>
        <w:rPr>
          <w:rFonts w:hint="eastAsia" w:ascii="仿宋" w:hAnsi="微软雅黑" w:eastAsia="仿宋"/>
          <w:sz w:val="28"/>
          <w:szCs w:val="28"/>
          <w:lang w:val="en-US" w:eastAsia="zh-CN"/>
        </w:rPr>
        <w:t>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10.住房保障支出（类）住房改革支出（款）住房公积金（项）：2026年预算数为14.04万元，比上年预算增加0.83万元，增长6.28%，主要原因是公积金基数调整住房公积金缴费支出增加。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中共呼图壁县委员会机要保密局2026年一般公共预算基本支出176.05万元，其中：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170.51万元，主要包括：基本工资、津贴补贴、奖金、绩效工资、机关事业单位基本养老保险缴费、职业年金缴费、职工基本医疗保险缴费、公务员医疗补助缴费、其他社会保障缴费、住房公积金、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公用经费5.54万元，主要包括：办公费、邮电费、差旅费、公务接待费、劳务费、工会经费、公务用车运行维护费、其他交通费用。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设立的政策依据：《2025年呼图壁县财经委员会第五次会议纪要》（呼党财【2025】5号）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项目承担单位：中共呼图壁县委员会机要保密局</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全部用于支付</w:t>
      </w:r>
      <w:r>
        <w:rPr>
          <w:rFonts w:hint="eastAsia" w:ascii="仿宋" w:hAnsi="微软雅黑" w:eastAsia="仿宋"/>
          <w:sz w:val="28"/>
          <w:szCs w:val="28"/>
        </w:rPr>
        <w:t>办公费</w:t>
      </w:r>
      <w:r>
        <w:rPr>
          <w:rFonts w:hint="eastAsia" w:ascii="仿宋" w:hAnsi="微软雅黑" w:eastAsia="仿宋"/>
          <w:sz w:val="28"/>
          <w:szCs w:val="28"/>
          <w:lang w:val="en-US" w:eastAsia="zh-CN"/>
        </w:rPr>
        <w:t>1.31万元</w:t>
      </w:r>
      <w:r>
        <w:rPr>
          <w:rFonts w:hint="eastAsia" w:ascii="仿宋" w:hAnsi="微软雅黑" w:eastAsia="仿宋"/>
          <w:sz w:val="28"/>
          <w:szCs w:val="28"/>
        </w:rPr>
        <w:t>、差旅费</w:t>
      </w:r>
      <w:r>
        <w:rPr>
          <w:rFonts w:hint="eastAsia" w:ascii="仿宋" w:hAnsi="微软雅黑" w:eastAsia="仿宋"/>
          <w:sz w:val="28"/>
          <w:szCs w:val="28"/>
          <w:lang w:val="en-US" w:eastAsia="zh-CN"/>
        </w:rPr>
        <w:t>1万元</w:t>
      </w:r>
      <w:r>
        <w:rPr>
          <w:rFonts w:hint="eastAsia" w:ascii="仿宋" w:hAnsi="微软雅黑" w:eastAsia="仿宋"/>
          <w:sz w:val="28"/>
          <w:szCs w:val="28"/>
        </w:rPr>
        <w:t>、办公设备购置</w:t>
      </w:r>
      <w:r>
        <w:rPr>
          <w:rFonts w:hint="eastAsia" w:ascii="仿宋" w:hAnsi="微软雅黑" w:eastAsia="仿宋"/>
          <w:sz w:val="28"/>
          <w:szCs w:val="28"/>
          <w:lang w:val="en-US" w:eastAsia="zh-CN"/>
        </w:rPr>
        <w:t>0.36万元</w:t>
      </w:r>
      <w:r>
        <w:rPr>
          <w:rFonts w:hint="eastAsia" w:ascii="仿宋" w:hAnsi="微软雅黑" w:eastAsia="仿宋"/>
          <w:sz w:val="28"/>
          <w:szCs w:val="28"/>
        </w:rPr>
        <w:t>、劳务费</w:t>
      </w:r>
      <w:r>
        <w:rPr>
          <w:rFonts w:hint="eastAsia" w:ascii="仿宋" w:hAnsi="微软雅黑" w:eastAsia="仿宋"/>
          <w:sz w:val="28"/>
          <w:szCs w:val="28"/>
          <w:lang w:val="en-US" w:eastAsia="zh-CN"/>
        </w:rPr>
        <w:t>1.13万元。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资金执行时间：2026年1月—2026年12月</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中共呼图壁县委员会机要保密局2026年财政拨款“三公”经费数为0.88万元，其中：因公出国（境）费用0.00万元，公务用车购置0.00万元，公务用车运行维护费0.78万元，公务接待费0.10万元。</w:t>
      </w:r>
    </w:p>
    <w:p>
      <w:pPr>
        <w:widowControl/>
        <w:spacing w:line="560" w:lineRule="exact"/>
        <w:ind w:firstLine="560" w:firstLineChars="200"/>
        <w:rPr>
          <w:rFonts w:hint="default" w:ascii="仿宋" w:hAnsi="微软雅黑" w:eastAsia="仿宋" w:cs="Times New Roman"/>
          <w:sz w:val="28"/>
          <w:szCs w:val="28"/>
        </w:rPr>
      </w:pPr>
      <w:r>
        <w:rPr>
          <w:rFonts w:hint="eastAsia" w:ascii="仿宋" w:hAnsi="微软雅黑" w:eastAsia="仿宋"/>
          <w:sz w:val="28"/>
          <w:szCs w:val="28"/>
        </w:rPr>
        <w:t>2026年财政拨款“三公”经费预算比上年预算增加0.00万元，增长0.00%，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w:t>
      </w:r>
      <w:r>
        <w:rPr>
          <w:rFonts w:hint="eastAsia" w:ascii="仿宋" w:hAnsi="微软雅黑" w:eastAsia="仿宋" w:cs="Times New Roman"/>
          <w:sz w:val="28"/>
          <w:szCs w:val="28"/>
          <w:lang w:val="en-US" w:eastAsia="zh-CN"/>
        </w:rPr>
        <w:t>2025年与2026年</w:t>
      </w:r>
      <w:bookmarkStart w:id="0" w:name="_GoBack"/>
      <w:bookmarkEnd w:id="0"/>
      <w:r>
        <w:rPr>
          <w:rFonts w:hint="eastAsia" w:ascii="仿宋" w:hAnsi="微软雅黑" w:eastAsia="仿宋" w:cs="Times New Roman"/>
          <w:sz w:val="28"/>
          <w:szCs w:val="28"/>
          <w:lang w:val="en-US" w:eastAsia="zh-CN"/>
        </w:rPr>
        <w:t>车辆数量未发生变化，因此</w:t>
      </w:r>
      <w:r>
        <w:rPr>
          <w:rFonts w:hint="eastAsia" w:ascii="仿宋" w:hAnsi="微软雅黑" w:eastAsia="仿宋"/>
          <w:sz w:val="28"/>
          <w:szCs w:val="28"/>
        </w:rPr>
        <w:t>公务用车运行维护费</w:t>
      </w:r>
      <w:r>
        <w:rPr>
          <w:rFonts w:hint="eastAsia" w:ascii="仿宋" w:hAnsi="微软雅黑" w:eastAsia="仿宋"/>
          <w:sz w:val="28"/>
          <w:szCs w:val="28"/>
          <w:lang w:val="en-US" w:eastAsia="zh-CN"/>
        </w:rPr>
        <w:t>预算未发生变化</w:t>
      </w:r>
      <w:r>
        <w:rPr>
          <w:rFonts w:hint="eastAsia" w:ascii="仿宋" w:hAnsi="微软雅黑" w:eastAsia="仿宋" w:cs="Times New Roman"/>
          <w:sz w:val="28"/>
          <w:szCs w:val="28"/>
        </w:rPr>
        <w:t>；公务接待费</w:t>
      </w:r>
      <w:r>
        <w:rPr>
          <w:rFonts w:hint="eastAsia" w:ascii="仿宋" w:hAnsi="微软雅黑" w:eastAsia="仿宋" w:cs="Times New Roman"/>
          <w:sz w:val="28"/>
          <w:szCs w:val="28"/>
          <w:lang w:val="en-US" w:eastAsia="zh-CN"/>
        </w:rPr>
        <w:t>减少</w:t>
      </w:r>
      <w:r>
        <w:rPr>
          <w:rFonts w:hint="eastAsia" w:ascii="仿宋" w:hAnsi="微软雅黑" w:eastAsia="仿宋" w:cs="Times New Roman"/>
          <w:sz w:val="28"/>
          <w:szCs w:val="28"/>
        </w:rPr>
        <w:t>0.</w:t>
      </w:r>
      <w:r>
        <w:rPr>
          <w:rFonts w:hint="eastAsia" w:ascii="仿宋" w:hAnsi="微软雅黑" w:eastAsia="仿宋" w:cs="Times New Roman"/>
          <w:sz w:val="28"/>
          <w:szCs w:val="28"/>
          <w:lang w:val="en-US" w:eastAsia="zh-CN"/>
        </w:rPr>
        <w:t>1</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下降50</w:t>
      </w:r>
      <w:r>
        <w:rPr>
          <w:rFonts w:hint="eastAsia" w:ascii="仿宋" w:hAnsi="微软雅黑" w:eastAsia="仿宋" w:cs="Times New Roman"/>
          <w:sz w:val="28"/>
          <w:szCs w:val="28"/>
        </w:rPr>
        <w:t>%，主要原因</w:t>
      </w:r>
      <w:r>
        <w:rPr>
          <w:rFonts w:hint="eastAsia" w:ascii="仿宋" w:hAnsi="微软雅黑" w:eastAsia="仿宋"/>
          <w:sz w:val="28"/>
          <w:szCs w:val="28"/>
        </w:rPr>
        <w:t>是按照中央八项规定要求尽量压缩此项经费支出，“三公”经费只减不</w:t>
      </w:r>
      <w:r>
        <w:rPr>
          <w:rFonts w:hint="eastAsia" w:ascii="仿宋" w:hAnsi="微软雅黑" w:eastAsia="仿宋"/>
          <w:sz w:val="28"/>
          <w:szCs w:val="28"/>
          <w:lang w:val="en-US" w:eastAsia="zh-CN"/>
        </w:rPr>
        <w:t>增</w:t>
      </w:r>
      <w:r>
        <w:rPr>
          <w:rFonts w:hint="eastAsia" w:ascii="仿宋" w:hAnsi="微软雅黑" w:eastAsia="仿宋" w:cs="Times New Roman"/>
          <w:sz w:val="28"/>
          <w:szCs w:val="28"/>
          <w:lang w:val="en-US" w:eastAsia="zh-CN"/>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中共呼图壁县委员会机要保密局2026年没有委托业务费预算的支出，财政拨款委托业务费支出情况表为空表。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关于中共呼图壁县委员会机要保密局2026年上年结转结余预算情况说明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中共呼图壁县委员会机要保密局2026年上年结转结余61.53万元，包括：财政拨款61.53万元，非财政拨款0.00万元，其中：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1.特定目标7310537P结转61.53万元，完全不予公开。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中共呼图壁县委员会机要保密局2026年的机关运行经费财政拨款预算5.54万元，比上年预算增加0.07万元，增长1.28%，主要原因是本年度业务量增加，机关运行经费增加，财政拨款预算增加。</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2026年，中共呼图壁县委员会机要保密局政府采购预算3.94万元，其中：政府采购货物预算1.89万元，政府采购工程预算0.00万元，政府采购服务预算2.04万元。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2026年，中共呼图壁县委员会机要保密局面向中小企业预留政府采购项目预算金额2.80万元，其中：小微企业预留政府采购项目预算金额2.80万元。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截至2025年底，中共呼图壁县委员会机要保密局占用使用国有资产总体情况为：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2.车辆1辆，价值15.50万元；其中：一般公务用车0辆，价值0.00万元；执法执勤用车1辆，价值15.50万元；其他车辆0辆，价值0.00万元。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3.办公家具价值4.66万元。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4.其他资产价值341.60万元。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2026年，本部门预算绩效管理整体预算绩效目标1个，涉及预算金额3.80万元；当年预算安排项目共1个，其中：财政拨款项目涉及预算金额3.80万元；非财政拨款项目涉及预算金额0.00万元。具体情况见下表：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中共呼图壁县委员会机要保密局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刘梦颖</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18209944333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全面加强保密监督管理，强化对各级机关单位、乡镇、驻县单位及国有企业的保密检查指导，开展不少于3轮次保密专项检查；重点督导教育部门考试保密管理工作，确保全流程规范；深化保密宣传教育，举办“保密宣传教育月”“4·15”全民国家安全教育日系列活动，组织保密宣传培训25场次以上；高标准保障涉密会议服务，全年完成40场次以上涉密会议保障任务；高效推进文件规范化管理，全年办文量达300份以上；全力维护全县电子政务内网安全稳定运行，筑牢保密安全防线，切实提升县域保密工作质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服务保障涉密会议场次</w:t>
            </w:r>
          </w:p>
        </w:tc>
        <w:tc>
          <w:tcPr>
            <w:tcW w:w="1448" w:type="dxa"/>
            <w:gridSpan w:val="2"/>
            <w:shd w:val="clear" w:color="auto" w:fill="auto"/>
            <w:vAlign w:val="center"/>
          </w:tcPr>
          <w:p>
            <w:pPr>
              <w:jc w:val="center"/>
              <w:rPr>
                <w:sz w:val="18"/>
                <w:szCs w:val="18"/>
              </w:rPr>
            </w:pPr>
            <w:r>
              <w:rPr>
                <w:rFonts w:hint="eastAsia"/>
                <w:sz w:val="18"/>
                <w:szCs w:val="18"/>
              </w:rPr>
              <w:t>＞=40场次</w:t>
            </w:r>
          </w:p>
        </w:tc>
        <w:tc>
          <w:tcPr>
            <w:tcW w:w="1360" w:type="dxa"/>
            <w:shd w:val="clear" w:color="auto" w:fill="auto"/>
            <w:vAlign w:val="center"/>
          </w:tcPr>
          <w:p>
            <w:pPr>
              <w:jc w:val="center"/>
              <w:rPr>
                <w:sz w:val="18"/>
                <w:szCs w:val="18"/>
              </w:rPr>
            </w:pPr>
            <w:r>
              <w:rPr>
                <w:rFonts w:hint="eastAsia"/>
                <w:sz w:val="18"/>
                <w:szCs w:val="18"/>
              </w:rPr>
              <w:t>计划标准</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保密检查轮次</w:t>
            </w:r>
          </w:p>
        </w:tc>
        <w:tc>
          <w:tcPr>
            <w:tcW w:w="1448" w:type="dxa"/>
            <w:gridSpan w:val="2"/>
            <w:shd w:val="clear" w:color="auto" w:fill="auto"/>
            <w:vAlign w:val="center"/>
          </w:tcPr>
          <w:p>
            <w:pPr>
              <w:jc w:val="center"/>
              <w:rPr>
                <w:sz w:val="18"/>
                <w:szCs w:val="18"/>
              </w:rPr>
            </w:pPr>
            <w:r>
              <w:rPr>
                <w:rFonts w:hint="eastAsia"/>
                <w:sz w:val="18"/>
                <w:szCs w:val="18"/>
              </w:rPr>
              <w:t>＞=3轮次</w:t>
            </w:r>
          </w:p>
        </w:tc>
        <w:tc>
          <w:tcPr>
            <w:tcW w:w="1360" w:type="dxa"/>
            <w:shd w:val="clear" w:color="auto" w:fill="auto"/>
            <w:vAlign w:val="center"/>
          </w:tcPr>
          <w:p>
            <w:pPr>
              <w:jc w:val="center"/>
              <w:rPr>
                <w:sz w:val="18"/>
                <w:szCs w:val="18"/>
              </w:rPr>
            </w:pPr>
            <w:r>
              <w:rPr>
                <w:rFonts w:hint="eastAsia"/>
                <w:sz w:val="18"/>
                <w:szCs w:val="18"/>
              </w:rPr>
              <w:t>计划标准</w:t>
            </w:r>
          </w:p>
        </w:tc>
        <w:tc>
          <w:tcPr>
            <w:tcW w:w="1360" w:type="dxa"/>
            <w:shd w:val="clear" w:color="auto" w:fill="auto"/>
            <w:vAlign w:val="center"/>
          </w:tcPr>
          <w:p>
            <w:pPr>
              <w:jc w:val="center"/>
              <w:rPr>
                <w:sz w:val="18"/>
                <w:szCs w:val="18"/>
              </w:rPr>
            </w:pPr>
            <w:r>
              <w:rPr>
                <w:rFonts w:hint="eastAsia"/>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保密宣传培训场次</w:t>
            </w:r>
          </w:p>
        </w:tc>
        <w:tc>
          <w:tcPr>
            <w:tcW w:w="1448" w:type="dxa"/>
            <w:gridSpan w:val="2"/>
            <w:shd w:val="clear" w:color="auto" w:fill="auto"/>
            <w:vAlign w:val="center"/>
          </w:tcPr>
          <w:p>
            <w:pPr>
              <w:jc w:val="center"/>
              <w:rPr>
                <w:sz w:val="18"/>
                <w:szCs w:val="18"/>
              </w:rPr>
            </w:pPr>
            <w:r>
              <w:rPr>
                <w:rFonts w:hint="eastAsia"/>
                <w:sz w:val="18"/>
                <w:szCs w:val="18"/>
              </w:rPr>
              <w:t>＞=25场次</w:t>
            </w:r>
          </w:p>
        </w:tc>
        <w:tc>
          <w:tcPr>
            <w:tcW w:w="1360" w:type="dxa"/>
            <w:shd w:val="clear" w:color="auto" w:fill="auto"/>
            <w:vAlign w:val="center"/>
          </w:tcPr>
          <w:p>
            <w:pPr>
              <w:jc w:val="center"/>
              <w:rPr>
                <w:sz w:val="18"/>
                <w:szCs w:val="18"/>
              </w:rPr>
            </w:pPr>
            <w:r>
              <w:rPr>
                <w:rFonts w:hint="eastAsia"/>
                <w:sz w:val="18"/>
                <w:szCs w:val="18"/>
              </w:rPr>
              <w:t>计划标准</w:t>
            </w:r>
          </w:p>
        </w:tc>
        <w:tc>
          <w:tcPr>
            <w:tcW w:w="1360" w:type="dxa"/>
            <w:shd w:val="clear" w:color="auto" w:fill="auto"/>
            <w:vAlign w:val="center"/>
          </w:tcPr>
          <w:p>
            <w:pPr>
              <w:jc w:val="center"/>
              <w:rPr>
                <w:sz w:val="18"/>
                <w:szCs w:val="18"/>
              </w:rPr>
            </w:pPr>
            <w:r>
              <w:rPr>
                <w:rFonts w:hint="eastAsia"/>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文件办理份数</w:t>
            </w:r>
          </w:p>
        </w:tc>
        <w:tc>
          <w:tcPr>
            <w:tcW w:w="1448" w:type="dxa"/>
            <w:gridSpan w:val="2"/>
            <w:shd w:val="clear" w:color="auto" w:fill="auto"/>
            <w:vAlign w:val="center"/>
          </w:tcPr>
          <w:p>
            <w:pPr>
              <w:jc w:val="center"/>
              <w:rPr>
                <w:sz w:val="18"/>
                <w:szCs w:val="18"/>
              </w:rPr>
            </w:pPr>
            <w:r>
              <w:rPr>
                <w:rFonts w:hint="eastAsia"/>
                <w:sz w:val="18"/>
                <w:szCs w:val="18"/>
              </w:rPr>
              <w:t>＞=300份</w:t>
            </w:r>
          </w:p>
        </w:tc>
        <w:tc>
          <w:tcPr>
            <w:tcW w:w="1360" w:type="dxa"/>
            <w:shd w:val="clear" w:color="auto" w:fill="auto"/>
            <w:vAlign w:val="center"/>
          </w:tcPr>
          <w:p>
            <w:pPr>
              <w:jc w:val="center"/>
              <w:rPr>
                <w:sz w:val="18"/>
                <w:szCs w:val="18"/>
              </w:rPr>
            </w:pPr>
            <w:r>
              <w:rPr>
                <w:rFonts w:hint="eastAsia"/>
                <w:sz w:val="18"/>
                <w:szCs w:val="18"/>
              </w:rPr>
              <w:t>计划标准</w:t>
            </w:r>
          </w:p>
        </w:tc>
        <w:tc>
          <w:tcPr>
            <w:tcW w:w="1360" w:type="dxa"/>
            <w:shd w:val="clear" w:color="auto" w:fill="auto"/>
            <w:vAlign w:val="center"/>
          </w:tcPr>
          <w:p>
            <w:pPr>
              <w:jc w:val="center"/>
              <w:rPr>
                <w:sz w:val="18"/>
                <w:szCs w:val="18"/>
              </w:rPr>
            </w:pPr>
            <w:r>
              <w:rPr>
                <w:rFonts w:hint="eastAsia"/>
                <w:sz w:val="18"/>
                <w:szCs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文件办理合格率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计划标准</w:t>
            </w:r>
          </w:p>
        </w:tc>
        <w:tc>
          <w:tcPr>
            <w:tcW w:w="1360" w:type="dxa"/>
            <w:shd w:val="clear" w:color="auto" w:fill="auto"/>
            <w:vAlign w:val="center"/>
          </w:tcPr>
          <w:p>
            <w:pPr>
              <w:jc w:val="center"/>
              <w:rPr>
                <w:sz w:val="18"/>
                <w:szCs w:val="18"/>
              </w:rPr>
            </w:pPr>
            <w:r>
              <w:rPr>
                <w:rFonts w:hint="eastAsia"/>
                <w:sz w:val="18"/>
                <w:szCs w:val="18"/>
              </w:rPr>
              <w:t>13</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中共呼图壁县委员会机要保密局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姚飞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3.80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3.80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节约型机关创建行动方案》、《党政机关厉行节约反对浪费条例》、《中华人民共和国保守国家秘密法》结合我单位职能，本项目拟投入3.8万元主要用于保障2026年县委机要保密局工作正常运转，聚焦经费精准高效使用，科学规划办公费、办公设备购置费、劳务费配置比例与使用方向。通过列支办公费保障项目日常运营与基础耗材需求，通过办公设备购置费佩奇项目实施必备的硬件设备，通过劳务费足额支付专业劳务服务费用，全面保障项目有序推进、规范落地，确保项目按期完成、成果达标，实现经费使用合规、资源配置合理、工作效能提升的总体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服务保障涉密会议场次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＞=40场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保密检查轮次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＞=3轮次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保密宣传培训场次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＞=25场次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办公设备采购数量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文件办理合格率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宣传培训覆盖率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保密工作检查时限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劳务费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办公设备购置</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＜=0.36万元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提升保密工作质效</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参加学习人员的满意度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中共呼图壁县委员会机要保密局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1014E"/>
    <w:multiLevelType w:val="multilevel"/>
    <w:tmpl w:val="9891014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B2A12D85"/>
    <w:multiLevelType w:val="multilevel"/>
    <w:tmpl w:val="B2A12D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1ADDCA8"/>
    <w:multiLevelType w:val="multilevel"/>
    <w:tmpl w:val="61ADDCA8"/>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EA6735"/>
    <w:rsid w:val="58CB4196"/>
    <w:rsid w:val="5BA773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uiPriority w:val="0"/>
    <w:rPr>
      <w:rFonts w:hint="default" w:ascii="Times New Roman" w:hAnsi="Times New Roman"/>
      <w:b/>
      <w:kern w:val="44"/>
      <w:sz w:val="44"/>
      <w:szCs w:val="44"/>
    </w:rPr>
  </w:style>
  <w:style w:type="character" w:customStyle="1" w:styleId="13">
    <w:name w:val="标题 2 Char"/>
    <w:link w:val="3"/>
    <w:qFormat/>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28</Pages>
  <Words>2043</Words>
  <Characters>2774</Characters>
  <Lines>40</Lines>
  <Paragraphs>11</Paragraphs>
  <TotalTime>1</TotalTime>
  <ScaleCrop>false</ScaleCrop>
  <LinksUpToDate>false</LinksUpToDate>
  <CharactersWithSpaces>3006</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2026-05-31T05:04:43Z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eyJoZGlkIjoiYWJmNTAxYTA0NTllZTU0OWY5NWY0MWNlMzBjNGU2OTYiLCJ1c2VySWQiOiIyNDc3ODExMjkifQ==</vt:lpwstr>
  </property>
  <property fmtid="{D5CDD505-2E9C-101B-9397-08002B2CF9AE}" pid="3" name="KSOProductBuildVer">
    <vt:lpwstr>2052-11.8.2.10972</vt:lpwstr>
  </property>
  <property fmtid="{D5CDD505-2E9C-101B-9397-08002B2CF9AE}" pid="4" name="ICV">
    <vt:lpwstr>F12A6DF8EF4B403E9C9E5F9829D1B694_13</vt:lpwstr>
  </property>
</Properties>
</file>