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2026年呼图壁县司法局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关于呼图壁县司法局2026年收支预算情况的总体说明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关于呼图壁县司法局2026年收入预算情况说明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关于呼图壁县司法局2026年支出预算情况说明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关于呼图壁县司法局2026年财政拨款收支预算情况的总体说明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关于呼图壁县司法局2026年一般公共预算当年拨款情况说明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关于呼图壁县司法局2026年一般公共预算基本支出情况说明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关于呼图壁县司法局2026年一般公共预算项目支出情况说明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关于呼图壁县司法局2026年政府性基金预算拨款情况说明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关于呼图壁县司法局2026年国有资本经营预算拨款情况说明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关于呼图壁县司法局2026年财政拨款“三公”经费预算情况说明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关于呼图壁县司法局2026年财政拨款委托业务费支出情况说明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关于呼图壁县司法局2026年上年结转结余预算情况说明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（一）承担全面依法治县重大问题的政策研究，协调有关方面提出全面依法治县中长期规划建议，负责有关重大决策部署督察工作。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（二）负责县人民政府行政规范性文件合法性审核，县人民政府各部门单位、各乡镇规范性文件的备案审查和清理工作。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三）统筹推进法治政府建设。指导、监督县人民政府各部门单位、各乡镇人民政府依法行政工作。负责行政执法的监督管理、综合协调工作，承担推进行政执法体制改革有关工作，推进严格规范公正文明执法。指导、监督全县行政复议和行政应诉工作，负责承办县人民政府行政复议、行政裁决案件。指导县人民政府各部门单位、各乡镇的行政应诉和行政赔偿案件办理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四）统筹规划法治社会建设。负责拟订法治宣传教育规划，组织实施普法宣传工作，组织对外法治宣传。负责促进和谐、预防犯罪宣传教育工作。推动人民参与和促进法治建设，指导人民团体、群众自治组织和社会组织参与、支持法治建设工作。指导依法治理工作。负责人民陪审员、人民监督员选任工作。指导、监督人民调解、行政调解工作。推进新时代司法所建设。</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五）负责拟订公共法律服务体系建设规划并指导实施，统筹布局城乡法律服务资源。指导、监督律师、法律援助、司法鉴定、公证和基层法律服务管理工作。落实县人民政府法律顾问办公室工作。指导党政机关、企事业单位、村（社区）法律顾问、公职律师、公司律师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（六）负责社区矫正工作，指导刑满释放人员安置帮教工作。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（七）规划、协调、指导法治人才队伍建设相关工作。指导、监督本系统队伍建设。负责本系统警务管理和警务督察工作。负责本系统警务用车管理，指导、监督本系统财务、装备、设施、场所等管理保障工作。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（八）完成县党委、县人民政府交办的其他任务。</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呼图壁县司法局无下属预算单位。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编制部门：呼图壁县司法局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1,423.74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1,318.74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1,171.24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147.50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1,091.21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105.00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105.00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1,423.74</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1,423.74</w:t>
            </w:r>
          </w:p>
        </w:tc>
      </w:tr>
    </w:tbl>
    <w:p>
      <w:pPr>
        <w:widowControl/>
        <w:jc w:val="left"/>
        <w:rPr>
          <w:rFonts w:hint="default" w:ascii="仿宋" w:eastAsia="仿宋"/>
          <w:b/>
          <w:color w:val="000000"/>
          <w:szCs w:val="21"/>
        </w:rPr>
        <w:sectPr>
          <w:headerReference r:id="rId3" w:type="default"/>
          <w:footerReference r:id="rId4"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编制部门：呼图壁县司法局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204</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公共安全支出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1,091.21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1,061.21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913.71</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147.50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204</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06</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司法</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1,091.21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1,061.21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913.71</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147.50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773.58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743.58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743.58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基层司法业务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102.16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102.16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102.16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67.97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67.97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67.97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其他司法支出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147.50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147.50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147.50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132.08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20.42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74.44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74.44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74.44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37.22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37.22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63.27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44.20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18.61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137.18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62.18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62.18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137.18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62.18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62.18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137.18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62.18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62.18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1,423.74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1,318.74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1,171.24</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147.50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204</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公共安全支出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1,091.21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841.55</w:t>
            </w:r>
          </w:p>
        </w:tc>
        <w:tc>
          <w:tcPr>
            <w:tcW w:w="340" w:type="dxa"/>
            <w:shd w:val="clear" w:color="auto" w:fill="auto"/>
            <w:vAlign w:val="center"/>
          </w:tcPr>
          <w:p>
            <w:pPr>
              <w:jc w:val="right"/>
              <w:rPr>
                <w:b/>
                <w:sz w:val="18"/>
                <w:szCs w:val="18"/>
              </w:rPr>
            </w:pPr>
            <w:r>
              <w:rPr>
                <w:rFonts w:hint="eastAsia" w:ascii="宋体" w:hAnsi="宋体"/>
                <w:b/>
                <w:color w:val="000000"/>
                <w:sz w:val="18"/>
                <w:szCs w:val="18"/>
              </w:rPr>
              <w:t>249.66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204</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06</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司法</w:t>
            </w:r>
          </w:p>
        </w:tc>
        <w:tc>
          <w:tcPr>
            <w:tcW w:w="340" w:type="dxa"/>
            <w:shd w:val="clear" w:color="auto" w:fill="auto"/>
            <w:vAlign w:val="center"/>
          </w:tcPr>
          <w:p>
            <w:pPr>
              <w:jc w:val="right"/>
              <w:rPr>
                <w:b/>
                <w:sz w:val="18"/>
                <w:szCs w:val="18"/>
              </w:rPr>
            </w:pPr>
            <w:r>
              <w:rPr>
                <w:rFonts w:hint="eastAsia" w:ascii="宋体" w:hAnsi="宋体"/>
                <w:b/>
                <w:color w:val="000000"/>
                <w:sz w:val="18"/>
                <w:szCs w:val="18"/>
              </w:rPr>
              <w:t>1,091.21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841.55</w:t>
            </w:r>
          </w:p>
        </w:tc>
        <w:tc>
          <w:tcPr>
            <w:tcW w:w="340" w:type="dxa"/>
            <w:shd w:val="clear" w:color="auto" w:fill="auto"/>
            <w:vAlign w:val="center"/>
          </w:tcPr>
          <w:p>
            <w:pPr>
              <w:jc w:val="right"/>
              <w:rPr>
                <w:b/>
                <w:sz w:val="18"/>
                <w:szCs w:val="18"/>
              </w:rPr>
            </w:pPr>
            <w:r>
              <w:rPr>
                <w:rFonts w:hint="eastAsia" w:ascii="宋体" w:hAnsi="宋体"/>
                <w:b/>
                <w:color w:val="000000"/>
                <w:sz w:val="18"/>
                <w:szCs w:val="18"/>
              </w:rPr>
              <w:t>249.66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773.58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773.58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基层司法业务</w:t>
            </w:r>
          </w:p>
        </w:tc>
        <w:tc>
          <w:tcPr>
            <w:tcW w:w="340" w:type="dxa"/>
            <w:shd w:val="clear" w:color="auto" w:fill="auto"/>
            <w:vAlign w:val="center"/>
          </w:tcPr>
          <w:p>
            <w:pPr>
              <w:jc w:val="right"/>
              <w:rPr>
                <w:sz w:val="18"/>
                <w:szCs w:val="18"/>
              </w:rPr>
            </w:pPr>
            <w:r>
              <w:rPr>
                <w:rFonts w:hint="eastAsia" w:ascii="宋体" w:hAnsi="宋体"/>
                <w:color w:val="000000"/>
                <w:sz w:val="18"/>
                <w:szCs w:val="18"/>
              </w:rPr>
              <w:t>102.16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67.97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67.97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其他司法支出</w:t>
            </w:r>
          </w:p>
        </w:tc>
        <w:tc>
          <w:tcPr>
            <w:tcW w:w="340" w:type="dxa"/>
            <w:shd w:val="clear" w:color="auto" w:fill="auto"/>
            <w:vAlign w:val="center"/>
          </w:tcPr>
          <w:p>
            <w:pPr>
              <w:jc w:val="right"/>
              <w:rPr>
                <w:sz w:val="18"/>
                <w:szCs w:val="18"/>
              </w:rPr>
            </w:pPr>
            <w:r>
              <w:rPr>
                <w:rFonts w:hint="eastAsia" w:ascii="宋体" w:hAnsi="宋体"/>
                <w:color w:val="000000"/>
                <w:sz w:val="18"/>
                <w:szCs w:val="18"/>
              </w:rPr>
              <w:t>147.50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147.50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132.08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132.08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132.08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132.08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20.42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20.42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74.44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74.44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37.22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37.22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63.27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63.27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63.27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63.27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44.20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44.20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18.61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18.61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0.47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0.47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137.18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137.18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137.18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137.18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137.18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137.18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1,423.74</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1,174.08</w:t>
            </w:r>
          </w:p>
        </w:tc>
        <w:tc>
          <w:tcPr>
            <w:tcW w:w="340" w:type="dxa"/>
            <w:shd w:val="clear" w:color="auto" w:fill="auto"/>
            <w:vAlign w:val="center"/>
          </w:tcPr>
          <w:p>
            <w:pPr>
              <w:jc w:val="right"/>
              <w:rPr>
                <w:b/>
                <w:sz w:val="18"/>
                <w:szCs w:val="18"/>
              </w:rPr>
            </w:pPr>
            <w:r>
              <w:rPr>
                <w:rFonts w:hint="eastAsia" w:ascii="宋体" w:hAnsi="宋体"/>
                <w:b/>
                <w:color w:val="000000"/>
                <w:sz w:val="18"/>
                <w:szCs w:val="18"/>
              </w:rPr>
              <w:t>249.66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编制部门：呼图壁县司法局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1,318.74</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1,318.74</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1,061.21</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1,061.21</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132.08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132.08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63.27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63.27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62.18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62.18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1,318.74</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1,318.74</w:t>
            </w:r>
          </w:p>
        </w:tc>
        <w:tc>
          <w:tcPr>
            <w:tcW w:w="1063" w:type="dxa"/>
            <w:gridSpan w:val="2"/>
            <w:shd w:val="clear" w:color="auto" w:fill="auto"/>
          </w:tcPr>
          <w:p>
            <w:pPr>
              <w:jc w:val="right"/>
              <w:rPr>
                <w:sz w:val="18"/>
                <w:szCs w:val="18"/>
              </w:rPr>
            </w:pPr>
            <w:r>
              <w:rPr>
                <w:rFonts w:hint="eastAsia" w:ascii="宋体" w:hAnsi="宋体"/>
                <w:b/>
                <w:color w:val="000000"/>
                <w:sz w:val="18"/>
                <w:szCs w:val="18"/>
              </w:rPr>
              <w:t>1,318.74</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公共安全支出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1,061.21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811.55</w:t>
            </w:r>
          </w:p>
        </w:tc>
        <w:tc>
          <w:tcPr>
            <w:tcW w:w="1427" w:type="dxa"/>
            <w:shd w:val="clear" w:color="auto" w:fill="auto"/>
            <w:vAlign w:val="center"/>
          </w:tcPr>
          <w:p>
            <w:pPr>
              <w:jc w:val="right"/>
              <w:rPr>
                <w:b/>
                <w:sz w:val="18"/>
                <w:szCs w:val="18"/>
              </w:rPr>
            </w:pPr>
            <w:r>
              <w:rPr>
                <w:rFonts w:hint="eastAsia" w:ascii="宋体" w:hAnsi="宋体"/>
                <w:b/>
                <w:color w:val="000000"/>
                <w:sz w:val="18"/>
                <w:szCs w:val="18"/>
              </w:rPr>
              <w:t>249.66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204</w:t>
            </w:r>
          </w:p>
        </w:tc>
        <w:tc>
          <w:tcPr>
            <w:tcW w:w="567" w:type="dxa"/>
            <w:shd w:val="clear" w:color="auto" w:fill="auto"/>
            <w:vAlign w:val="center"/>
          </w:tcPr>
          <w:p>
            <w:pPr>
              <w:jc w:val="center"/>
              <w:rPr>
                <w:b/>
                <w:sz w:val="18"/>
                <w:szCs w:val="18"/>
              </w:rPr>
            </w:pPr>
            <w:r>
              <w:rPr>
                <w:rFonts w:hint="eastAsia" w:ascii="宋体" w:hAnsi="宋体"/>
                <w:b/>
                <w:color w:val="000000"/>
                <w:sz w:val="18"/>
                <w:szCs w:val="18"/>
              </w:rPr>
              <w:t>06</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司法</w:t>
            </w:r>
          </w:p>
        </w:tc>
        <w:tc>
          <w:tcPr>
            <w:tcW w:w="1367" w:type="dxa"/>
            <w:shd w:val="clear" w:color="auto" w:fill="auto"/>
            <w:vAlign w:val="center"/>
          </w:tcPr>
          <w:p>
            <w:pPr>
              <w:jc w:val="right"/>
              <w:rPr>
                <w:b/>
                <w:sz w:val="18"/>
                <w:szCs w:val="18"/>
              </w:rPr>
            </w:pPr>
            <w:r>
              <w:rPr>
                <w:rFonts w:hint="eastAsia" w:ascii="宋体" w:hAnsi="宋体"/>
                <w:b/>
                <w:color w:val="000000"/>
                <w:sz w:val="18"/>
                <w:szCs w:val="18"/>
              </w:rPr>
              <w:t>1,061.21</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811.55</w:t>
            </w:r>
          </w:p>
        </w:tc>
        <w:tc>
          <w:tcPr>
            <w:tcW w:w="1427" w:type="dxa"/>
            <w:shd w:val="clear" w:color="auto" w:fill="auto"/>
            <w:vAlign w:val="center"/>
          </w:tcPr>
          <w:p>
            <w:pPr>
              <w:jc w:val="right"/>
              <w:rPr>
                <w:b/>
                <w:sz w:val="18"/>
                <w:szCs w:val="18"/>
              </w:rPr>
            </w:pPr>
            <w:r>
              <w:rPr>
                <w:rFonts w:hint="eastAsia" w:ascii="宋体" w:hAnsi="宋体"/>
                <w:b/>
                <w:color w:val="000000"/>
                <w:sz w:val="18"/>
                <w:szCs w:val="18"/>
              </w:rPr>
              <w:t>249.66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743.58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743.58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基层司法业务</w:t>
            </w:r>
          </w:p>
        </w:tc>
        <w:tc>
          <w:tcPr>
            <w:tcW w:w="1367" w:type="dxa"/>
            <w:shd w:val="clear" w:color="auto" w:fill="auto"/>
            <w:vAlign w:val="center"/>
          </w:tcPr>
          <w:p>
            <w:pPr>
              <w:jc w:val="right"/>
              <w:rPr>
                <w:sz w:val="18"/>
                <w:szCs w:val="18"/>
              </w:rPr>
            </w:pPr>
            <w:r>
              <w:rPr>
                <w:rFonts w:hint="eastAsia" w:ascii="宋体" w:hAnsi="宋体"/>
                <w:color w:val="000000"/>
                <w:sz w:val="18"/>
                <w:szCs w:val="18"/>
              </w:rPr>
              <w:t>102.16</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102.16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67.97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67.97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204</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其他司法支出</w:t>
            </w:r>
          </w:p>
        </w:tc>
        <w:tc>
          <w:tcPr>
            <w:tcW w:w="1367" w:type="dxa"/>
            <w:shd w:val="clear" w:color="auto" w:fill="auto"/>
            <w:vAlign w:val="center"/>
          </w:tcPr>
          <w:p>
            <w:pPr>
              <w:jc w:val="right"/>
              <w:rPr>
                <w:sz w:val="18"/>
                <w:szCs w:val="18"/>
              </w:rPr>
            </w:pPr>
            <w:r>
              <w:rPr>
                <w:rFonts w:hint="eastAsia" w:ascii="宋体" w:hAnsi="宋体"/>
                <w:color w:val="000000"/>
                <w:sz w:val="18"/>
                <w:szCs w:val="18"/>
              </w:rPr>
              <w:t>147.50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147.50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132.08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132.08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132.08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132.08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20.42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20.42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74.44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74.44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37.22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37.22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63.27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63.27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63.27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63.27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44.20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44.20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18.61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18.61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0.47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0.47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62.18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62.18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62.18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62.18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62.18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1,318.74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1,069.08</w:t>
            </w:r>
          </w:p>
        </w:tc>
        <w:tc>
          <w:tcPr>
            <w:tcW w:w="1427" w:type="dxa"/>
            <w:shd w:val="clear" w:color="auto" w:fill="auto"/>
            <w:vAlign w:val="center"/>
          </w:tcPr>
          <w:p>
            <w:pPr>
              <w:jc w:val="right"/>
              <w:rPr>
                <w:b/>
                <w:sz w:val="18"/>
                <w:szCs w:val="18"/>
              </w:rPr>
            </w:pPr>
            <w:r>
              <w:rPr>
                <w:rFonts w:hint="eastAsia" w:ascii="宋体" w:hAnsi="宋体"/>
                <w:b/>
                <w:color w:val="000000"/>
                <w:sz w:val="18"/>
                <w:szCs w:val="18"/>
              </w:rPr>
              <w:t>249.66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757.40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757.40</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177.59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177.59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187.36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187.36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138.16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138.16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15.02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15.02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74.44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74.44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37.22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37.22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44.20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44.20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18.61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18.61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62.18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62.18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289.32</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289.32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14.02</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4.20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7.24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248.45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248.45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9.01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22.36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22.36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20.42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20.42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1,069.08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779.75</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289.32</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呼图壁县司法局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249.66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19.00</w:t>
            </w:r>
          </w:p>
        </w:tc>
        <w:tc>
          <w:tcPr>
            <w:tcW w:w="850" w:type="dxa"/>
            <w:shd w:val="clear" w:color="auto" w:fill="auto"/>
            <w:vAlign w:val="center"/>
          </w:tcPr>
          <w:p>
            <w:pPr>
              <w:jc w:val="right"/>
              <w:rPr>
                <w:b/>
                <w:sz w:val="18"/>
                <w:szCs w:val="18"/>
              </w:rPr>
            </w:pPr>
            <w:r>
              <w:rPr>
                <w:rFonts w:hint="default" w:ascii="宋体" w:hAnsi="宋体"/>
                <w:b/>
                <w:kern w:val="0"/>
                <w:sz w:val="13"/>
                <w:szCs w:val="13"/>
              </w:rPr>
              <w:t>30.30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204</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公共安全支出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249.66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19.00</w:t>
            </w:r>
          </w:p>
        </w:tc>
        <w:tc>
          <w:tcPr>
            <w:tcW w:w="850" w:type="dxa"/>
            <w:shd w:val="clear" w:color="auto" w:fill="auto"/>
            <w:vAlign w:val="center"/>
          </w:tcPr>
          <w:p>
            <w:pPr>
              <w:jc w:val="right"/>
              <w:rPr>
                <w:b/>
                <w:sz w:val="18"/>
                <w:szCs w:val="18"/>
              </w:rPr>
            </w:pPr>
            <w:r>
              <w:rPr>
                <w:rFonts w:hint="default" w:ascii="宋体" w:hAnsi="宋体"/>
                <w:b/>
                <w:kern w:val="0"/>
                <w:sz w:val="13"/>
                <w:szCs w:val="13"/>
              </w:rPr>
              <w:t>30.30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204</w:t>
            </w:r>
          </w:p>
        </w:tc>
        <w:tc>
          <w:tcPr>
            <w:tcW w:w="260" w:type="dxa"/>
            <w:shd w:val="clear" w:color="auto" w:fill="auto"/>
            <w:vAlign w:val="center"/>
          </w:tcPr>
          <w:p>
            <w:pPr>
              <w:jc w:val="center"/>
              <w:rPr>
                <w:b/>
                <w:sz w:val="18"/>
                <w:szCs w:val="18"/>
              </w:rPr>
            </w:pPr>
            <w:r>
              <w:rPr>
                <w:rFonts w:hint="default" w:ascii="宋体" w:hAnsi="宋体"/>
                <w:b/>
                <w:kern w:val="0"/>
                <w:sz w:val="13"/>
                <w:szCs w:val="13"/>
              </w:rPr>
              <w:t>06</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司法</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249.66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19.00</w:t>
            </w:r>
          </w:p>
        </w:tc>
        <w:tc>
          <w:tcPr>
            <w:tcW w:w="850" w:type="dxa"/>
            <w:shd w:val="clear" w:color="auto" w:fill="auto"/>
            <w:vAlign w:val="center"/>
          </w:tcPr>
          <w:p>
            <w:pPr>
              <w:jc w:val="right"/>
              <w:rPr>
                <w:b/>
                <w:sz w:val="18"/>
                <w:szCs w:val="18"/>
              </w:rPr>
            </w:pPr>
            <w:r>
              <w:rPr>
                <w:rFonts w:hint="default" w:ascii="宋体" w:hAnsi="宋体"/>
                <w:b/>
                <w:kern w:val="0"/>
                <w:sz w:val="13"/>
                <w:szCs w:val="13"/>
              </w:rPr>
              <w:t>30.30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基层司法业务</w:t>
            </w:r>
          </w:p>
        </w:tc>
        <w:tc>
          <w:tcPr>
            <w:tcW w:w="2500" w:type="dxa"/>
            <w:shd w:val="clear" w:color="auto" w:fill="auto"/>
            <w:vAlign w:val="center"/>
          </w:tcPr>
          <w:p>
            <w:pPr>
              <w:jc w:val="left"/>
              <w:rPr>
                <w:sz w:val="18"/>
                <w:szCs w:val="18"/>
              </w:rPr>
            </w:pPr>
            <w:r>
              <w:rPr>
                <w:rFonts w:hint="default" w:ascii="宋体" w:hAnsi="宋体"/>
                <w:kern w:val="0"/>
                <w:sz w:val="13"/>
                <w:szCs w:val="13"/>
              </w:rPr>
              <w:t>特定目标10100644</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2.16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2.16</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基层司法业务</w:t>
            </w:r>
          </w:p>
        </w:tc>
        <w:tc>
          <w:tcPr>
            <w:tcW w:w="2500" w:type="dxa"/>
            <w:shd w:val="clear" w:color="auto" w:fill="auto"/>
            <w:vAlign w:val="center"/>
          </w:tcPr>
          <w:p>
            <w:pPr>
              <w:jc w:val="left"/>
              <w:rPr>
                <w:sz w:val="18"/>
                <w:szCs w:val="18"/>
              </w:rPr>
            </w:pPr>
            <w:r>
              <w:rPr>
                <w:rFonts w:hint="default" w:ascii="宋体" w:hAnsi="宋体"/>
                <w:kern w:val="0"/>
                <w:sz w:val="13"/>
                <w:szCs w:val="13"/>
              </w:rPr>
              <w:t>县级法律顾问费（2026年非定额）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其他司法支出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特定目标3310010H</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108.50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89.50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19.00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其他司法支出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特定目标33100115</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5.00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204</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其他司法支出</w:t>
            </w:r>
          </w:p>
        </w:tc>
        <w:tc>
          <w:tcPr>
            <w:tcW w:w="2500" w:type="dxa"/>
            <w:shd w:val="clear" w:color="auto" w:fill="auto"/>
            <w:vAlign w:val="center"/>
          </w:tcPr>
          <w:p>
            <w:pPr>
              <w:jc w:val="left"/>
              <w:rPr>
                <w:sz w:val="18"/>
                <w:szCs w:val="18"/>
              </w:rPr>
            </w:pPr>
            <w:r>
              <w:rPr>
                <w:rFonts w:hint="default" w:ascii="宋体" w:hAnsi="宋体"/>
                <w:kern w:val="0"/>
                <w:sz w:val="13"/>
                <w:szCs w:val="13"/>
              </w:rPr>
              <w:t>特定目标3310012Q</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34.00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3.70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30.30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249.66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200.36</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19.00</w:t>
            </w:r>
          </w:p>
        </w:tc>
        <w:tc>
          <w:tcPr>
            <w:tcW w:w="850" w:type="dxa"/>
            <w:shd w:val="clear" w:color="auto" w:fill="auto"/>
            <w:vAlign w:val="center"/>
          </w:tcPr>
          <w:p>
            <w:pPr>
              <w:jc w:val="right"/>
              <w:rPr>
                <w:b/>
                <w:sz w:val="18"/>
                <w:szCs w:val="18"/>
              </w:rPr>
            </w:pPr>
            <w:r>
              <w:rPr>
                <w:rFonts w:hint="default" w:ascii="宋体" w:hAnsi="宋体"/>
                <w:b/>
                <w:kern w:val="0"/>
                <w:sz w:val="13"/>
                <w:szCs w:val="13"/>
              </w:rPr>
              <w:t>30.30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呼图壁县司法局2026年没有使用政府性基金预算拨款安排的支出，政府性基金预算支出情况表为空表。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编制部门：呼图壁县司法局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呼图壁县司法局2026年没有使用国有资本经营预算拨款安排的支出，国有资本经营预算支出情况表为空表。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47"/>
        <w:gridCol w:w="1408"/>
        <w:gridCol w:w="1408"/>
        <w:gridCol w:w="1359"/>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编制部门：呼图壁县司法局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24.00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24.00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26.00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26.00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47"/>
        <w:gridCol w:w="1244"/>
        <w:gridCol w:w="1244"/>
        <w:gridCol w:w="1171"/>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编制部门：呼图壁县司法局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呼图壁县司法局</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105.00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105.00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县级法律顾问费（2026年非定额）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100.00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100.00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特定目标33100115</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5.00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105.00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105.00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编制部门：呼图壁县司法局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rPr>
        <w:t>呼图壁县司法局2026年没有上年结转结余预算安排的支出，上年结转结余情况表为空表。</w:t>
      </w: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按照全口径预算的原则，呼图壁县司法局2026年所有收入和支出均纳入部门预算管理。收支总预算1,423.74万元。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呼图壁县司法局部门收入预算1,423.74万元，其中：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一般公共预算1,171.24万元，占82.27%，比上年预算增加155.40万元，增长15.30%，主要原因是本年度工资增加，人员社保基数和住房公积金基数提高，所以本年度预算增加。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上级一般公共预算安排的转移支付资金147.50万元，占10.36%，比上年预算增加8.50万元，增长6.12%，主要原因是本年度业务工作需要，上级安排的转移支付资金增加。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单位资金105.00万元，占7.37%，比上年预算减少175.00万元，下降62.50%，主要原因是单位资金基本户预计其他收入减少。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财政拨款结转0.00万元，占0.00%，比上年预算减少10.00万元，下降100.00%，主要原因是2025年</w:t>
      </w:r>
      <w:r>
        <w:rPr>
          <w:rFonts w:hint="eastAsia" w:ascii="仿宋" w:hAnsi="微软雅黑" w:eastAsia="仿宋"/>
          <w:sz w:val="28"/>
          <w:szCs w:val="28"/>
          <w:lang w:eastAsia="zh-CN"/>
        </w:rPr>
        <w:t>部门</w:t>
      </w:r>
      <w:r>
        <w:rPr>
          <w:rFonts w:hint="eastAsia" w:ascii="仿宋" w:hAnsi="微软雅黑" w:eastAsia="仿宋"/>
          <w:sz w:val="28"/>
          <w:szCs w:val="28"/>
        </w:rPr>
        <w:t>项目执行率提高，项目全部完毕，所以没有结转资金。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呼图壁县司法局2026年支出预算1,423.74万元，其中：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基本支出1,174.08万元，占82.46%，比上年预算减少51.76万元，下降4.22%，主要原因是本年度有退休人员，工资和社保以及住房公积金减少，所以基本支出减少。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项目支出249.66万元，占17.54%，比上年预算增加30.66万元，增长14.00%，主要原因是本年度业务工作需要，本年安排的项目资金增加。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2026年财政拨款收支总预算1,318.74万元。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收入预算包括：一般公共预算拨款1,318.74万元。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公共安全支出1,061.21万元，主要用于机关干部人员工资、生活补助以及保障机构日常运转和完成日常工作任务的办公经费支出等；社会保障和就业支出132.08万元，主要用于机关部门干部职工社会保障缴费支出；卫生健康支出63.27万元，主要用于机关部门干部职工医疗保险缴费支出；住房保障支出62.18万元，主要用于机关部门干部职工住房公积金缴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呼图壁县司法局2026年一般公共预算拨款合计1,318.74万元，其中：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基本支出1,069.08万元，比上年预算增加123.24万元，增长13.03%，主要原因是人员部门职工工资增长，相关社保和住房公积金支出增加。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项目支出249.66万元，比上年预算增加40.66万元，增长19.45%，主要原因是因我局相关业务工作需要，项目支出较上年增加。</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1.公共安全支出（类）1,061.21万元，占80.47%。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2.社会保障和就业支出（类）132.08万元，占10.02%。</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3.卫生健康支出（类）63.27万元，占4.80%。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4.住房保障支出（类）62.18万元，占4.7</w:t>
      </w:r>
      <w:r>
        <w:rPr>
          <w:rFonts w:hint="eastAsia" w:ascii="仿宋" w:hAnsi="微软雅黑" w:eastAsia="仿宋"/>
          <w:sz w:val="28"/>
          <w:szCs w:val="28"/>
          <w:lang w:val="en-US" w:eastAsia="zh-CN"/>
        </w:rPr>
        <w:t>2</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1.公共安全支出（类）司法（款）行政运行（项）：2026年预算数为743.58万元，比上年预算增加45.27万元，增长6.48%，主要原因是人员工资增长，所以相关社保和住房公积金支出增加。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2.公共安全支出（类）司法（款）基层司法业务（项）：2026年预算数为102.16万元，比上年预算增加32.16万元，增长45.94%，主要原因是因我局相关业务工作需要，本年安排的基层司法业务支出较上年增加。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3.公共安全支出（类）司法（款）事业运行（项）：2026年预算数为67.97万元，比上年预算增加5.82万元，增长9.36%，主要原因是人员工资增长，所以相关社保和住房公积金支出增加。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4.公共安全支出（类）司法（款）其他司法支出（项）：2026年预算数为147.50万元，比上年预算增加8.50万元，增长6.12%，主要原因是因我局相关业务工作需要，本年安排的上级转移专项较上年增加。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5.社会保障和就业支出（类）行政事业单位养老支出（款）行政单位离退休（项）：2026年预算数为20.42万元，比上年预算增加5.19万元，增长34.08%，主要原因是2026年退休人员基础绩效奖标准较上年增加。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2026年预算数为74.44万元，比上年预算增加8.43万元，增长12.77%，主要原因是2026年人员社保基数调整，所以相应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行政事业单位养老支出（款）机关事业单位职业年金缴费支出（项）：2026年预算数为37.22万元，比上年预算增加37.22万元，增长100.00%，主要原因是2025年没有安排职业年金经费，2026年足额安排职业年金经费，所以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8.卫生健康支出（类）行政事业单位医疗（款）行政单位医疗（项）：2026年预算数为44.20万元，比上年预算增加15.60万元，增长54.55%，2026年人员社保基数调整，所以相应支出增加。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9.卫生健康支出（类）行政事业单位医疗（款）事业单位医疗（项）：2026年预算数为0.00万元，比上年预算减少4.41万元，下降100.00%，本年度年初预算没有预算此资金，所以较上年减少100%。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10.卫生健康支出（类）行政事业单位医疗（款）公务员医疗补助（项）：2026年预算数为18.61万元，比上年预算增加2.11万元，增长12.79%，2026年人员社保基数调整，所以相应支出增加。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11.卫生健康支出（类）行政事业单位医疗（款）其他行政事业单位医疗支出（项）：2026年预算数为0.47万元，比上年预算增加0.05万元，增长11.90%，2026年人员社保基数调整，所以相应支出增加。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12.住房保障支出（类）住房改革支出（款）住房公积金（项）：2026年预算数为62.18万元，比上年预算增加7.95万元，增长14.66%，主要原因是2026年人员社保基数调整，所以相应支出增加。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呼图壁县司法局2026年一般公共预算基本支出1,069.08万元，其中：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779.75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公用经费289.32万元，主要包括：办公费、水费、电费、邮电费、取暖费、劳务费、工会经费、公务用车运行维护费。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（一）项目名称：特定目标10100644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预算安排规模：2.16万元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项目承担单位：呼图壁县司法局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（二）项目名称：县级法律顾问费（2026年非定额）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设立的政策依据：呼县政办规【2021】1号《呼图壁县人民政府法律顾问管理办法》：县政府推行重大事项法制审核制度，充分发挥政府法律顾问在政府重大行政决策中的咨询论证作用。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项目承担单位：呼图壁县司法局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bookmarkStart w:id="0" w:name="_GoBack"/>
      <w:bookmarkEnd w:id="0"/>
      <w:r>
        <w:rPr>
          <w:rFonts w:hint="eastAsia" w:ascii="仿宋" w:hAnsi="微软雅黑" w:eastAsia="仿宋"/>
          <w:sz w:val="28"/>
          <w:szCs w:val="28"/>
          <w:lang w:val="en-US" w:eastAsia="zh-CN"/>
        </w:rPr>
        <w:t>全部</w:t>
      </w:r>
      <w:r>
        <w:rPr>
          <w:rFonts w:hint="eastAsia" w:ascii="仿宋" w:hAnsi="微软雅黑" w:eastAsia="仿宋"/>
          <w:sz w:val="28"/>
          <w:szCs w:val="28"/>
        </w:rPr>
        <w:t>用于基层司法业务委托业务费，合同一年一签，合计100.00万元。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（三）项目名称：特定目标3310010H</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预算安排规模：108.50万元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项目承担单位：呼图壁县司法局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（四）项目名称：特定目标33100115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项目承担单位：呼图壁县司法局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（五）项目名称：特定目标3310012Q</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预算安排规模：34.00万元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项目承担单位：呼图壁县司法局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资金分配情况：完全不予公开。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呼图壁县司法局2026年财政拨款“三公”经费数为26.00万元，其中：因公出国（境）费用0.00万元，公务用车购置24.00万元，公务用车运行维护费2.00万元，公务接待费0.00万元。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18.00万元，增长225.00%，其中：因公出国（境）费用增加0.00万元，增长0.00%，主要原因是2025年与2026年均未安排因公出国（境）费用；公务用车购置增加24.00万元，增长100.00%，主要原因是根据本年的工作需要，需购置执法车辆，所以公务用车购置费增加；公务用车运行维护费减少5.00万元，下降71.43%，主要原因是</w:t>
      </w:r>
      <w:r>
        <w:rPr>
          <w:rFonts w:hint="eastAsia" w:ascii="仿宋" w:hAnsi="微软雅黑" w:eastAsia="仿宋"/>
          <w:sz w:val="28"/>
          <w:szCs w:val="28"/>
          <w:lang w:eastAsia="zh-CN"/>
        </w:rPr>
        <w:t>本年报废燃油车，新增</w:t>
      </w:r>
      <w:r>
        <w:rPr>
          <w:rFonts w:hint="eastAsia" w:ascii="仿宋" w:hAnsi="微软雅黑" w:eastAsia="仿宋"/>
          <w:sz w:val="28"/>
          <w:szCs w:val="28"/>
        </w:rPr>
        <w:t>新能源车，车辆运行维护费用减少；公务接待费减少1.00万元，下降100.00%，主要原因是严格落实中央厉行节约的要求，严格控制公务接待规模和接待标准，减少不必要的公务接待活动。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呼图壁县司法局2026年委托业务费105.00万元，其中：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1.县级法律顾问费（2026年非定额）委托业务费100.00万元，主要用于：给律师发放办理法律援助案件的补助费用。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2.特定目标33100115委托业务费5.00万元，完全不予公开。</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关于呼图壁县司法局2026年上年结转结余预算情况说明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呼图壁县司法局2026年没有上年结转结余预算安排的支出，上年结转结余情况表为空表。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司法局2026年的机关运行经费财政拨款预算289.32万元，比上年预算减少15.31万元，下降5.03%，主要原因是认真贯彻落实厉行节约的各项规定，维持正常运转，严格执行厉行节约八项规定，压减各项经费支出。</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2026年，呼图壁县司法局政府采购预算237.68万元，其中：政府采购货物预算75.18万元，政府采购工程预算2.00万元，政府采购服务预算160.50万元。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2026年，呼图壁县司法局面向中小企业预留政府采购项目预算金额195.68万元，其中：小微企业预留政府采购项目预算金额195.68万元。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截至2025年底，呼图壁县司法局占用使用国有资产总体情况为：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1.房屋2,943.00平方米，价值890.09万元。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2.车辆11辆，价值135.45万元；其中：一般公务用车0辆，价值0.00万元；执法执勤用车11辆，价值135.45万元；其他车辆0辆，价值0.00万元。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3.办公家具价值94.70万元。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4.其他资产价值300.99万元。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2026年部门预算安排购置车辆经费24.00万元，安排购置单价50万元以上大型设备0台，部门单价100万元以上大型设备0台。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2026年，本部门预算绩效管理整体预算绩效目标1个，涉及预算金额1,423.74万元；当年预算安排项目共5个，其中：财政拨款项目涉及预算金额249.66万元；非财政拨款项目涉及预算金额0.00万元。具体情况见下表：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张惠</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13899681118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2026年是实施“十五五”规划的开局之年，也是推进法治呼图壁建设向纵深发展的关键之年。呼图壁县司法局将坚持以习近平新时代中国特色社会主义思想为指导，深入学习贯彻习近平法治思想，立足司法行政职能，以“五个目标”为引领，系统谋划、精准部署、严格要求，奋力谱写呼图壁法治建设新篇章。一、以创建全国法治政府建设示范县为目标，推动依法行政高质量开展。抓好“四个常态”，健全监督工作机制；抓好“三个培训”，提升规范执法执行力；抓好“三个推进”，补齐监督工作短板。二、以创建全国守法普法示范县为目标，推动法治社会建设走深走实。聚焦核心抓贯彻，推动普法工作法治化。一是严格落实《法治宣传教育法》；聚焦责任抓落实，构建大普法工作格局。一是完善普法责任清单制度；聚焦体系抓创新，提升普法宣传渗透力。；聚焦服务抓优化，增强公共法律服务供给力。一是抓好“线上线下”服务平台建设。三、以狠抓枫桥经验落地见效为目标，推动基层治理水平再提升。健全多元解纷体系，实现矛盾化解“一站式”；压实源头预防责任，构建治理格局“正金字塔”。一是严格落实矛盾纠纷排查化解责任；实施基层赋能工程，培育法治乡村“生力军”。四、以落实维稳安全为目标，推动社区矫正和安置帮教工作体系再规范。持续推动全量摸排再提升；持续推动思想教育再提升；持续推动就业质量再提升；持续推动心理干预再提升；持续推动协同发力再提升。五、以坚持作风转变为目标，推动工作任务有效落实。强化政治引领，筑牢组织建设“压舱石”；强化纪律约束，拧紧作风建设“安全阀”；强化能力提升，激发队伍干事“内动力”。呼图壁县司法局将紧紧围绕全县工作大局，以“开局即决战、起步即冲刺”的奋斗姿态，锚定目标、锐意进取、狠抓落实，确保各项工作部署落地生根、开花结果，为呼图壁县在“十五五”时期实现高质量发展提供更加坚实的法治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147.50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1,171.24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105.00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1,423.74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政府规范性文件的合法性审核工作完成率</w:t>
            </w:r>
          </w:p>
        </w:tc>
        <w:tc>
          <w:tcPr>
            <w:tcW w:w="1448" w:type="dxa"/>
            <w:gridSpan w:val="2"/>
            <w:shd w:val="clear" w:color="auto" w:fill="auto"/>
            <w:vAlign w:val="center"/>
          </w:tcPr>
          <w:p>
            <w:pPr>
              <w:jc w:val="center"/>
              <w:rPr>
                <w:sz w:val="18"/>
                <w:szCs w:val="18"/>
              </w:rPr>
            </w:pPr>
            <w:r>
              <w:rPr>
                <w:rFonts w:hint="eastAsia"/>
                <w:sz w:val="18"/>
                <w:szCs w:val="18"/>
              </w:rPr>
              <w:t>＞=90%</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化解矛盾纠纷数量</w:t>
            </w:r>
          </w:p>
        </w:tc>
        <w:tc>
          <w:tcPr>
            <w:tcW w:w="1448" w:type="dxa"/>
            <w:gridSpan w:val="2"/>
            <w:shd w:val="clear" w:color="auto" w:fill="auto"/>
            <w:vAlign w:val="center"/>
          </w:tcPr>
          <w:p>
            <w:pPr>
              <w:jc w:val="center"/>
              <w:rPr>
                <w:sz w:val="18"/>
                <w:szCs w:val="18"/>
              </w:rPr>
            </w:pPr>
            <w:r>
              <w:rPr>
                <w:rFonts w:hint="eastAsia"/>
                <w:sz w:val="18"/>
                <w:szCs w:val="18"/>
              </w:rPr>
              <w:t>＞=300件</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公共法律服务热线接听量</w:t>
            </w:r>
          </w:p>
        </w:tc>
        <w:tc>
          <w:tcPr>
            <w:tcW w:w="1448" w:type="dxa"/>
            <w:gridSpan w:val="2"/>
            <w:shd w:val="clear" w:color="auto" w:fill="auto"/>
            <w:vAlign w:val="center"/>
          </w:tcPr>
          <w:p>
            <w:pPr>
              <w:jc w:val="center"/>
              <w:rPr>
                <w:sz w:val="18"/>
                <w:szCs w:val="18"/>
              </w:rPr>
            </w:pPr>
            <w:r>
              <w:rPr>
                <w:rFonts w:hint="eastAsia"/>
                <w:sz w:val="18"/>
                <w:szCs w:val="18"/>
              </w:rPr>
              <w:t>＞=300件</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法律援助指派律师数</w:t>
            </w:r>
          </w:p>
        </w:tc>
        <w:tc>
          <w:tcPr>
            <w:tcW w:w="1448" w:type="dxa"/>
            <w:gridSpan w:val="2"/>
            <w:shd w:val="clear" w:color="auto" w:fill="auto"/>
            <w:vAlign w:val="center"/>
          </w:tcPr>
          <w:p>
            <w:pPr>
              <w:jc w:val="center"/>
              <w:rPr>
                <w:sz w:val="18"/>
                <w:szCs w:val="18"/>
              </w:rPr>
            </w:pPr>
            <w:r>
              <w:rPr>
                <w:rFonts w:hint="eastAsia"/>
                <w:sz w:val="18"/>
                <w:szCs w:val="18"/>
              </w:rPr>
              <w:t>＞=15人</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全县开展法治宣传活动次数</w:t>
            </w:r>
          </w:p>
        </w:tc>
        <w:tc>
          <w:tcPr>
            <w:tcW w:w="1448" w:type="dxa"/>
            <w:gridSpan w:val="2"/>
            <w:shd w:val="clear" w:color="auto" w:fill="auto"/>
            <w:vAlign w:val="center"/>
          </w:tcPr>
          <w:p>
            <w:pPr>
              <w:jc w:val="center"/>
              <w:rPr>
                <w:sz w:val="18"/>
                <w:szCs w:val="18"/>
              </w:rPr>
            </w:pPr>
            <w:r>
              <w:rPr>
                <w:rFonts w:hint="eastAsia"/>
                <w:sz w:val="18"/>
                <w:szCs w:val="18"/>
              </w:rPr>
              <w:t>＞=15场次</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全县全年开展法制培训场次</w:t>
            </w:r>
          </w:p>
        </w:tc>
        <w:tc>
          <w:tcPr>
            <w:tcW w:w="1448" w:type="dxa"/>
            <w:gridSpan w:val="2"/>
            <w:shd w:val="clear" w:color="auto" w:fill="auto"/>
            <w:vAlign w:val="center"/>
          </w:tcPr>
          <w:p>
            <w:pPr>
              <w:jc w:val="center"/>
              <w:rPr>
                <w:sz w:val="18"/>
                <w:szCs w:val="18"/>
              </w:rPr>
            </w:pPr>
            <w:r>
              <w:rPr>
                <w:rFonts w:hint="eastAsia"/>
                <w:sz w:val="18"/>
                <w:szCs w:val="18"/>
              </w:rPr>
              <w:t>＞=12场次</w:t>
            </w:r>
          </w:p>
        </w:tc>
        <w:tc>
          <w:tcPr>
            <w:tcW w:w="1360" w:type="dxa"/>
            <w:shd w:val="clear" w:color="auto" w:fill="auto"/>
            <w:vAlign w:val="center"/>
          </w:tcPr>
          <w:p>
            <w:pPr>
              <w:jc w:val="center"/>
              <w:rPr>
                <w:sz w:val="18"/>
                <w:szCs w:val="18"/>
              </w:rPr>
            </w:pPr>
            <w:r>
              <w:rPr>
                <w:rFonts w:hint="eastAsia"/>
                <w:sz w:val="18"/>
                <w:szCs w:val="18"/>
              </w:rPr>
              <w:t>司法局2026年工作计划</w:t>
            </w:r>
          </w:p>
        </w:tc>
        <w:tc>
          <w:tcPr>
            <w:tcW w:w="1360" w:type="dxa"/>
            <w:shd w:val="clear" w:color="auto" w:fill="auto"/>
            <w:vAlign w:val="center"/>
          </w:tcPr>
          <w:p>
            <w:pPr>
              <w:jc w:val="center"/>
              <w:rPr>
                <w:sz w:val="18"/>
                <w:szCs w:val="18"/>
              </w:rPr>
            </w:pPr>
            <w:r>
              <w:rPr>
                <w:rFonts w:hint="eastAsia"/>
                <w:sz w:val="18"/>
                <w:szCs w:val="18"/>
              </w:rPr>
              <w:t>13</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县级法律顾问费用（2026年非定额）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孙学敏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投入100万元，项目主要内容是与2家辖区内的事务所签订合同聘请10名县级法律顾问，就县政府及其工作部门重大决策、重大行政行为提供法律意见，参与县政府及其工作部门重大决策的法律论证，提供有关行政事务的法律咨询，为县政府及及其工作部门的诉讼等重要法律事务提供法律意见。参与处理涉及县政府及其工作部门的民事纠纷、经济纠纷、行政纠纷和其他重大纠纷，参与重大信访事项和重大突发事件的研究及处理工作。对县政府单位开展12场法律培训，通过项目的实施，促进呼图壁县依法治县的发展，不断完善依法治县委员会工作机构。法治宣传教育工作稳步推进。有利于人民调解工作有序开展有利于提高政府便民服务。提高社会稳定，保持呼图壁县长治久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法律顾问开展培训场次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聘请法律顾问人数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聘请法律顾问企业数量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＞=2家</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=2家</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法律顾问培训完成率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法律咨询时限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法律顾问的服务成本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＜=50万元/家</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=50万元/家</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化解政府纠纷，有利于提高政府便民服务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明显提高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达到预期指标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律师满意度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部门有4个涉密项目，涉及预算资金149.66万元，项目绩效目标表完全不予公开。</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呼图壁县司法局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0000000000000000000"/>
    <w:charset w:val="00"/>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811068"/>
    <w:multiLevelType w:val="multilevel"/>
    <w:tmpl w:val="BC811068"/>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3575673"/>
    <w:multiLevelType w:val="multilevel"/>
    <w:tmpl w:val="E357567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E5F1F7B"/>
    <w:multiLevelType w:val="multilevel"/>
    <w:tmpl w:val="1E5F1F7B"/>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D7FCF"/>
    <w:rsid w:val="18745D1E"/>
    <w:rsid w:val="36FA0CA2"/>
    <w:rsid w:val="39CA4B10"/>
    <w:rsid w:val="5C7E26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31</Pages>
  <Words>1349</Words>
  <Characters>1403</Characters>
  <Lines>40</Lines>
  <Paragraphs>11</Paragraphs>
  <TotalTime>39</TotalTime>
  <ScaleCrop>false</ScaleCrop>
  <LinksUpToDate>false</LinksUpToDate>
  <CharactersWithSpaces>1437</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2026-05-31T04:36:29Z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eyJoZGlkIjoiN2EyMTIxNTJlMjY2NjM5NjdjYmYwZjVhYjA4ZGEwODEiLCJ1c2VySWQiOiI2MTA2OTA3MzAifQ==</vt:lpwstr>
  </property>
  <property fmtid="{D5CDD505-2E9C-101B-9397-08002B2CF9AE}" pid="3" name="KSOProductBuildVer">
    <vt:lpwstr>2052-11.8.2.10972</vt:lpwstr>
  </property>
  <property fmtid="{D5CDD505-2E9C-101B-9397-08002B2CF9AE}" pid="4" name="ICV">
    <vt:lpwstr>0F1DDB3503EF4CAF820013B34E2CF1B9</vt:lpwstr>
  </property>
</Properties>
</file>