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2026年呼图壁县总工会</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关于呼图壁县总工会2026年收支预算情况的总体说明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关于呼图壁县总工会2026年收入预算情况说明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关于呼图壁县总工会2026年支出预算情况说明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关于呼图壁县总工会2026年财政拨款收支预算情况的总体说明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关于呼图壁县总工会2026年一般公共预算当年拨款情况说明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关于呼图壁县总工会2026年一般公共预算基本支出情况说明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关于呼图壁县总工会2026年一般公共预算项目支出情况说明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关于呼图壁县总工会2026年政府性基金预算拨款情况说明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关于呼图壁县总工会2026年国有资本经营预算拨款情况说明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关于呼图壁县总工会2026年财政拨款“三公”经费预算情况说明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关于呼图壁县总工会2026年财政拨款委托业务费支出情况说明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关于呼图壁县总工会2026年上年结转结余预算情况说明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widowControl/>
        <w:spacing w:line="560" w:lineRule="exact"/>
        <w:ind w:firstLine="420" w:firstLineChars="150"/>
        <w:jc w:val="left"/>
        <w:rPr>
          <w:rFonts w:hint="default" w:ascii="仿宋_GB2312" w:hAnsi="黑体" w:eastAsia="仿宋_GB2312" w:cs="宋体"/>
          <w:kern w:val="0"/>
          <w:sz w:val="28"/>
          <w:szCs w:val="32"/>
        </w:rPr>
      </w:pPr>
      <w:r>
        <w:rPr>
          <w:rFonts w:hint="eastAsia" w:ascii="仿宋_GB2312" w:hAnsi="黑体" w:eastAsia="仿宋_GB2312" w:cs="宋体"/>
          <w:kern w:val="0"/>
          <w:sz w:val="28"/>
          <w:szCs w:val="32"/>
        </w:rPr>
        <w:t>（一）根据党的基本理论、基本路线、基本纲领和工运方针，以及县委的工作部署和要求，围绕党和国家的工作大局，按照县委和自治州总工会的要求，贯彻执行县工会代表大会确定的方针、任务和作出的决议。</w:t>
      </w:r>
    </w:p>
    <w:p>
      <w:pPr>
        <w:widowControl/>
        <w:spacing w:line="560" w:lineRule="exact"/>
        <w:jc w:val="left"/>
        <w:rPr>
          <w:rFonts w:hint="default" w:ascii="仿宋_GB2312" w:hAnsi="黑体" w:eastAsia="仿宋_GB2312" w:cs="宋体"/>
          <w:kern w:val="0"/>
          <w:sz w:val="28"/>
          <w:szCs w:val="32"/>
        </w:rPr>
      </w:pPr>
      <w:r>
        <w:rPr>
          <w:rFonts w:hint="eastAsia" w:ascii="仿宋_GB2312" w:hAnsi="黑体" w:eastAsia="仿宋_GB2312" w:cs="宋体"/>
          <w:kern w:val="0"/>
          <w:sz w:val="28"/>
          <w:szCs w:val="32"/>
        </w:rPr>
        <w:t xml:space="preserve">    (二）依照法律和《中国工会章程》，组织和指导全县各级工会坚定不移贯彻落实党的全心全意依靠工人阶级的根本指导方针，进一步突出和履行维护职能。</w:t>
      </w:r>
    </w:p>
    <w:p>
      <w:pPr>
        <w:widowControl/>
        <w:spacing w:line="560" w:lineRule="exact"/>
        <w:ind w:firstLine="420" w:firstLineChars="150"/>
        <w:jc w:val="left"/>
        <w:rPr>
          <w:rFonts w:hint="default" w:ascii="仿宋_GB2312" w:hAnsi="黑体" w:eastAsia="仿宋_GB2312" w:cs="宋体"/>
          <w:kern w:val="0"/>
          <w:sz w:val="28"/>
          <w:szCs w:val="32"/>
        </w:rPr>
      </w:pPr>
      <w:r>
        <w:rPr>
          <w:rFonts w:hint="eastAsia" w:ascii="仿宋_GB2312" w:hAnsi="黑体" w:eastAsia="仿宋_GB2312" w:cs="宋体"/>
          <w:kern w:val="0"/>
          <w:sz w:val="28"/>
          <w:szCs w:val="32"/>
        </w:rPr>
        <w:t>（三）加强对涉及职工合法权益的重大问题进行调查研究，向县委、县人民政府职工群众的思想、愿望和要求，提出意见和建议；参与涉及职工切身利益的政策、法规、措施和制度的拟定；对侵犯职工合法权益的重大事件进行调查并提出处理意见；参与职工重大伤亡事故的调查处理；指导基层工会不断提高职工的思想道德和科学文化素质。</w:t>
      </w:r>
    </w:p>
    <w:p>
      <w:pPr>
        <w:widowControl/>
        <w:spacing w:line="560" w:lineRule="exact"/>
        <w:ind w:firstLine="560" w:firstLineChars="200"/>
        <w:jc w:val="left"/>
        <w:rPr>
          <w:rFonts w:hint="default" w:ascii="仿宋_GB2312" w:hAnsi="黑体" w:eastAsia="仿宋_GB2312" w:cs="宋体"/>
          <w:kern w:val="0"/>
          <w:sz w:val="28"/>
          <w:szCs w:val="32"/>
        </w:rPr>
      </w:pPr>
      <w:r>
        <w:rPr>
          <w:rFonts w:hint="eastAsia" w:ascii="仿宋_GB2312" w:hAnsi="黑体" w:eastAsia="仿宋_GB2312" w:cs="宋体"/>
          <w:kern w:val="0"/>
          <w:sz w:val="28"/>
          <w:szCs w:val="32"/>
        </w:rPr>
        <w:t>(四）负责工会理论政策研究，为各级工会提供理论政策服务；研究拟定工会的组织制度和民主制度；指导全县各级工会自身改革和建设。</w:t>
      </w:r>
    </w:p>
    <w:p>
      <w:pPr>
        <w:widowControl/>
        <w:spacing w:line="560" w:lineRule="exact"/>
        <w:ind w:firstLine="560" w:firstLineChars="200"/>
        <w:jc w:val="left"/>
        <w:rPr>
          <w:rFonts w:hint="default" w:ascii="仿宋_GB2312" w:hAnsi="黑体" w:eastAsia="仿宋_GB2312" w:cs="宋体"/>
          <w:kern w:val="0"/>
          <w:sz w:val="28"/>
          <w:szCs w:val="32"/>
        </w:rPr>
      </w:pPr>
      <w:r>
        <w:rPr>
          <w:rFonts w:hint="eastAsia" w:ascii="仿宋_GB2312" w:hAnsi="黑体" w:eastAsia="仿宋_GB2312" w:cs="宋体"/>
          <w:kern w:val="0"/>
          <w:sz w:val="28"/>
          <w:szCs w:val="32"/>
        </w:rPr>
        <w:t>(五）监督、检查县总工会机关党员干部党风廉政建设情况；研究制定全县工会干部的管理制度和培训规划；负责工会干部的教育培训工作。</w:t>
      </w:r>
    </w:p>
    <w:p>
      <w:pPr>
        <w:widowControl/>
        <w:spacing w:line="560" w:lineRule="exact"/>
        <w:ind w:firstLine="560" w:firstLineChars="200"/>
        <w:jc w:val="left"/>
        <w:rPr>
          <w:rFonts w:hint="default" w:ascii="仿宋_GB2312" w:hAnsi="黑体" w:eastAsia="仿宋_GB2312" w:cs="宋体"/>
          <w:kern w:val="0"/>
          <w:sz w:val="28"/>
          <w:szCs w:val="32"/>
        </w:rPr>
      </w:pPr>
      <w:r>
        <w:rPr>
          <w:rFonts w:hint="eastAsia" w:ascii="仿宋_GB2312" w:hAnsi="黑体" w:eastAsia="仿宋_GB2312" w:cs="宋体"/>
          <w:kern w:val="0"/>
          <w:sz w:val="28"/>
          <w:szCs w:val="32"/>
        </w:rPr>
        <w:t>（六）协助县人民政府做好劳动模范的推荐、评选和管理工作；负责全国劳动模范、全国“五一”劳动奖章、奖状和自治区“开发建设新疆”奖章、奖状获得者及全县“五一”劳动奖章、奖状获得者的评选推荐和管理工作。</w:t>
      </w:r>
    </w:p>
    <w:p>
      <w:pPr>
        <w:widowControl/>
        <w:spacing w:line="560" w:lineRule="exact"/>
        <w:ind w:firstLine="560" w:firstLineChars="200"/>
        <w:jc w:val="left"/>
        <w:rPr>
          <w:rFonts w:hint="default" w:ascii="仿宋_GB2312" w:hAnsi="黑体" w:eastAsia="仿宋_GB2312" w:cs="宋体"/>
          <w:kern w:val="0"/>
          <w:sz w:val="28"/>
          <w:szCs w:val="32"/>
        </w:rPr>
      </w:pPr>
      <w:r>
        <w:rPr>
          <w:rFonts w:hint="eastAsia" w:ascii="仿宋_GB2312" w:hAnsi="黑体" w:eastAsia="仿宋_GB2312" w:cs="宋体"/>
          <w:kern w:val="0"/>
          <w:sz w:val="28"/>
          <w:szCs w:val="32"/>
        </w:rPr>
        <w:t>（七）负责全县工会经费和工会资产的管理、审查、审计工作；贯彻全国总工会关于兴办职工劳动福利事业的指导、协调工作。</w:t>
      </w:r>
    </w:p>
    <w:p>
      <w:pPr>
        <w:widowControl/>
        <w:spacing w:line="560" w:lineRule="exact"/>
        <w:ind w:firstLine="560" w:firstLineChars="200"/>
        <w:jc w:val="left"/>
        <w:rPr>
          <w:rFonts w:hint="eastAsia" w:ascii="仿宋" w:hAnsi="仿宋" w:eastAsia="仿宋"/>
          <w:color w:val="000000"/>
          <w:sz w:val="28"/>
          <w:szCs w:val="28"/>
        </w:rPr>
      </w:pPr>
      <w:r>
        <w:rPr>
          <w:rFonts w:hint="eastAsia" w:ascii="仿宋_GB2312" w:hAnsi="黑体" w:eastAsia="仿宋_GB2312" w:cs="宋体"/>
          <w:kern w:val="0"/>
          <w:sz w:val="28"/>
          <w:szCs w:val="32"/>
        </w:rPr>
        <w:t>（八）承担县委、县人民政府和自治州总工会交办的其他事项。</w:t>
      </w:r>
      <w:r>
        <w:rPr>
          <w:rFonts w:hint="eastAsia" w:ascii="仿宋_GB2312" w:hAnsi="宋体" w:eastAsia="仿宋_GB2312" w:cs="宋体"/>
          <w:kern w:val="0"/>
          <w:sz w:val="28"/>
          <w:szCs w:val="32"/>
        </w:rPr>
        <w:t xml:space="preserve"> </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呼图壁县总工会无下属预算单位。</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081"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编制部门：呼图壁县总工会</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200.38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96.02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140.38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140.38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54.93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28.79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60.00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60.00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200.38</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200.38</w:t>
            </w:r>
          </w:p>
        </w:tc>
      </w:tr>
    </w:tbl>
    <w:p>
      <w:pPr>
        <w:widowControl/>
        <w:jc w:val="left"/>
        <w:rPr>
          <w:rFonts w:hint="default" w:ascii="仿宋" w:eastAsia="仿宋"/>
          <w:b/>
          <w:color w:val="000000"/>
          <w:szCs w:val="21"/>
        </w:rPr>
        <w:sectPr>
          <w:footerReference r:id="rId5"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编制部门：呼图壁县总工会</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0"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40" w:type="dxa"/>
            <w:vMerge w:val="continue"/>
            <w:shd w:val="clear" w:color="auto" w:fill="auto"/>
            <w:vAlign w:val="center"/>
          </w:tcPr>
          <w:p>
            <w:pPr>
              <w:jc w:val="center"/>
              <w:rPr>
                <w:rFonts w:hint="default" w:ascii="宋体" w:hAnsi="宋体"/>
                <w:sz w:val="18"/>
                <w:szCs w:val="18"/>
              </w:rPr>
            </w:pP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00"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一般公共服务支出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96.02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94.02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94.02</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29</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群众团体事务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96.02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94.02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94.02</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29</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80.37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79.37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79.37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29</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一般行政管理事务</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2.36</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29</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50</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13.29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12.29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12.29</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54.93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26.93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26.93</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54.93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26.93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26.93</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行政单位离退休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9.66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9.66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9.66</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36.52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11.52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11.52</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25.00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机关事业单位职业年金缴费支出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8.76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5.76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5.76</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28.79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9.79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9.79</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19.00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28.79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9.79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9.79</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19.00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17.81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5.81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5.81</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1.03</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5.88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2.88</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其他行政事业单位医疗支出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0.07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0.07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0.07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20.64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9.64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9.64</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11.00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20.64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9.64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9.64</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11.00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20.64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9.64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9.64</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200.38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140.38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140.38</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编制部门：呼图壁县总工会</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一般公共服务支出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96.02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93.66</w:t>
            </w:r>
          </w:p>
        </w:tc>
        <w:tc>
          <w:tcPr>
            <w:tcW w:w="340" w:type="dxa"/>
            <w:shd w:val="clear" w:color="auto" w:fill="auto"/>
            <w:vAlign w:val="center"/>
          </w:tcPr>
          <w:p>
            <w:pPr>
              <w:jc w:val="right"/>
              <w:rPr>
                <w:b/>
                <w:sz w:val="18"/>
                <w:szCs w:val="18"/>
              </w:rPr>
            </w:pPr>
            <w:r>
              <w:rPr>
                <w:rFonts w:hint="eastAsia" w:ascii="宋体" w:hAnsi="宋体"/>
                <w:b/>
                <w:color w:val="000000"/>
                <w:sz w:val="18"/>
                <w:szCs w:val="18"/>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29</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群众团体事务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96.02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93.66</w:t>
            </w:r>
          </w:p>
        </w:tc>
        <w:tc>
          <w:tcPr>
            <w:tcW w:w="340" w:type="dxa"/>
            <w:shd w:val="clear" w:color="auto" w:fill="auto"/>
            <w:vAlign w:val="center"/>
          </w:tcPr>
          <w:p>
            <w:pPr>
              <w:jc w:val="right"/>
              <w:rPr>
                <w:b/>
                <w:sz w:val="18"/>
                <w:szCs w:val="18"/>
              </w:rPr>
            </w:pPr>
            <w:r>
              <w:rPr>
                <w:rFonts w:hint="eastAsia" w:ascii="宋体" w:hAnsi="宋体"/>
                <w:b/>
                <w:color w:val="000000"/>
                <w:sz w:val="18"/>
                <w:szCs w:val="18"/>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29</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340" w:type="dxa"/>
            <w:shd w:val="clear" w:color="auto" w:fill="auto"/>
            <w:vAlign w:val="center"/>
          </w:tcPr>
          <w:p>
            <w:pPr>
              <w:jc w:val="right"/>
              <w:rPr>
                <w:sz w:val="18"/>
                <w:szCs w:val="18"/>
              </w:rPr>
            </w:pPr>
            <w:r>
              <w:rPr>
                <w:rFonts w:hint="eastAsia" w:ascii="宋体" w:hAnsi="宋体"/>
                <w:color w:val="000000"/>
                <w:sz w:val="18"/>
                <w:szCs w:val="18"/>
              </w:rPr>
              <w:t>80.37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80.37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29</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一般行政管理事务</w:t>
            </w:r>
          </w:p>
        </w:tc>
        <w:tc>
          <w:tcPr>
            <w:tcW w:w="340" w:type="dxa"/>
            <w:shd w:val="clear" w:color="auto" w:fill="auto"/>
            <w:vAlign w:val="center"/>
          </w:tcPr>
          <w:p>
            <w:pPr>
              <w:jc w:val="right"/>
              <w:rPr>
                <w:sz w:val="18"/>
                <w:szCs w:val="18"/>
              </w:rPr>
            </w:pPr>
            <w:r>
              <w:rPr>
                <w:rFonts w:hint="eastAsia" w:ascii="宋体" w:hAnsi="宋体"/>
                <w:color w:val="000000"/>
                <w:sz w:val="18"/>
                <w:szCs w:val="18"/>
              </w:rPr>
              <w:t>2.36</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29</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50</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340" w:type="dxa"/>
            <w:shd w:val="clear" w:color="auto" w:fill="auto"/>
            <w:vAlign w:val="center"/>
          </w:tcPr>
          <w:p>
            <w:pPr>
              <w:jc w:val="right"/>
              <w:rPr>
                <w:sz w:val="18"/>
                <w:szCs w:val="18"/>
              </w:rPr>
            </w:pPr>
            <w:r>
              <w:rPr>
                <w:rFonts w:hint="eastAsia" w:ascii="宋体" w:hAnsi="宋体"/>
                <w:color w:val="000000"/>
                <w:sz w:val="18"/>
                <w:szCs w:val="18"/>
              </w:rPr>
              <w:t>13.29</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13.29</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54.93</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54.93</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54.93</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54.93</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行政单位离退休</w:t>
            </w:r>
          </w:p>
        </w:tc>
        <w:tc>
          <w:tcPr>
            <w:tcW w:w="340" w:type="dxa"/>
            <w:shd w:val="clear" w:color="auto" w:fill="auto"/>
            <w:vAlign w:val="center"/>
          </w:tcPr>
          <w:p>
            <w:pPr>
              <w:jc w:val="right"/>
              <w:rPr>
                <w:sz w:val="18"/>
                <w:szCs w:val="18"/>
              </w:rPr>
            </w:pPr>
            <w:r>
              <w:rPr>
                <w:rFonts w:hint="eastAsia" w:ascii="宋体" w:hAnsi="宋体"/>
                <w:color w:val="000000"/>
                <w:sz w:val="18"/>
                <w:szCs w:val="18"/>
              </w:rPr>
              <w:t>9.66</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9.66</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36.52</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36.52</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机关事业单位职业年金缴费支出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8.76</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8.76</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28.79</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28.79</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340" w:type="dxa"/>
            <w:shd w:val="clear" w:color="auto" w:fill="auto"/>
            <w:vAlign w:val="center"/>
          </w:tcPr>
          <w:p>
            <w:pPr>
              <w:jc w:val="right"/>
              <w:rPr>
                <w:b/>
                <w:sz w:val="18"/>
                <w:szCs w:val="18"/>
              </w:rPr>
            </w:pPr>
            <w:r>
              <w:rPr>
                <w:rFonts w:hint="eastAsia" w:ascii="宋体" w:hAnsi="宋体"/>
                <w:b/>
                <w:color w:val="000000"/>
                <w:sz w:val="18"/>
                <w:szCs w:val="18"/>
              </w:rPr>
              <w:t>28.79</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28.79</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17.81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17.81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5.03</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5.03</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340" w:type="dxa"/>
            <w:shd w:val="clear" w:color="auto" w:fill="auto"/>
            <w:vAlign w:val="center"/>
          </w:tcPr>
          <w:p>
            <w:pPr>
              <w:jc w:val="right"/>
              <w:rPr>
                <w:sz w:val="18"/>
                <w:szCs w:val="18"/>
              </w:rPr>
            </w:pPr>
            <w:r>
              <w:rPr>
                <w:rFonts w:hint="eastAsia" w:ascii="宋体" w:hAnsi="宋体"/>
                <w:color w:val="000000"/>
                <w:sz w:val="18"/>
                <w:szCs w:val="18"/>
              </w:rPr>
              <w:t>5.88</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5.88</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其他行政事业单位医疗支出</w:t>
            </w:r>
          </w:p>
        </w:tc>
        <w:tc>
          <w:tcPr>
            <w:tcW w:w="340" w:type="dxa"/>
            <w:shd w:val="clear" w:color="auto" w:fill="auto"/>
            <w:vAlign w:val="center"/>
          </w:tcPr>
          <w:p>
            <w:pPr>
              <w:jc w:val="right"/>
              <w:rPr>
                <w:sz w:val="18"/>
                <w:szCs w:val="18"/>
              </w:rPr>
            </w:pPr>
            <w:r>
              <w:rPr>
                <w:rFonts w:hint="eastAsia" w:ascii="宋体" w:hAnsi="宋体"/>
                <w:color w:val="000000"/>
                <w:sz w:val="18"/>
                <w:szCs w:val="18"/>
              </w:rPr>
              <w:t>0.07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0.07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20.64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20.64</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20.64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20.64</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340" w:type="dxa"/>
            <w:shd w:val="clear" w:color="auto" w:fill="auto"/>
            <w:vAlign w:val="center"/>
          </w:tcPr>
          <w:p>
            <w:pPr>
              <w:jc w:val="right"/>
              <w:rPr>
                <w:sz w:val="18"/>
                <w:szCs w:val="18"/>
              </w:rPr>
            </w:pPr>
            <w:r>
              <w:rPr>
                <w:rFonts w:hint="eastAsia" w:ascii="宋体" w:hAnsi="宋体"/>
                <w:color w:val="000000"/>
                <w:sz w:val="18"/>
                <w:szCs w:val="18"/>
              </w:rPr>
              <w:t>20.64</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20.64</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340" w:type="dxa"/>
            <w:shd w:val="clear" w:color="auto" w:fill="auto"/>
            <w:vAlign w:val="center"/>
          </w:tcPr>
          <w:p>
            <w:pPr>
              <w:jc w:val="right"/>
              <w:rPr>
                <w:b/>
                <w:sz w:val="18"/>
                <w:szCs w:val="18"/>
              </w:rPr>
            </w:pPr>
            <w:r>
              <w:rPr>
                <w:rFonts w:hint="eastAsia" w:ascii="宋体" w:hAnsi="宋体"/>
                <w:b/>
                <w:color w:val="000000"/>
                <w:sz w:val="18"/>
                <w:szCs w:val="18"/>
              </w:rPr>
              <w:t>200.38</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198.02</w:t>
            </w:r>
          </w:p>
        </w:tc>
        <w:tc>
          <w:tcPr>
            <w:tcW w:w="340" w:type="dxa"/>
            <w:shd w:val="clear" w:color="auto" w:fill="auto"/>
            <w:vAlign w:val="center"/>
          </w:tcPr>
          <w:p>
            <w:pPr>
              <w:jc w:val="right"/>
              <w:rPr>
                <w:b/>
                <w:sz w:val="18"/>
                <w:szCs w:val="18"/>
              </w:rPr>
            </w:pPr>
            <w:r>
              <w:rPr>
                <w:rFonts w:hint="eastAsia" w:ascii="宋体" w:hAnsi="宋体"/>
                <w:b/>
                <w:color w:val="000000"/>
                <w:sz w:val="18"/>
                <w:szCs w:val="18"/>
              </w:rPr>
              <w:t>2.36</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编制部门：呼图壁县总工会</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140.38</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94.02</w:t>
            </w:r>
          </w:p>
        </w:tc>
        <w:tc>
          <w:tcPr>
            <w:tcW w:w="1063" w:type="dxa"/>
            <w:gridSpan w:val="2"/>
            <w:shd w:val="clear" w:color="auto" w:fill="auto"/>
          </w:tcPr>
          <w:p>
            <w:pPr>
              <w:jc w:val="right"/>
              <w:rPr>
                <w:rFonts w:hint="default" w:ascii="宋体" w:hAnsi="宋体"/>
                <w:color w:val="000000"/>
                <w:sz w:val="18"/>
                <w:szCs w:val="18"/>
              </w:rPr>
            </w:pPr>
            <w:r>
              <w:rPr>
                <w:rFonts w:hint="eastAsia" w:ascii="宋体" w:hAnsi="宋体"/>
                <w:color w:val="000000"/>
                <w:sz w:val="18"/>
                <w:szCs w:val="18"/>
              </w:rPr>
              <w:t>94.02</w:t>
            </w: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140.38</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26.93</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26.93</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9.79</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9.79</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9.64</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9.64</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140.38</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140.38</w:t>
            </w:r>
          </w:p>
        </w:tc>
        <w:tc>
          <w:tcPr>
            <w:tcW w:w="1063" w:type="dxa"/>
            <w:gridSpan w:val="2"/>
            <w:shd w:val="clear" w:color="auto" w:fill="auto"/>
          </w:tcPr>
          <w:p>
            <w:pPr>
              <w:jc w:val="right"/>
              <w:rPr>
                <w:sz w:val="18"/>
                <w:szCs w:val="18"/>
              </w:rPr>
            </w:pPr>
            <w:r>
              <w:rPr>
                <w:rFonts w:hint="eastAsia" w:ascii="宋体" w:hAnsi="宋体"/>
                <w:b/>
                <w:color w:val="000000"/>
                <w:sz w:val="18"/>
                <w:szCs w:val="18"/>
              </w:rPr>
              <w:t>140.38</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编制部门：呼图壁县总工会</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一般公共服务支出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94.02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91.66</w:t>
            </w:r>
          </w:p>
        </w:tc>
        <w:tc>
          <w:tcPr>
            <w:tcW w:w="1427" w:type="dxa"/>
            <w:shd w:val="clear" w:color="auto" w:fill="auto"/>
            <w:vAlign w:val="center"/>
          </w:tcPr>
          <w:p>
            <w:pPr>
              <w:jc w:val="right"/>
              <w:rPr>
                <w:b/>
                <w:sz w:val="18"/>
                <w:szCs w:val="18"/>
              </w:rPr>
            </w:pPr>
            <w:r>
              <w:rPr>
                <w:rFonts w:hint="eastAsia" w:ascii="宋体" w:hAnsi="宋体"/>
                <w:b/>
                <w:color w:val="000000"/>
                <w:sz w:val="18"/>
                <w:szCs w:val="18"/>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29</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群众团体事务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94.02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91.66</w:t>
            </w:r>
          </w:p>
        </w:tc>
        <w:tc>
          <w:tcPr>
            <w:tcW w:w="1427" w:type="dxa"/>
            <w:shd w:val="clear" w:color="auto" w:fill="auto"/>
            <w:vAlign w:val="center"/>
          </w:tcPr>
          <w:p>
            <w:pPr>
              <w:jc w:val="right"/>
              <w:rPr>
                <w:b/>
                <w:sz w:val="18"/>
                <w:szCs w:val="18"/>
              </w:rPr>
            </w:pPr>
            <w:r>
              <w:rPr>
                <w:rFonts w:hint="eastAsia" w:ascii="宋体" w:hAnsi="宋体"/>
                <w:b/>
                <w:color w:val="000000"/>
                <w:sz w:val="18"/>
                <w:szCs w:val="18"/>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29</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79.37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79.37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29</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一般行政管理事务</w:t>
            </w:r>
          </w:p>
        </w:tc>
        <w:tc>
          <w:tcPr>
            <w:tcW w:w="1367" w:type="dxa"/>
            <w:shd w:val="clear" w:color="auto" w:fill="auto"/>
            <w:vAlign w:val="center"/>
          </w:tcPr>
          <w:p>
            <w:pPr>
              <w:jc w:val="right"/>
              <w:rPr>
                <w:sz w:val="18"/>
                <w:szCs w:val="18"/>
              </w:rPr>
            </w:pPr>
            <w:r>
              <w:rPr>
                <w:rFonts w:hint="eastAsia" w:ascii="宋体" w:hAnsi="宋体"/>
                <w:color w:val="000000"/>
                <w:sz w:val="18"/>
                <w:szCs w:val="18"/>
              </w:rPr>
              <w:t>2.36</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29</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12.29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12.29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26.93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26.93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26.93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26.93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9.66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9.66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11.52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11.52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5.76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5.76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9.79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9.79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9.79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9.79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5.81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5.81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1.03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1.03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2.88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2.88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其他行政事业单位医疗支出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0.07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0.07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9.64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9.64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9.64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9.64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9.64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9.64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140.38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138.02</w:t>
            </w:r>
          </w:p>
        </w:tc>
        <w:tc>
          <w:tcPr>
            <w:tcW w:w="1427" w:type="dxa"/>
            <w:shd w:val="clear" w:color="auto" w:fill="auto"/>
            <w:vAlign w:val="center"/>
          </w:tcPr>
          <w:p>
            <w:pPr>
              <w:jc w:val="right"/>
              <w:rPr>
                <w:b/>
                <w:sz w:val="18"/>
                <w:szCs w:val="18"/>
              </w:rPr>
            </w:pPr>
            <w:r>
              <w:rPr>
                <w:rFonts w:hint="eastAsia" w:ascii="宋体" w:hAnsi="宋体"/>
                <w:b/>
                <w:color w:val="000000"/>
                <w:sz w:val="18"/>
                <w:szCs w:val="18"/>
              </w:rPr>
              <w:t>2.36</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编制部门：呼图壁县总工会</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117.37</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117.37</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32.34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32.34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22.78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22.78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22.77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22.77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2.43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2.43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11.52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11.52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5.76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5.76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6.84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6.84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2.88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2.88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0.41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0.41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9.64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9.64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9.92</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0.36</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0.70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0.13</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取暖费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5.74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1.39</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10.73</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10.73</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9.66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9.66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1.07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138.02</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128.10</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9.92</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1748"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编制部门：呼图壁县总工会</w:t>
            </w:r>
          </w:p>
        </w:tc>
        <w:tc>
          <w:tcPr>
            <w:tcW w:w="1700"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60" w:type="dxa"/>
            <w:gridSpan w:val="3"/>
            <w:shd w:val="clear" w:color="auto" w:fill="auto"/>
            <w:vAlign w:val="center"/>
          </w:tcPr>
          <w:p>
            <w:pPr>
              <w:jc w:val="center"/>
              <w:rPr>
                <w:sz w:val="18"/>
                <w:szCs w:val="18"/>
              </w:rPr>
            </w:pPr>
            <w:r>
              <w:rPr>
                <w:rFonts w:hint="eastAsia"/>
                <w:sz w:val="18"/>
                <w:szCs w:val="18"/>
              </w:rPr>
              <w:t>科目代码</w:t>
            </w:r>
          </w:p>
        </w:tc>
        <w:tc>
          <w:tcPr>
            <w:tcW w:w="2000" w:type="dxa"/>
            <w:vMerge w:val="restart"/>
            <w:shd w:val="clear" w:color="auto" w:fill="auto"/>
            <w:vAlign w:val="center"/>
          </w:tcPr>
          <w:p>
            <w:pPr>
              <w:jc w:val="center"/>
              <w:rPr>
                <w:sz w:val="18"/>
                <w:szCs w:val="18"/>
              </w:rPr>
            </w:pPr>
            <w:r>
              <w:rPr>
                <w:rFonts w:hint="eastAsia"/>
                <w:sz w:val="18"/>
                <w:szCs w:val="18"/>
              </w:rPr>
              <w:t>科目名称</w:t>
            </w:r>
          </w:p>
        </w:tc>
        <w:tc>
          <w:tcPr>
            <w:tcW w:w="2000" w:type="dxa"/>
            <w:vMerge w:val="restart"/>
            <w:shd w:val="clear" w:color="auto" w:fill="auto"/>
            <w:vAlign w:val="center"/>
          </w:tcPr>
          <w:p>
            <w:pPr>
              <w:jc w:val="center"/>
              <w:rPr>
                <w:sz w:val="18"/>
                <w:szCs w:val="18"/>
              </w:rPr>
            </w:pPr>
            <w:r>
              <w:rPr>
                <w:rFonts w:hint="eastAsia"/>
                <w:sz w:val="18"/>
                <w:szCs w:val="18"/>
              </w:rPr>
              <w:t>项目名称</w:t>
            </w:r>
          </w:p>
        </w:tc>
        <w:tc>
          <w:tcPr>
            <w:tcW w:w="850" w:type="dxa"/>
            <w:vMerge w:val="restart"/>
            <w:shd w:val="clear" w:color="auto" w:fill="auto"/>
            <w:vAlign w:val="center"/>
          </w:tcPr>
          <w:p>
            <w:pPr>
              <w:jc w:val="center"/>
              <w:rPr>
                <w:sz w:val="18"/>
                <w:szCs w:val="18"/>
              </w:rPr>
            </w:pPr>
            <w:r>
              <w:rPr>
                <w:rFonts w:hint="eastAsia"/>
                <w:sz w:val="18"/>
                <w:szCs w:val="18"/>
              </w:rPr>
              <w:t>项目支出合计</w:t>
            </w:r>
          </w:p>
        </w:tc>
        <w:tc>
          <w:tcPr>
            <w:tcW w:w="850" w:type="dxa"/>
            <w:vMerge w:val="restart"/>
            <w:shd w:val="clear" w:color="auto" w:fill="auto"/>
            <w:vAlign w:val="center"/>
          </w:tcPr>
          <w:p>
            <w:pPr>
              <w:jc w:val="center"/>
              <w:rPr>
                <w:sz w:val="18"/>
                <w:szCs w:val="18"/>
              </w:rPr>
            </w:pPr>
            <w:r>
              <w:rPr>
                <w:rFonts w:hint="eastAsia"/>
                <w:sz w:val="18"/>
                <w:szCs w:val="18"/>
              </w:rPr>
              <w:t>工资福利支出</w:t>
            </w:r>
          </w:p>
        </w:tc>
        <w:tc>
          <w:tcPr>
            <w:tcW w:w="850" w:type="dxa"/>
            <w:vMerge w:val="restart"/>
            <w:shd w:val="clear" w:color="auto" w:fill="auto"/>
            <w:vAlign w:val="center"/>
          </w:tcPr>
          <w:p>
            <w:pPr>
              <w:jc w:val="center"/>
              <w:rPr>
                <w:sz w:val="18"/>
                <w:szCs w:val="18"/>
              </w:rPr>
            </w:pPr>
            <w:r>
              <w:rPr>
                <w:rFonts w:hint="eastAsia"/>
                <w:sz w:val="18"/>
                <w:szCs w:val="18"/>
              </w:rPr>
              <w:t>商品和服务支出</w:t>
            </w:r>
          </w:p>
        </w:tc>
        <w:tc>
          <w:tcPr>
            <w:tcW w:w="850" w:type="dxa"/>
            <w:vMerge w:val="restart"/>
            <w:shd w:val="clear" w:color="auto" w:fill="auto"/>
            <w:vAlign w:val="center"/>
          </w:tcPr>
          <w:p>
            <w:pPr>
              <w:jc w:val="center"/>
              <w:rPr>
                <w:sz w:val="18"/>
                <w:szCs w:val="18"/>
              </w:rPr>
            </w:pPr>
            <w:r>
              <w:rPr>
                <w:rFonts w:hint="eastAsia"/>
                <w:sz w:val="18"/>
                <w:szCs w:val="18"/>
              </w:rPr>
              <w:t>对个人和家庭的补助</w:t>
            </w:r>
          </w:p>
        </w:tc>
        <w:tc>
          <w:tcPr>
            <w:tcW w:w="850" w:type="dxa"/>
            <w:vMerge w:val="restart"/>
            <w:shd w:val="clear" w:color="auto" w:fill="auto"/>
            <w:vAlign w:val="center"/>
          </w:tcPr>
          <w:p>
            <w:pPr>
              <w:jc w:val="center"/>
              <w:rPr>
                <w:sz w:val="18"/>
                <w:szCs w:val="18"/>
              </w:rPr>
            </w:pPr>
            <w:r>
              <w:rPr>
                <w:rFonts w:hint="eastAsia"/>
                <w:sz w:val="18"/>
                <w:szCs w:val="18"/>
              </w:rPr>
              <w:t>债务利息及费用支出</w:t>
            </w:r>
          </w:p>
        </w:tc>
        <w:tc>
          <w:tcPr>
            <w:tcW w:w="850" w:type="dxa"/>
            <w:vMerge w:val="restart"/>
            <w:shd w:val="clear" w:color="auto" w:fill="auto"/>
            <w:vAlign w:val="center"/>
          </w:tcPr>
          <w:p>
            <w:pPr>
              <w:jc w:val="center"/>
              <w:rPr>
                <w:sz w:val="18"/>
                <w:szCs w:val="18"/>
              </w:rPr>
            </w:pPr>
            <w:r>
              <w:rPr>
                <w:rFonts w:hint="eastAsia"/>
                <w:sz w:val="18"/>
                <w:szCs w:val="18"/>
              </w:rPr>
              <w:t>资本性支出（基本建设）</w:t>
            </w:r>
          </w:p>
        </w:tc>
        <w:tc>
          <w:tcPr>
            <w:tcW w:w="850" w:type="dxa"/>
            <w:vMerge w:val="restart"/>
            <w:shd w:val="clear" w:color="auto" w:fill="auto"/>
            <w:vAlign w:val="center"/>
          </w:tcPr>
          <w:p>
            <w:pPr>
              <w:jc w:val="center"/>
              <w:rPr>
                <w:sz w:val="18"/>
                <w:szCs w:val="18"/>
              </w:rPr>
            </w:pPr>
            <w:r>
              <w:rPr>
                <w:rFonts w:hint="eastAsia"/>
                <w:sz w:val="18"/>
                <w:szCs w:val="18"/>
              </w:rPr>
              <w:t>资本性支出</w:t>
            </w:r>
          </w:p>
        </w:tc>
        <w:tc>
          <w:tcPr>
            <w:tcW w:w="850" w:type="dxa"/>
            <w:vMerge w:val="restart"/>
            <w:shd w:val="clear" w:color="auto" w:fill="auto"/>
            <w:vAlign w:val="center"/>
          </w:tcPr>
          <w:p>
            <w:pPr>
              <w:jc w:val="center"/>
              <w:rPr>
                <w:sz w:val="18"/>
                <w:szCs w:val="18"/>
              </w:rPr>
            </w:pPr>
            <w:r>
              <w:rPr>
                <w:rFonts w:hint="eastAsia"/>
                <w:sz w:val="18"/>
                <w:szCs w:val="18"/>
              </w:rPr>
              <w:t>对企业补助（基本建设）</w:t>
            </w:r>
          </w:p>
        </w:tc>
        <w:tc>
          <w:tcPr>
            <w:tcW w:w="850" w:type="dxa"/>
            <w:vMerge w:val="restart"/>
            <w:shd w:val="clear" w:color="auto" w:fill="auto"/>
            <w:vAlign w:val="center"/>
          </w:tcPr>
          <w:p>
            <w:pPr>
              <w:jc w:val="center"/>
              <w:rPr>
                <w:sz w:val="18"/>
                <w:szCs w:val="18"/>
              </w:rPr>
            </w:pPr>
            <w:r>
              <w:rPr>
                <w:rFonts w:hint="eastAsia"/>
                <w:sz w:val="18"/>
                <w:szCs w:val="18"/>
              </w:rPr>
              <w:t>对企业补助</w:t>
            </w:r>
          </w:p>
        </w:tc>
        <w:tc>
          <w:tcPr>
            <w:tcW w:w="850" w:type="dxa"/>
            <w:vMerge w:val="restart"/>
            <w:shd w:val="clear" w:color="auto" w:fill="auto"/>
            <w:vAlign w:val="center"/>
          </w:tcPr>
          <w:p>
            <w:pPr>
              <w:jc w:val="center"/>
              <w:rPr>
                <w:sz w:val="18"/>
                <w:szCs w:val="18"/>
              </w:rPr>
            </w:pPr>
            <w:r>
              <w:rPr>
                <w:rFonts w:hint="eastAsia"/>
                <w:sz w:val="18"/>
                <w:szCs w:val="18"/>
              </w:rPr>
              <w:t>对社会保障基金补助</w:t>
            </w:r>
          </w:p>
        </w:tc>
        <w:tc>
          <w:tcPr>
            <w:tcW w:w="850"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260" w:type="dxa"/>
            <w:shd w:val="clear" w:color="auto" w:fill="auto"/>
            <w:vAlign w:val="center"/>
          </w:tcPr>
          <w:p>
            <w:pPr>
              <w:jc w:val="center"/>
              <w:rPr>
                <w:sz w:val="18"/>
                <w:szCs w:val="18"/>
              </w:rPr>
            </w:pPr>
            <w:r>
              <w:rPr>
                <w:rFonts w:hint="eastAsia"/>
                <w:sz w:val="18"/>
                <w:szCs w:val="18"/>
              </w:rPr>
              <w:t>项</w:t>
            </w:r>
          </w:p>
        </w:tc>
        <w:tc>
          <w:tcPr>
            <w:tcW w:w="2500" w:type="dxa"/>
            <w:vMerge w:val="continue"/>
            <w:shd w:val="clear" w:color="auto" w:fill="auto"/>
            <w:vAlign w:val="center"/>
          </w:tcPr>
          <w:p>
            <w:pPr>
              <w:jc w:val="center"/>
              <w:rPr>
                <w:sz w:val="18"/>
                <w:szCs w:val="18"/>
              </w:rPr>
            </w:pPr>
          </w:p>
        </w:tc>
        <w:tc>
          <w:tcPr>
            <w:tcW w:w="250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呼图壁县总工会</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31" w:rightChars="-14"/>
              <w:jc w:val="right"/>
              <w:rPr>
                <w:b/>
                <w:sz w:val="18"/>
                <w:szCs w:val="18"/>
              </w:rPr>
            </w:pPr>
            <w:r>
              <w:rPr>
                <w:rFonts w:hint="default" w:ascii="宋体" w:hAnsi="宋体"/>
                <w:b/>
                <w:kern w:val="0"/>
                <w:sz w:val="13"/>
                <w:szCs w:val="13"/>
              </w:rPr>
              <w:t>2.36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2.36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一般公共服务支出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31" w:rightChars="-14"/>
              <w:jc w:val="right"/>
              <w:rPr>
                <w:b/>
                <w:sz w:val="18"/>
                <w:szCs w:val="18"/>
              </w:rPr>
            </w:pPr>
            <w:r>
              <w:rPr>
                <w:rFonts w:hint="default" w:ascii="宋体" w:hAnsi="宋体"/>
                <w:b/>
                <w:kern w:val="0"/>
                <w:sz w:val="13"/>
                <w:szCs w:val="13"/>
              </w:rPr>
              <w:t>2.36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2.36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r>
              <w:rPr>
                <w:rFonts w:hint="default" w:ascii="宋体" w:hAnsi="宋体"/>
                <w:b/>
                <w:kern w:val="0"/>
                <w:sz w:val="13"/>
                <w:szCs w:val="13"/>
              </w:rPr>
              <w:t>29</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群众团体事务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31" w:rightChars="-14"/>
              <w:jc w:val="right"/>
              <w:rPr>
                <w:b/>
                <w:sz w:val="18"/>
                <w:szCs w:val="18"/>
              </w:rPr>
            </w:pPr>
            <w:r>
              <w:rPr>
                <w:rFonts w:hint="default" w:ascii="宋体" w:hAnsi="宋体"/>
                <w:b/>
                <w:kern w:val="0"/>
                <w:sz w:val="13"/>
                <w:szCs w:val="13"/>
              </w:rPr>
              <w:t>2.36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2.36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29</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500" w:type="dxa"/>
            <w:shd w:val="clear" w:color="auto" w:fill="auto"/>
            <w:vAlign w:val="center"/>
          </w:tcPr>
          <w:p>
            <w:pPr>
              <w:jc w:val="left"/>
              <w:rPr>
                <w:sz w:val="18"/>
                <w:szCs w:val="18"/>
              </w:rPr>
            </w:pPr>
            <w:r>
              <w:rPr>
                <w:rFonts w:hint="default" w:ascii="宋体" w:hAnsi="宋体"/>
                <w:kern w:val="0"/>
                <w:sz w:val="13"/>
                <w:szCs w:val="13"/>
              </w:rPr>
              <w:t>2026年支付各类其他刚性资金</w:t>
            </w:r>
          </w:p>
        </w:tc>
        <w:tc>
          <w:tcPr>
            <w:tcW w:w="850" w:type="dxa"/>
            <w:shd w:val="clear" w:color="auto" w:fill="auto"/>
            <w:vAlign w:val="center"/>
          </w:tcPr>
          <w:p>
            <w:pPr>
              <w:ind w:right="-31" w:rightChars="-14"/>
              <w:jc w:val="right"/>
              <w:rPr>
                <w:sz w:val="18"/>
                <w:szCs w:val="18"/>
              </w:rPr>
            </w:pPr>
            <w:r>
              <w:rPr>
                <w:rFonts w:hint="default" w:ascii="宋体" w:hAnsi="宋体"/>
                <w:kern w:val="0"/>
                <w:sz w:val="13"/>
                <w:szCs w:val="13"/>
              </w:rPr>
              <w:t>2.36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2.36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center"/>
              <w:rPr>
                <w:b/>
                <w:sz w:val="18"/>
                <w:szCs w:val="18"/>
              </w:rPr>
            </w:pPr>
            <w:r>
              <w:rPr>
                <w:rFonts w:hint="default" w:ascii="宋体" w:hAnsi="宋体"/>
                <w:b/>
                <w:kern w:val="0"/>
                <w:sz w:val="13"/>
                <w:szCs w:val="13"/>
              </w:rPr>
              <w:t>总计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31" w:rightChars="-14"/>
              <w:jc w:val="right"/>
              <w:rPr>
                <w:b/>
                <w:sz w:val="18"/>
                <w:szCs w:val="18"/>
              </w:rPr>
            </w:pPr>
            <w:r>
              <w:rPr>
                <w:rFonts w:hint="default" w:ascii="宋体" w:hAnsi="宋体"/>
                <w:b/>
                <w:kern w:val="0"/>
                <w:sz w:val="13"/>
                <w:szCs w:val="13"/>
              </w:rPr>
              <w:t>2.36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2.36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编制部门：呼图壁县总工会</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呼图壁县总工会2026年没有使用政府性基金预算拨款安排的支出，政府性基金预算支出情况表为空表。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编制部门：呼图壁县总工会</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呼图壁县总工会2026年没有使用国有资本经营预算拨款安排的支出，国有资本经营预算支出情况表为空表。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编制部门：呼图壁县总工会</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1.60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1.60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1.60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1.60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1.60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1.60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882"/>
        <w:gridCol w:w="1200"/>
        <w:gridCol w:w="1200"/>
        <w:gridCol w:w="1200"/>
        <w:gridCol w:w="1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10062"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编制部门：呼图壁县总工会</w:t>
            </w:r>
          </w:p>
        </w:tc>
        <w:tc>
          <w:tcPr>
            <w:tcW w:w="14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862"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4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2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862" w:type="dxa"/>
            <w:vMerge w:val="continue"/>
            <w:shd w:val="clear" w:color="auto" w:fill="auto"/>
            <w:vAlign w:val="center"/>
          </w:tcPr>
          <w:p>
            <w:pPr>
              <w:jc w:val="center"/>
              <w:rPr>
                <w:rFonts w:hint="default" w:ascii="宋体" w:hAnsi="宋体"/>
                <w:color w:val="000000"/>
                <w:sz w:val="18"/>
                <w:szCs w:val="18"/>
              </w:rPr>
            </w:pPr>
          </w:p>
        </w:tc>
        <w:tc>
          <w:tcPr>
            <w:tcW w:w="1400" w:type="dxa"/>
            <w:vMerge w:val="continue"/>
            <w:shd w:val="clear" w:color="auto" w:fill="auto"/>
            <w:vAlign w:val="center"/>
          </w:tcPr>
          <w:p>
            <w:pPr>
              <w:jc w:val="center"/>
              <w:rPr>
                <w:rFonts w:hint="default" w:ascii="宋体" w:hAnsi="宋体"/>
                <w:color w:val="000000"/>
                <w:sz w:val="18"/>
                <w:szCs w:val="18"/>
              </w:rPr>
            </w:pP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呼图壁县总工会2026年没有委托业务费预算的支出，财政拨款委托业务费支出情况表为空表。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编制部门：呼图壁县总工会</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gridSpan w:val="2"/>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gridSpan w:val="2"/>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gridSpan w:val="2"/>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gridSpan w:val="2"/>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c>
          <w:tcPr>
            <w:tcW w:w="1247" w:type="dxa"/>
            <w:shd w:val="clear" w:color="auto" w:fill="auto"/>
            <w:vAlign w:val="center"/>
          </w:tcPr>
          <w:p>
            <w:pPr>
              <w:ind w:right="-31"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31" w:rightChars="-14"/>
              <w:jc w:val="right"/>
              <w:rPr>
                <w:b/>
                <w:sz w:val="18"/>
                <w:szCs w:val="18"/>
              </w:rPr>
            </w:pPr>
          </w:p>
        </w:tc>
        <w:tc>
          <w:tcPr>
            <w:tcW w:w="1247" w:type="dxa"/>
            <w:shd w:val="clear" w:color="auto" w:fill="auto"/>
            <w:vAlign w:val="center"/>
          </w:tcPr>
          <w:p>
            <w:pPr>
              <w:ind w:right="-31" w:rightChars="-14"/>
              <w:jc w:val="right"/>
              <w:rPr>
                <w:b/>
                <w:sz w:val="18"/>
                <w:szCs w:val="18"/>
              </w:rPr>
            </w:pPr>
          </w:p>
        </w:tc>
        <w:tc>
          <w:tcPr>
            <w:tcW w:w="1247" w:type="dxa"/>
            <w:shd w:val="clear" w:color="auto" w:fill="auto"/>
            <w:vAlign w:val="center"/>
          </w:tcPr>
          <w:p>
            <w:pPr>
              <w:ind w:right="-31" w:rightChars="-14"/>
              <w:jc w:val="right"/>
              <w:rPr>
                <w:b/>
                <w:sz w:val="18"/>
                <w:szCs w:val="18"/>
              </w:rPr>
            </w:pPr>
          </w:p>
        </w:tc>
        <w:tc>
          <w:tcPr>
            <w:tcW w:w="1247" w:type="dxa"/>
            <w:shd w:val="clear" w:color="auto" w:fill="auto"/>
            <w:vAlign w:val="center"/>
          </w:tcPr>
          <w:p>
            <w:pPr>
              <w:ind w:right="-31" w:rightChars="-14"/>
              <w:jc w:val="right"/>
              <w:rPr>
                <w:b/>
                <w:sz w:val="18"/>
                <w:szCs w:val="18"/>
              </w:rPr>
            </w:pPr>
          </w:p>
        </w:tc>
        <w:tc>
          <w:tcPr>
            <w:tcW w:w="1247" w:type="dxa"/>
            <w:shd w:val="clear" w:color="auto" w:fill="auto"/>
            <w:vAlign w:val="center"/>
          </w:tcPr>
          <w:p>
            <w:pPr>
              <w:ind w:right="-31" w:rightChars="-14"/>
              <w:jc w:val="right"/>
              <w:rPr>
                <w:b/>
                <w:sz w:val="18"/>
                <w:szCs w:val="18"/>
              </w:rPr>
            </w:pPr>
          </w:p>
        </w:tc>
        <w:tc>
          <w:tcPr>
            <w:tcW w:w="1247" w:type="dxa"/>
            <w:gridSpan w:val="2"/>
            <w:shd w:val="clear" w:color="auto" w:fill="auto"/>
            <w:vAlign w:val="center"/>
          </w:tcPr>
          <w:p>
            <w:pPr>
              <w:ind w:right="-31" w:rightChars="-14"/>
              <w:jc w:val="right"/>
              <w:rPr>
                <w:b/>
                <w:sz w:val="18"/>
                <w:szCs w:val="18"/>
              </w:rPr>
            </w:pPr>
          </w:p>
        </w:tc>
        <w:tc>
          <w:tcPr>
            <w:tcW w:w="1247" w:type="dxa"/>
            <w:shd w:val="clear" w:color="auto" w:fill="auto"/>
            <w:vAlign w:val="center"/>
          </w:tcPr>
          <w:p>
            <w:pPr>
              <w:ind w:right="-31" w:rightChars="-14"/>
              <w:jc w:val="right"/>
              <w:rPr>
                <w:b/>
                <w:sz w:val="18"/>
                <w:szCs w:val="18"/>
              </w:rPr>
            </w:pPr>
          </w:p>
        </w:tc>
        <w:tc>
          <w:tcPr>
            <w:tcW w:w="1247" w:type="dxa"/>
            <w:shd w:val="clear" w:color="auto" w:fill="auto"/>
            <w:vAlign w:val="center"/>
          </w:tcPr>
          <w:p>
            <w:pPr>
              <w:ind w:right="-31" w:rightChars="-14"/>
              <w:jc w:val="right"/>
              <w:rPr>
                <w:b/>
                <w:sz w:val="18"/>
                <w:szCs w:val="18"/>
              </w:rPr>
            </w:pPr>
          </w:p>
        </w:tc>
        <w:tc>
          <w:tcPr>
            <w:tcW w:w="1247" w:type="dxa"/>
            <w:shd w:val="clear" w:color="auto" w:fill="auto"/>
            <w:vAlign w:val="center"/>
          </w:tcPr>
          <w:p>
            <w:pPr>
              <w:ind w:right="-31"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rPr>
        <w:t>呼图壁县总工会2026年没有上年结转结余预算安排的支出，上年结转结余情况表为空表。</w:t>
      </w: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关于呼图壁县总工会2026年收支预算情况总体说明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按照全口径预算的原则，呼图壁县总工会2026年所有收入和支出均纳入部门预算管理。收支总预算200.38万元。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关于呼图壁县总工会2026年收入预算情况说明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呼图壁县总工会部门收入预算200.38万元，其中：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一般公共预算140.38万元，占70.06%，比上年预算增加38.93万元，增长38.37%，主要原因是2025年下半年在职人员增加1人，在职人员基本工资调增</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并且新增项目用于化解历年拖欠资金</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单位资金60.00万元，占29.94%，比上年预算减少11.50万元，下降16.08%，主要原因是2025年编外人员减少2人，</w:t>
      </w:r>
      <w:r>
        <w:rPr>
          <w:rFonts w:hint="eastAsia" w:ascii="仿宋" w:hAnsi="微软雅黑" w:eastAsia="仿宋"/>
          <w:sz w:val="28"/>
          <w:szCs w:val="28"/>
          <w:lang w:val="en-US" w:eastAsia="zh-CN"/>
        </w:rPr>
        <w:t>单位资金预算中公积金等</w:t>
      </w:r>
      <w:r>
        <w:rPr>
          <w:rFonts w:hint="eastAsia" w:ascii="仿宋" w:hAnsi="微软雅黑" w:eastAsia="仿宋"/>
          <w:sz w:val="28"/>
          <w:szCs w:val="28"/>
        </w:rPr>
        <w:t>经费减少，导致2026年</w:t>
      </w:r>
      <w:r>
        <w:rPr>
          <w:rFonts w:hint="eastAsia" w:ascii="仿宋" w:hAnsi="微软雅黑" w:eastAsia="仿宋"/>
          <w:sz w:val="28"/>
          <w:szCs w:val="28"/>
          <w:lang w:val="en-US" w:eastAsia="zh-CN"/>
        </w:rPr>
        <w:t>单位资金</w:t>
      </w:r>
      <w:r>
        <w:rPr>
          <w:rFonts w:hint="eastAsia" w:ascii="仿宋" w:hAnsi="微软雅黑" w:eastAsia="仿宋"/>
          <w:sz w:val="28"/>
          <w:szCs w:val="28"/>
        </w:rPr>
        <w:t>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财政拨款结转0.00万元，占0.00%，比上年预算减少5.00万元，下降100.00%，主要原因是2025年为民办实事已支付完成，2026年预算减少。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关于呼图壁县总工会2026年支出预算情况说明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呼图壁县总工会2026年支出预算200.38万元，其中：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基本支出198.02万元，占98.82%，比上年预算增加25.07万元，增长14.50%，主要原因是2025年在职人员基本工资调增，2026年预算增加。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项目支出2.36万元，占1.18%，比上年预算减少2.64万元，下降52.80%，主要原因是2025年为民办实事已支付完成，2026年预算减少。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关于呼图壁县总工会2026年财政拨款收支预算情况的总体说明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2026年财政拨款收支总预算140.38万元。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收入预算包括：一般公共预算拨款140.38万元。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一般公共服务支出94.02万元，主要用于在职人员基本工资；社会保障和就业支出26.93万元，主要用于在职人员社会养老保险；卫生健康支出9.79万元，主要用于在职人员医疗保险；住房保障支出9.64万元，主要用于在职人员住房公积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关于呼图壁县总工会2026年一般公共预算当年拨款情况说明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呼图壁县总工会2026年一般公共预算拨款合计140.38万元，其中：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基本支出138.02万元，比上年预算增加36.57万元，增长36.05%，主要原因是2025年下半年在职人员增加1人，2026年在职人员基本工资调增，导致预算增加。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项目支出2.36万元，比上年预算增加2.36万元，增长100.00%，主要原因是2026年主要用于</w:t>
      </w:r>
      <w:r>
        <w:rPr>
          <w:rFonts w:hint="eastAsia" w:ascii="仿宋" w:hAnsi="微软雅黑" w:eastAsia="仿宋"/>
          <w:sz w:val="28"/>
          <w:szCs w:val="28"/>
          <w:lang w:eastAsia="zh-CN"/>
        </w:rPr>
        <w:t>往年</w:t>
      </w:r>
      <w:r>
        <w:rPr>
          <w:rFonts w:hint="eastAsia" w:ascii="仿宋" w:hAnsi="微软雅黑" w:eastAsia="仿宋"/>
          <w:sz w:val="28"/>
          <w:szCs w:val="28"/>
        </w:rPr>
        <w:t>印刷费与被装费</w:t>
      </w:r>
      <w:r>
        <w:rPr>
          <w:rFonts w:hint="eastAsia" w:ascii="仿宋" w:hAnsi="微软雅黑" w:eastAsia="仿宋"/>
          <w:sz w:val="28"/>
          <w:szCs w:val="28"/>
          <w:lang w:eastAsia="zh-CN"/>
        </w:rPr>
        <w:t>欠费的</w:t>
      </w:r>
      <w:r>
        <w:rPr>
          <w:rFonts w:hint="eastAsia" w:ascii="仿宋" w:hAnsi="微软雅黑" w:eastAsia="仿宋"/>
          <w:sz w:val="28"/>
          <w:szCs w:val="28"/>
        </w:rPr>
        <w:t>支付。</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1.一般公共服务支出（类）94.02万元，占66.97%。</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2.社会保障和就业支出（类）26.93万元，占19.19%。</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3.卫生健康支出（类）9.79万元，占6.97%。</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4.住房保障支出（类）9.64万元，占6.87%。</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1.一般公共服务支出（类）群众团体事务（款）行政运行（项）：2026年预算数为79.37万元，比上年预算增加20.75万元，增长35.40%，主要原因是在职人员增加1人，2026年在职人员基本工资增加。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2.一般公共服务支出（类）群众团体事务（款）一般行政管理事务（项）：2026年预算数为2.36万元，比上年预算增加2.36万元，增长100.00%，主要原因是2026年新增加支付印刷费与被装费，并在年底前支付。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3.一般公共服务支出（类）群众团体事务（款）事业运行（项）：2026年预算数为12.29万元，比上年预算增加1.11万元，增长9.93%，主要原因是2026年在职人员基本工资增加。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4.社会保障和就业支出（类）行政事业单位养老支出（款）行政单位离退休（项）：2026年预算数为9.66万元，比上年预算增加1.80万元，增长22.90%，主要原因是202</w:t>
      </w:r>
      <w:r>
        <w:rPr>
          <w:rFonts w:hint="eastAsia" w:ascii="仿宋" w:hAnsi="微软雅黑" w:eastAsia="仿宋"/>
          <w:sz w:val="28"/>
          <w:szCs w:val="28"/>
          <w:lang w:val="en-US" w:eastAsia="zh-CN"/>
        </w:rPr>
        <w:t>6</w:t>
      </w:r>
      <w:r>
        <w:rPr>
          <w:rFonts w:hint="eastAsia" w:ascii="仿宋" w:hAnsi="微软雅黑" w:eastAsia="仿宋"/>
          <w:sz w:val="28"/>
          <w:szCs w:val="28"/>
        </w:rPr>
        <w:t>年行政事业单位离退休金基数增加，2026年预算增加。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11.52万元，比上年预算增加2.95万元，增长34.42%，主要原因是增加在编人员1人，2026年工资增加，社保基数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5.76万元，比上年预算增加5.76万元，增长100.00%，主要原因是2026年社保要求单位部分职业年金要实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7.卫生健康支出（类）行政事业单位医疗（款）行政单位医疗（项）：2026年预算数为5.81万元，比上年预算增加1.30万元，增长28.82%，主要原因是202</w:t>
      </w:r>
      <w:r>
        <w:rPr>
          <w:rFonts w:hint="eastAsia" w:ascii="仿宋" w:hAnsi="微软雅黑" w:eastAsia="仿宋"/>
          <w:sz w:val="28"/>
          <w:szCs w:val="28"/>
          <w:lang w:val="en-US" w:eastAsia="zh-CN"/>
        </w:rPr>
        <w:t>6</w:t>
      </w:r>
      <w:r>
        <w:rPr>
          <w:rFonts w:hint="eastAsia" w:ascii="仿宋" w:hAnsi="微软雅黑" w:eastAsia="仿宋"/>
          <w:sz w:val="28"/>
          <w:szCs w:val="28"/>
        </w:rPr>
        <w:t>年在职人员工资增加，医疗基数增加。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8.卫生健康支出（类）行政事业单位医疗（款）事业单位医疗（项）：2026年预算数为1.03万元，比上年预算增加0.23万元，增长28.75%，主要原因是202</w:t>
      </w:r>
      <w:r>
        <w:rPr>
          <w:rFonts w:hint="eastAsia" w:ascii="仿宋" w:hAnsi="微软雅黑" w:eastAsia="仿宋"/>
          <w:sz w:val="28"/>
          <w:szCs w:val="28"/>
          <w:lang w:val="en-US" w:eastAsia="zh-CN"/>
        </w:rPr>
        <w:t>6</w:t>
      </w:r>
      <w:r>
        <w:rPr>
          <w:rFonts w:hint="eastAsia" w:ascii="仿宋" w:hAnsi="微软雅黑" w:eastAsia="仿宋"/>
          <w:sz w:val="28"/>
          <w:szCs w:val="28"/>
        </w:rPr>
        <w:t>年在职人员工资增加，医疗基数增加。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9.卫生健康支出（类）行政事业单位医疗（款）公务员医疗补助（项）：2026年预算数为2.88万元，比上年预算增加0.22万元，增长8.27%，主要原因是2026年在职人员工资增加，公务员医疗补助基数增加。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10.卫生健康支出（类）行政事业单位医疗（款）其他行政事业单位医疗支出（项）：2026年预算数为0.07万元，比上年预算减少0.11万元，下降61.11%，主要原因是</w:t>
      </w:r>
      <w:r>
        <w:rPr>
          <w:rFonts w:hint="eastAsia" w:ascii="仿宋" w:hAnsi="微软雅黑" w:eastAsia="仿宋"/>
          <w:sz w:val="28"/>
          <w:szCs w:val="28"/>
          <w:lang w:val="en-US" w:eastAsia="zh-CN"/>
        </w:rPr>
        <w:t>2025年因预算科目有误，导致此科目预算金额较大，今年正确使用科目，所以预算数减少</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11.住房保障支出（类）住房改革支出（款）住房公积金（项）：2026年预算数为9.64万元，比上年预算增加2.56万元，增长36.16%，主要原因是2025年下半年在编人员增加1人，住房公积金基数增加。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关于呼图壁县总工会2026年一般公共预算基本支出情况说明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呼图壁县总工会2026年一般公共预算基本支出138.02万元，其中：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128.10万元，主要包括：基本工资、津贴补贴、奖金、绩效工资、机关事业单位基本养老保险缴费、职业年金缴费、职工基本医疗保险缴费、公务员医疗补助缴费、其他社会保障缴费、住房公积金、退休费、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公用经费9.92万元，主要包括：办公费、电费、邮电费、取暖费、工会经费、公务用车运行维护费。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关于呼图壁县总工会2026年一般公共预算项目支出情况说明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（一）项目名称：2026年支付各类其他刚性资金</w:t>
      </w:r>
      <w:bookmarkStart w:id="0" w:name="_GoBack"/>
      <w:bookmarkEnd w:id="0"/>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依据《中华人民共和国预算法》《中华人民共和国工会法》《中共中央国务院关于全面实施预算绩效管理的意见》《项目支出绩效评价管理办法》（财预〔2020〕10号）、《工会预算管理办法》（总工办发〔2019〕26号）、《基层工会经费收支管理办法》（总工办发〔2017〕32号）及县级财政预算绩效管理相关规定，为规范工会经费刚性支出管理，强化支出责任，提升资金使用效益，保障工会机构正常运转与履职需要，科学设立本项目绩效目标。</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预算安排规模：2.36万元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项目承担单位：呼图壁县总工会</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资金分配情况：印刷费1.86万元，被装费0.5万元。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w:t>
      </w:r>
      <w:r>
        <w:rPr>
          <w:rFonts w:hint="eastAsia" w:ascii="仿宋" w:hAnsi="微软雅黑" w:eastAsia="仿宋"/>
          <w:sz w:val="28"/>
          <w:szCs w:val="28"/>
          <w:lang w:val="en-US" w:eastAsia="zh-CN"/>
        </w:rPr>
        <w:t>1月1日-2026年12月31日</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关于呼图壁县总工会2026年政府性基金预算拨款情况说明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呼图壁县总工会2026年没有使用政府性基金预算拨款安排的支出，政府性基金预算支出情况表为空表。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关于呼图壁县总工会2026年国有资本经营预算拨款情况说明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呼图壁县总工会2026年没有使用国有资本经营预算拨款安排的支出，国有资本经营预算支出情况表为空表。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关于呼图壁县总工会2026年财政拨款“三公”经费预算情况说明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呼图壁县总工会2026年财政拨款“三公”经费数为1.60万元，其中：因公出国（境）费用0.00万元，公务用车购置0.00万元，公务用车运行维护费1.60万元，公务接待费0.00万元。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预算比上年预算增加0.00万元，增长0.00%，其中：因公出国（境）费用增加0.00万元，增长0.00%，主要原因是2025年与2026年均未安排因公出国（境）费用；公务用车购置增加0.00万元，增长0.00%，主要原因是2025年与2026年均未安排公务用车购置；公务用车运行维护费增加0.00万元，增长0.00%，主要原因是</w:t>
      </w:r>
      <w:r>
        <w:rPr>
          <w:rFonts w:hint="eastAsia" w:ascii="仿宋_GB2312" w:hAnsi="宋体" w:eastAsia="仿宋_GB2312" w:cs="宋体"/>
          <w:kern w:val="0"/>
          <w:sz w:val="28"/>
          <w:szCs w:val="32"/>
        </w:rPr>
        <w:t>本部门严格执行中央八项规定，三公经费只减不增</w:t>
      </w:r>
      <w:r>
        <w:rPr>
          <w:rFonts w:hint="eastAsia" w:ascii="仿宋" w:hAnsi="微软雅黑" w:eastAsia="仿宋"/>
          <w:sz w:val="28"/>
          <w:szCs w:val="28"/>
        </w:rPr>
        <w:t>；公务接待费增加0.00万元，增长0.00%，主要原因是2025年与2026年均未安排公务接待费。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关于呼图壁县总工会2026年财政拨款委托业务费支出情况说明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呼图壁县总工会2026年没有委托业务费预算的支出，财政拨款委托业务费支出情况表为空表。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关于呼图壁县总工会2026年上年结转结余预算情况说明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呼图壁县总工会2026年没有上年结转结余预算安排的支出，上年结转结余情况表为空表。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机关运行经费预算不予公开。</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2026年，呼图壁县总工会政府采购预算4.32万元，其中：政府采购货物预算0.36万元，政府采购工程预算0.00万元，政府采购服务预算3.96万元。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2026年，呼图壁县总工会面向中小企业预留政府采购项目预算金额3.62万元，其中：小微企业预留政府采购项目预算金额3.62万元。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截至2025年底，呼图壁县总工会占用使用国有资产总体情况为：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1.房屋0.00平方米，价值0.00万元。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w:t>
      </w:r>
      <w:r>
        <w:rPr>
          <w:rFonts w:hint="eastAsia" w:ascii="仿宋" w:hAnsi="微软雅黑" w:eastAsia="仿宋"/>
          <w:sz w:val="28"/>
          <w:szCs w:val="28"/>
          <w:lang w:val="en-US" w:eastAsia="zh-CN"/>
        </w:rPr>
        <w:t>1</w:t>
      </w:r>
      <w:r>
        <w:rPr>
          <w:rFonts w:hint="eastAsia" w:ascii="仿宋" w:hAnsi="微软雅黑" w:eastAsia="仿宋"/>
          <w:sz w:val="28"/>
          <w:szCs w:val="28"/>
        </w:rPr>
        <w:t>辆，价值</w:t>
      </w:r>
      <w:r>
        <w:rPr>
          <w:rFonts w:hint="eastAsia" w:ascii="仿宋" w:hAnsi="微软雅黑" w:eastAsia="仿宋"/>
          <w:sz w:val="28"/>
          <w:szCs w:val="28"/>
          <w:lang w:val="en-US" w:eastAsia="zh-CN"/>
        </w:rPr>
        <w:t>10</w:t>
      </w:r>
      <w:r>
        <w:rPr>
          <w:rFonts w:hint="eastAsia" w:ascii="仿宋" w:hAnsi="微软雅黑" w:eastAsia="仿宋"/>
          <w:sz w:val="28"/>
          <w:szCs w:val="28"/>
        </w:rPr>
        <w:t>万元；其中：一般公务用车</w:t>
      </w:r>
      <w:r>
        <w:rPr>
          <w:rFonts w:hint="eastAsia" w:ascii="仿宋" w:hAnsi="微软雅黑" w:eastAsia="仿宋"/>
          <w:sz w:val="28"/>
          <w:szCs w:val="28"/>
          <w:lang w:val="en-US" w:eastAsia="zh-CN"/>
        </w:rPr>
        <w:t>1</w:t>
      </w:r>
      <w:r>
        <w:rPr>
          <w:rFonts w:hint="eastAsia" w:ascii="仿宋" w:hAnsi="微软雅黑" w:eastAsia="仿宋"/>
          <w:sz w:val="28"/>
          <w:szCs w:val="28"/>
        </w:rPr>
        <w:t>辆，价值</w:t>
      </w:r>
      <w:r>
        <w:rPr>
          <w:rFonts w:hint="eastAsia" w:ascii="仿宋" w:hAnsi="微软雅黑" w:eastAsia="仿宋"/>
          <w:sz w:val="28"/>
          <w:szCs w:val="28"/>
          <w:lang w:val="en-US" w:eastAsia="zh-CN"/>
        </w:rPr>
        <w:t>10</w:t>
      </w:r>
      <w:r>
        <w:rPr>
          <w:rFonts w:hint="eastAsia" w:ascii="仿宋" w:hAnsi="微软雅黑" w:eastAsia="仿宋"/>
          <w:sz w:val="28"/>
          <w:szCs w:val="28"/>
        </w:rPr>
        <w:t>万元；执法执勤用车0辆，价值0.00万元；其他车辆0辆，价值0.00万元。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部门价值单价50万元以上大型设备0台，部门价值单价100万元以上大型设备0台。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2026年，本部门预算绩效管理整体预算绩效目标1个，涉及预算金额200.38万元；当年预算安排项目共1个，其中：财政拨款项目涉及预算金额2.36万元；非财政拨款项目涉及预算金额0.00万元。具体情况见下表：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呼图壁县总工会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姬丽霞</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13899675031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根据州党委、州政府和自治区总工会的中心工作和工运方针，依照法律和工会章程，开展工会组织建设、职工权益维护、职工服务、职工发展等方面工作。一是推进中华民族共同体建设，慰问各级劳模开展劳模进校园宣讲活动，大力弘扬劳模精神；二是聚焦职工多元化文化需求，开展公共文体竞赛活动，不断丰富职工精神文化生活；三是加强对职工群众的关心关爱，开展四季帮扶活动，促进社会公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140.38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200.38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举办公共文体竞赛活动次数</w:t>
            </w:r>
          </w:p>
        </w:tc>
        <w:tc>
          <w:tcPr>
            <w:tcW w:w="1448" w:type="dxa"/>
            <w:gridSpan w:val="2"/>
            <w:shd w:val="clear" w:color="auto" w:fill="auto"/>
            <w:vAlign w:val="center"/>
          </w:tcPr>
          <w:p>
            <w:pPr>
              <w:jc w:val="center"/>
              <w:rPr>
                <w:sz w:val="18"/>
                <w:szCs w:val="18"/>
              </w:rPr>
            </w:pPr>
            <w:r>
              <w:rPr>
                <w:rFonts w:hint="eastAsia"/>
                <w:sz w:val="18"/>
                <w:szCs w:val="18"/>
              </w:rPr>
              <w:t>＞=2次</w:t>
            </w:r>
          </w:p>
        </w:tc>
        <w:tc>
          <w:tcPr>
            <w:tcW w:w="1360" w:type="dxa"/>
            <w:shd w:val="clear" w:color="auto" w:fill="auto"/>
            <w:vAlign w:val="center"/>
          </w:tcPr>
          <w:p>
            <w:pPr>
              <w:jc w:val="center"/>
              <w:rPr>
                <w:sz w:val="18"/>
                <w:szCs w:val="18"/>
              </w:rPr>
            </w:pPr>
            <w:r>
              <w:rPr>
                <w:rFonts w:hint="eastAsia"/>
                <w:sz w:val="18"/>
                <w:szCs w:val="18"/>
              </w:rPr>
              <w:t>202</w:t>
            </w:r>
            <w:r>
              <w:rPr>
                <w:rFonts w:hint="eastAsia"/>
                <w:sz w:val="18"/>
                <w:szCs w:val="18"/>
                <w:lang w:val="en-US" w:eastAsia="zh-CN"/>
              </w:rPr>
              <w:t>6</w:t>
            </w:r>
            <w:r>
              <w:rPr>
                <w:rFonts w:hint="eastAsia"/>
                <w:sz w:val="18"/>
                <w:szCs w:val="18"/>
              </w:rPr>
              <w:t>年呼图壁县总工会工作计划</w:t>
            </w:r>
          </w:p>
        </w:tc>
        <w:tc>
          <w:tcPr>
            <w:tcW w:w="1360" w:type="dxa"/>
            <w:shd w:val="clear" w:color="auto" w:fill="auto"/>
            <w:vAlign w:val="center"/>
          </w:tcPr>
          <w:p>
            <w:pPr>
              <w:jc w:val="center"/>
              <w:rPr>
                <w:sz w:val="18"/>
                <w:szCs w:val="18"/>
              </w:rPr>
            </w:pPr>
            <w:r>
              <w:rPr>
                <w:rFonts w:hint="eastAsia"/>
                <w:sz w:val="18"/>
                <w:szCs w:val="1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开展送温暖人次</w:t>
            </w:r>
          </w:p>
        </w:tc>
        <w:tc>
          <w:tcPr>
            <w:tcW w:w="1448" w:type="dxa"/>
            <w:gridSpan w:val="2"/>
            <w:shd w:val="clear" w:color="auto" w:fill="auto"/>
            <w:vAlign w:val="center"/>
          </w:tcPr>
          <w:p>
            <w:pPr>
              <w:jc w:val="center"/>
              <w:rPr>
                <w:rFonts w:hint="eastAsia" w:eastAsia="微软雅黑"/>
                <w:sz w:val="18"/>
                <w:szCs w:val="18"/>
                <w:lang w:eastAsia="zh-CN"/>
              </w:rPr>
            </w:pPr>
            <w:r>
              <w:rPr>
                <w:rFonts w:hint="eastAsia"/>
                <w:sz w:val="18"/>
                <w:szCs w:val="18"/>
              </w:rPr>
              <w:t>=100</w:t>
            </w:r>
            <w:r>
              <w:rPr>
                <w:rFonts w:hint="eastAsia"/>
                <w:sz w:val="18"/>
                <w:szCs w:val="18"/>
                <w:lang w:val="en-US" w:eastAsia="zh-CN"/>
              </w:rPr>
              <w:t>%</w:t>
            </w:r>
          </w:p>
        </w:tc>
        <w:tc>
          <w:tcPr>
            <w:tcW w:w="1360" w:type="dxa"/>
            <w:shd w:val="clear" w:color="auto" w:fill="auto"/>
            <w:vAlign w:val="center"/>
          </w:tcPr>
          <w:p>
            <w:pPr>
              <w:jc w:val="center"/>
              <w:rPr>
                <w:sz w:val="18"/>
                <w:szCs w:val="18"/>
              </w:rPr>
            </w:pPr>
            <w:r>
              <w:rPr>
                <w:rFonts w:hint="eastAsia"/>
                <w:sz w:val="18"/>
                <w:szCs w:val="18"/>
              </w:rPr>
              <w:t>2025年呼图壁县总工会工作计划</w:t>
            </w:r>
          </w:p>
        </w:tc>
        <w:tc>
          <w:tcPr>
            <w:tcW w:w="1360" w:type="dxa"/>
            <w:shd w:val="clear" w:color="auto" w:fill="auto"/>
            <w:vAlign w:val="center"/>
          </w:tcPr>
          <w:p>
            <w:pPr>
              <w:jc w:val="center"/>
              <w:rPr>
                <w:sz w:val="18"/>
                <w:szCs w:val="18"/>
              </w:rPr>
            </w:pPr>
            <w:r>
              <w:rPr>
                <w:rFonts w:hint="eastAsia"/>
                <w:sz w:val="18"/>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慰问各级劳模人次</w:t>
            </w:r>
          </w:p>
        </w:tc>
        <w:tc>
          <w:tcPr>
            <w:tcW w:w="1448" w:type="dxa"/>
            <w:gridSpan w:val="2"/>
            <w:shd w:val="clear" w:color="auto" w:fill="auto"/>
            <w:vAlign w:val="center"/>
          </w:tcPr>
          <w:p>
            <w:pPr>
              <w:jc w:val="center"/>
              <w:rPr>
                <w:sz w:val="18"/>
                <w:szCs w:val="18"/>
              </w:rPr>
            </w:pPr>
            <w:r>
              <w:rPr>
                <w:rFonts w:hint="eastAsia"/>
                <w:sz w:val="18"/>
                <w:szCs w:val="18"/>
              </w:rPr>
              <w:t>＞=5次</w:t>
            </w:r>
          </w:p>
        </w:tc>
        <w:tc>
          <w:tcPr>
            <w:tcW w:w="1360" w:type="dxa"/>
            <w:shd w:val="clear" w:color="auto" w:fill="auto"/>
            <w:vAlign w:val="center"/>
          </w:tcPr>
          <w:p>
            <w:pPr>
              <w:jc w:val="center"/>
              <w:rPr>
                <w:sz w:val="18"/>
                <w:szCs w:val="18"/>
              </w:rPr>
            </w:pPr>
            <w:r>
              <w:rPr>
                <w:rFonts w:hint="eastAsia"/>
                <w:sz w:val="18"/>
                <w:szCs w:val="18"/>
              </w:rPr>
              <w:t>2025年呼图壁县总工会工作计划</w:t>
            </w:r>
          </w:p>
        </w:tc>
        <w:tc>
          <w:tcPr>
            <w:tcW w:w="1360" w:type="dxa"/>
            <w:shd w:val="clear" w:color="auto" w:fill="auto"/>
            <w:vAlign w:val="center"/>
          </w:tcPr>
          <w:p>
            <w:pPr>
              <w:jc w:val="center"/>
              <w:rPr>
                <w:sz w:val="18"/>
                <w:szCs w:val="18"/>
              </w:rPr>
            </w:pPr>
            <w:r>
              <w:rPr>
                <w:rFonts w:hint="eastAsia"/>
                <w:sz w:val="18"/>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“四季”帮扶开展次数</w:t>
            </w:r>
          </w:p>
        </w:tc>
        <w:tc>
          <w:tcPr>
            <w:tcW w:w="1448" w:type="dxa"/>
            <w:gridSpan w:val="2"/>
            <w:shd w:val="clear" w:color="auto" w:fill="auto"/>
            <w:vAlign w:val="center"/>
          </w:tcPr>
          <w:p>
            <w:pPr>
              <w:jc w:val="center"/>
              <w:rPr>
                <w:sz w:val="18"/>
                <w:szCs w:val="18"/>
              </w:rPr>
            </w:pPr>
            <w:r>
              <w:rPr>
                <w:rFonts w:hint="eastAsia"/>
                <w:sz w:val="18"/>
                <w:szCs w:val="18"/>
              </w:rPr>
              <w:t>＞=4次</w:t>
            </w:r>
          </w:p>
        </w:tc>
        <w:tc>
          <w:tcPr>
            <w:tcW w:w="1360" w:type="dxa"/>
            <w:shd w:val="clear" w:color="auto" w:fill="auto"/>
            <w:vAlign w:val="center"/>
          </w:tcPr>
          <w:p>
            <w:pPr>
              <w:jc w:val="center"/>
              <w:rPr>
                <w:sz w:val="18"/>
                <w:szCs w:val="18"/>
              </w:rPr>
            </w:pPr>
            <w:r>
              <w:rPr>
                <w:rFonts w:hint="eastAsia"/>
                <w:sz w:val="18"/>
                <w:szCs w:val="18"/>
              </w:rPr>
              <w:t>2025年呼图壁县总工会工作计划</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活动开展合格率</w:t>
            </w:r>
          </w:p>
        </w:tc>
        <w:tc>
          <w:tcPr>
            <w:tcW w:w="1448" w:type="dxa"/>
            <w:gridSpan w:val="2"/>
            <w:shd w:val="clear" w:color="auto" w:fill="auto"/>
            <w:vAlign w:val="center"/>
          </w:tcPr>
          <w:p>
            <w:pPr>
              <w:jc w:val="center"/>
              <w:rPr>
                <w:sz w:val="18"/>
                <w:szCs w:val="18"/>
              </w:rPr>
            </w:pPr>
            <w:r>
              <w:rPr>
                <w:rFonts w:hint="eastAsia"/>
                <w:sz w:val="18"/>
                <w:szCs w:val="18"/>
              </w:rPr>
              <w:t>＞=95%</w:t>
            </w:r>
          </w:p>
        </w:tc>
        <w:tc>
          <w:tcPr>
            <w:tcW w:w="1360" w:type="dxa"/>
            <w:shd w:val="clear" w:color="auto" w:fill="auto"/>
            <w:vAlign w:val="center"/>
          </w:tcPr>
          <w:p>
            <w:pPr>
              <w:jc w:val="center"/>
              <w:rPr>
                <w:sz w:val="18"/>
                <w:szCs w:val="18"/>
              </w:rPr>
            </w:pPr>
            <w:r>
              <w:rPr>
                <w:rFonts w:hint="eastAsia"/>
                <w:sz w:val="18"/>
                <w:szCs w:val="18"/>
              </w:rPr>
              <w:t>2025年呼图壁县总工会工作计划</w:t>
            </w:r>
          </w:p>
        </w:tc>
        <w:tc>
          <w:tcPr>
            <w:tcW w:w="1360" w:type="dxa"/>
            <w:shd w:val="clear" w:color="auto" w:fill="auto"/>
            <w:vAlign w:val="center"/>
          </w:tcPr>
          <w:p>
            <w:pPr>
              <w:jc w:val="center"/>
              <w:rPr>
                <w:sz w:val="18"/>
                <w:szCs w:val="18"/>
              </w:rPr>
            </w:pPr>
            <w:r>
              <w:rPr>
                <w:rFonts w:hint="eastAsia"/>
                <w:sz w:val="18"/>
                <w:szCs w:val="18"/>
              </w:rPr>
              <w:t>10</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呼图壁县总工会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2026年支付各类其他刚性资金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李辉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2.36</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2.36</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保障中小企业款项支付条例》结合我单位职能，本项目拟投入2.36万元用于完成印刷费用1.86万元、被装费用0.5万元的偿还，通过项目的实施，保障单位的良好信誉、缓解中小企业生存压力，提高政府单位公信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债务支付笔数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＞=2笔</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债务资金支付完成率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债务还款准确率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债务资金按期支付率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债务资金支付率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保障单位良好信用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支付对象满意度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本部门无其他需说明事项。</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呼图壁县总工会</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p/>
    <w:sectPr>
      <w:pgSz w:w="11906" w:h="16838"/>
      <w:pgMar w:top="1134" w:right="1134" w:bottom="1134" w:left="1134" w:header="851" w:footer="992" w:gutter="0"/>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6"/>
      <w:tabs>
        <w:tab w:val="center" w:pos="4153"/>
        <w:tab w:val="right" w:pos="830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6037BB"/>
    <w:multiLevelType w:val="multilevel"/>
    <w:tmpl w:val="A76037BB"/>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FBEBFA4"/>
    <w:multiLevelType w:val="multilevel"/>
    <w:tmpl w:val="FFBEBFA4"/>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78FA3AB1"/>
    <w:multiLevelType w:val="multilevel"/>
    <w:tmpl w:val="78FA3AB1"/>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323B43"/>
    <w:rsid w:val="003D37D8"/>
    <w:rsid w:val="00426133"/>
    <w:rsid w:val="004358AB"/>
    <w:rsid w:val="008B7726"/>
    <w:rsid w:val="00D31D50"/>
    <w:rsid w:val="03782837"/>
    <w:rsid w:val="05E2275C"/>
    <w:rsid w:val="0850234B"/>
    <w:rsid w:val="0E4932A6"/>
    <w:rsid w:val="2A613CB4"/>
    <w:rsid w:val="2D741D1E"/>
    <w:rsid w:val="2E031862"/>
    <w:rsid w:val="41814850"/>
    <w:rsid w:val="485E7F87"/>
    <w:rsid w:val="4F420B65"/>
    <w:rsid w:val="7B6D0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snapToGrid w:val="0"/>
      <w:jc w:val="left"/>
    </w:pPr>
    <w:rPr>
      <w:sz w:val="18"/>
      <w:szCs w:val="18"/>
    </w:rPr>
  </w:style>
  <w:style w:type="character" w:styleId="9">
    <w:name w:val="Strong"/>
    <w:basedOn w:val="8"/>
    <w:qFormat/>
    <w:uiPriority w:val="22"/>
    <w:rPr>
      <w:b/>
    </w:rPr>
  </w:style>
  <w:style w:type="paragraph" w:customStyle="1" w:styleId="10">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2515</Words>
  <Characters>3246</Characters>
  <Lines>1</Lines>
  <Paragraphs>1</Paragraphs>
  <TotalTime>18</TotalTime>
  <ScaleCrop>false</ScaleCrop>
  <LinksUpToDate>false</LinksUpToDate>
  <CharactersWithSpaces>3485</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htbczj</cp:lastModifiedBy>
  <dcterms:modified xsi:type="dcterms:W3CDTF">2026-06-03T02:27:09Z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C993ED195D0F4268B8B645D224170614_13</vt:lpwstr>
  </property>
  <property fmtid="{D5CDD505-2E9C-101B-9397-08002B2CF9AE}" pid="4" name="KSOTemplateDocerSaveRecord">
    <vt:lpwstr>eyJoZGlkIjoiYWJmNTAxYTA0NTllZTU0OWY5NWY0MWNlMzBjNGU2OTYiLCJ1c2VySWQiOiIyNDc3ODExMjkifQ==</vt:lpwstr>
  </property>
</Properties>
</file>